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74AB4">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14:paraId="3C182BD3">
      <w:pPr>
        <w:autoSpaceDE w:val="0"/>
        <w:autoSpaceDN w:val="0"/>
        <w:adjustRightInd w:val="0"/>
        <w:spacing w:line="276" w:lineRule="auto"/>
        <w:ind w:left="357" w:leftChars="170" w:right="-23" w:rightChars="-11"/>
        <w:jc w:val="center"/>
        <w:rPr>
          <w:rFonts w:hint="eastAsia" w:ascii="宋体" w:hAnsi="宋体" w:eastAsia="宋体" w:cs="宋体"/>
          <w:b/>
          <w:bCs/>
          <w:color w:val="000000" w:themeColor="text1"/>
          <w:kern w:val="0"/>
          <w:sz w:val="46"/>
          <w:szCs w:val="46"/>
          <w:highlight w:val="none"/>
          <w:lang w:val="zh-CN"/>
          <w14:textFill>
            <w14:solidFill>
              <w14:schemeClr w14:val="tx1"/>
            </w14:solidFill>
          </w14:textFill>
        </w:rPr>
      </w:pPr>
      <w:r>
        <w:rPr>
          <w:rFonts w:hint="eastAsia" w:ascii="宋体" w:hAnsi="宋体" w:eastAsia="宋体" w:cs="宋体"/>
          <w:b/>
          <w:bCs/>
          <w:color w:val="000000" w:themeColor="text1"/>
          <w:kern w:val="0"/>
          <w:sz w:val="46"/>
          <w:szCs w:val="46"/>
          <w:highlight w:val="none"/>
          <w:lang w:val="zh-CN"/>
          <w14:textFill>
            <w14:solidFill>
              <w14:schemeClr w14:val="tx1"/>
            </w14:solidFill>
          </w14:textFill>
        </w:rPr>
        <w:t>东莞市石鼓净水有限公司污水处理厂</w:t>
      </w:r>
    </w:p>
    <w:p w14:paraId="7A1848E3">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6"/>
          <w:szCs w:val="46"/>
          <w:highlight w:val="none"/>
          <w:lang w:val="zh-CN"/>
          <w14:textFill>
            <w14:solidFill>
              <w14:schemeClr w14:val="tx1"/>
            </w14:solidFill>
          </w14:textFill>
        </w:rPr>
      </w:pPr>
      <w:r>
        <w:rPr>
          <w:rFonts w:hint="eastAsia" w:ascii="宋体" w:hAnsi="宋体" w:eastAsia="宋体" w:cs="宋体"/>
          <w:b/>
          <w:bCs/>
          <w:color w:val="000000" w:themeColor="text1"/>
          <w:kern w:val="0"/>
          <w:sz w:val="46"/>
          <w:szCs w:val="46"/>
          <w:highlight w:val="none"/>
          <w:lang w:val="zh-CN"/>
          <w14:textFill>
            <w14:solidFill>
              <w14:schemeClr w14:val="tx1"/>
            </w14:solidFill>
          </w14:textFill>
        </w:rPr>
        <w:t>分布式光伏发电项目</w:t>
      </w:r>
    </w:p>
    <w:p w14:paraId="71F777B1">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529DB890">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7035485A">
      <w:pPr>
        <w:autoSpaceDE w:val="0"/>
        <w:autoSpaceDN w:val="0"/>
        <w:adjustRightInd w:val="0"/>
        <w:ind w:right="-23" w:rightChars="-11"/>
        <w:jc w:val="center"/>
        <w:rPr>
          <w:rFonts w:ascii="宋体" w:hAnsi="宋体" w:eastAsia="宋体" w:cs="宋体"/>
          <w:b/>
          <w:bCs/>
          <w:color w:val="000000" w:themeColor="text1"/>
          <w:sz w:val="72"/>
          <w:szCs w:val="72"/>
          <w:highlight w:val="none"/>
          <w:lang w:val="zh-CN"/>
          <w14:textFill>
            <w14:solidFill>
              <w14:schemeClr w14:val="tx1"/>
            </w14:solidFill>
          </w14:textFill>
        </w:rPr>
      </w:pPr>
    </w:p>
    <w:p w14:paraId="3E041CE7">
      <w:pPr>
        <w:autoSpaceDE w:val="0"/>
        <w:autoSpaceDN w:val="0"/>
        <w:adjustRightInd w:val="0"/>
        <w:ind w:right="-23" w:rightChars="-11"/>
        <w:jc w:val="center"/>
        <w:rPr>
          <w:rFonts w:ascii="宋体" w:hAnsi="宋体" w:eastAsia="宋体" w:cs="宋体"/>
          <w:b/>
          <w:bCs/>
          <w:color w:val="000000" w:themeColor="text1"/>
          <w:sz w:val="72"/>
          <w:szCs w:val="72"/>
          <w:highlight w:val="none"/>
          <w:lang w:val="zh-CN"/>
          <w14:textFill>
            <w14:solidFill>
              <w14:schemeClr w14:val="tx1"/>
            </w14:solidFill>
          </w14:textFill>
        </w:rPr>
      </w:pPr>
      <w:r>
        <w:rPr>
          <w:rFonts w:hint="eastAsia" w:ascii="宋体" w:hAnsi="宋体" w:eastAsia="宋体" w:cs="宋体"/>
          <w:b/>
          <w:bCs/>
          <w:color w:val="000000" w:themeColor="text1"/>
          <w:sz w:val="72"/>
          <w:szCs w:val="72"/>
          <w:highlight w:val="none"/>
          <w:lang w:val="zh-CN"/>
          <w14:textFill>
            <w14:solidFill>
              <w14:schemeClr w14:val="tx1"/>
            </w14:solidFill>
          </w14:textFill>
        </w:rPr>
        <w:t>招</w:t>
      </w:r>
      <w:r>
        <w:rPr>
          <w:rFonts w:hint="eastAsia" w:ascii="宋体" w:hAnsi="宋体" w:eastAsia="宋体" w:cs="宋体"/>
          <w:b/>
          <w:bCs/>
          <w:color w:val="000000" w:themeColor="text1"/>
          <w:sz w:val="72"/>
          <w:szCs w:val="72"/>
          <w:highlight w:val="none"/>
          <w14:textFill>
            <w14:solidFill>
              <w14:schemeClr w14:val="tx1"/>
            </w14:solidFill>
          </w14:textFill>
        </w:rPr>
        <w:t xml:space="preserve"> </w:t>
      </w:r>
      <w:r>
        <w:rPr>
          <w:rFonts w:hint="eastAsia" w:ascii="宋体" w:hAnsi="宋体" w:eastAsia="宋体" w:cs="宋体"/>
          <w:b/>
          <w:bCs/>
          <w:color w:val="000000" w:themeColor="text1"/>
          <w:sz w:val="72"/>
          <w:szCs w:val="72"/>
          <w:highlight w:val="none"/>
          <w:lang w:val="zh-CN"/>
          <w14:textFill>
            <w14:solidFill>
              <w14:schemeClr w14:val="tx1"/>
            </w14:solidFill>
          </w14:textFill>
        </w:rPr>
        <w:t>标</w:t>
      </w:r>
      <w:r>
        <w:rPr>
          <w:rFonts w:hint="eastAsia" w:ascii="宋体" w:hAnsi="宋体" w:eastAsia="宋体" w:cs="宋体"/>
          <w:b/>
          <w:bCs/>
          <w:color w:val="000000" w:themeColor="text1"/>
          <w:sz w:val="72"/>
          <w:szCs w:val="72"/>
          <w:highlight w:val="none"/>
          <w14:textFill>
            <w14:solidFill>
              <w14:schemeClr w14:val="tx1"/>
            </w14:solidFill>
          </w14:textFill>
        </w:rPr>
        <w:t xml:space="preserve"> </w:t>
      </w:r>
      <w:r>
        <w:rPr>
          <w:rFonts w:hint="eastAsia" w:ascii="宋体" w:hAnsi="宋体" w:eastAsia="宋体" w:cs="宋体"/>
          <w:b/>
          <w:bCs/>
          <w:color w:val="000000" w:themeColor="text1"/>
          <w:sz w:val="72"/>
          <w:szCs w:val="72"/>
          <w:highlight w:val="none"/>
          <w:lang w:val="zh-CN"/>
          <w14:textFill>
            <w14:solidFill>
              <w14:schemeClr w14:val="tx1"/>
            </w14:solidFill>
          </w14:textFill>
        </w:rPr>
        <w:t>文</w:t>
      </w:r>
      <w:r>
        <w:rPr>
          <w:rFonts w:hint="eastAsia" w:ascii="宋体" w:hAnsi="宋体" w:eastAsia="宋体" w:cs="宋体"/>
          <w:b/>
          <w:bCs/>
          <w:color w:val="000000" w:themeColor="text1"/>
          <w:sz w:val="72"/>
          <w:szCs w:val="72"/>
          <w:highlight w:val="none"/>
          <w14:textFill>
            <w14:solidFill>
              <w14:schemeClr w14:val="tx1"/>
            </w14:solidFill>
          </w14:textFill>
        </w:rPr>
        <w:t xml:space="preserve"> </w:t>
      </w:r>
      <w:r>
        <w:rPr>
          <w:rFonts w:hint="eastAsia" w:ascii="宋体" w:hAnsi="宋体" w:eastAsia="宋体" w:cs="宋体"/>
          <w:b/>
          <w:bCs/>
          <w:color w:val="000000" w:themeColor="text1"/>
          <w:sz w:val="72"/>
          <w:szCs w:val="72"/>
          <w:highlight w:val="none"/>
          <w:lang w:val="zh-CN"/>
          <w14:textFill>
            <w14:solidFill>
              <w14:schemeClr w14:val="tx1"/>
            </w14:solidFill>
          </w14:textFill>
        </w:rPr>
        <w:t>件</w:t>
      </w:r>
    </w:p>
    <w:p w14:paraId="79EB1308">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07BC73C2">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3220BCA0">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078DC0E9">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38389606">
      <w:pPr>
        <w:autoSpaceDE w:val="0"/>
        <w:autoSpaceDN w:val="0"/>
        <w:adjustRightInd w:val="0"/>
        <w:spacing w:line="480" w:lineRule="auto"/>
        <w:ind w:left="1842" w:leftChars="877" w:firstLine="19" w:firstLineChars="6"/>
        <w:jc w:val="left"/>
        <w:rPr>
          <w:rFonts w:hint="eastAsia" w:ascii="宋体" w:hAnsi="宋体" w:eastAsia="宋体" w:cs="宋体"/>
          <w:b/>
          <w:bCs/>
          <w:color w:val="000000" w:themeColor="text1"/>
          <w:sz w:val="32"/>
          <w:szCs w:val="32"/>
          <w:highlight w:val="none"/>
          <w:lang w:val="zh-CN"/>
          <w14:textFill>
            <w14:solidFill>
              <w14:schemeClr w14:val="tx1"/>
            </w14:solidFill>
          </w14:textFill>
        </w:rPr>
      </w:pPr>
    </w:p>
    <w:p w14:paraId="4F2B292C">
      <w:pPr>
        <w:autoSpaceDE w:val="0"/>
        <w:autoSpaceDN w:val="0"/>
        <w:adjustRightInd w:val="0"/>
        <w:spacing w:line="480" w:lineRule="auto"/>
        <w:ind w:left="1842" w:leftChars="877" w:firstLine="19" w:firstLineChars="6"/>
        <w:jc w:val="left"/>
        <w:rPr>
          <w:rFonts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招</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标</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编</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号：DGDS2024-089</w:t>
      </w:r>
    </w:p>
    <w:p w14:paraId="62A923C2">
      <w:pPr>
        <w:autoSpaceDE w:val="0"/>
        <w:autoSpaceDN w:val="0"/>
        <w:adjustRightInd w:val="0"/>
        <w:spacing w:line="480" w:lineRule="auto"/>
        <w:ind w:left="1842" w:leftChars="877" w:firstLine="19" w:firstLineChars="6"/>
        <w:jc w:val="left"/>
        <w:rPr>
          <w:rFonts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招</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标</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人：东莞市石鼓净水有限公司</w:t>
      </w:r>
    </w:p>
    <w:p w14:paraId="554DE228">
      <w:pPr>
        <w:autoSpaceDE w:val="0"/>
        <w:autoSpaceDN w:val="0"/>
        <w:adjustRightInd w:val="0"/>
        <w:spacing w:line="480" w:lineRule="auto"/>
        <w:ind w:left="1842" w:leftChars="877" w:firstLine="19" w:firstLineChars="6"/>
        <w:jc w:val="left"/>
        <w:rPr>
          <w:rFonts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 xml:space="preserve">招标代理机构：东莞市达盛招标代理有限公司 </w:t>
      </w:r>
    </w:p>
    <w:p w14:paraId="012A77C2">
      <w:pPr>
        <w:autoSpaceDE w:val="0"/>
        <w:autoSpaceDN w:val="0"/>
        <w:adjustRightInd w:val="0"/>
        <w:ind w:right="-23" w:rightChars="-11"/>
        <w:jc w:val="left"/>
        <w:rPr>
          <w:rFonts w:ascii="宋体" w:hAnsi="宋体" w:eastAsia="宋体" w:cs="宋体"/>
          <w:b/>
          <w:bCs/>
          <w:color w:val="000000" w:themeColor="text1"/>
          <w:kern w:val="0"/>
          <w:sz w:val="32"/>
          <w:szCs w:val="32"/>
          <w:highlight w:val="none"/>
          <w:lang w:val="zh-CN"/>
          <w14:textFill>
            <w14:solidFill>
              <w14:schemeClr w14:val="tx1"/>
            </w14:solidFill>
          </w14:textFill>
        </w:rPr>
      </w:pPr>
    </w:p>
    <w:p w14:paraId="09FB80D9">
      <w:pPr>
        <w:autoSpaceDE w:val="0"/>
        <w:autoSpaceDN w:val="0"/>
        <w:adjustRightInd w:val="0"/>
        <w:ind w:right="-23" w:rightChars="-11"/>
        <w:jc w:val="center"/>
        <w:rPr>
          <w:rFonts w:ascii="宋体" w:hAnsi="宋体" w:eastAsia="宋体" w:cs="宋体"/>
          <w:b/>
          <w:bCs/>
          <w:color w:val="000000" w:themeColor="text1"/>
          <w:kern w:val="0"/>
          <w:sz w:val="84"/>
          <w:szCs w:val="84"/>
          <w:highlight w:val="none"/>
          <w:lang w:val="zh-CN"/>
          <w14:textFill>
            <w14:solidFill>
              <w14:schemeClr w14:val="tx1"/>
            </w14:solidFill>
          </w14:textFill>
        </w:rPr>
      </w:pPr>
    </w:p>
    <w:p w14:paraId="2F986C79">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 xml:space="preserve"> 2024 </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 xml:space="preserve"> 9</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26</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11805010">
      <w:pPr>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br w:type="page"/>
      </w:r>
    </w:p>
    <w:sdt>
      <w:sdtPr>
        <w:rPr>
          <w:rFonts w:ascii="宋体" w:hAnsi="宋体" w:eastAsia="宋体" w:cstheme="minorBidi"/>
          <w:color w:val="000000" w:themeColor="text1"/>
          <w:kern w:val="2"/>
          <w:sz w:val="21"/>
          <w:szCs w:val="22"/>
          <w:highlight w:val="none"/>
          <w:lang w:val="en-US" w:eastAsia="zh-CN" w:bidi="ar-SA"/>
          <w14:textFill>
            <w14:solidFill>
              <w14:schemeClr w14:val="tx1"/>
            </w14:solidFill>
          </w14:textFill>
        </w:rPr>
        <w:id w:val="147471443"/>
        <w15:color w:val="DBDBDB"/>
        <w:docPartObj>
          <w:docPartGallery w:val="Table of Contents"/>
          <w:docPartUnique/>
        </w:docPartObj>
      </w:sdtPr>
      <w:sdtEndP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sdtEndPr>
      <w:sdtContent>
        <w:p w14:paraId="5C456310">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0" w:name="_Toc20249"/>
          <w:bookmarkStart w:id="1" w:name="_Toc4869"/>
          <w:bookmarkStart w:id="2" w:name="_Toc450662846"/>
          <w:bookmarkStart w:id="3" w:name="_Toc486167660"/>
          <w:bookmarkStart w:id="4" w:name="_Toc2723_WPSOffice_Level1"/>
          <w:bookmarkStart w:id="5" w:name="_Toc17326"/>
          <w:bookmarkStart w:id="6" w:name="_Toc142508310"/>
          <w:r>
            <w:rPr>
              <w:rFonts w:hint="eastAsia" w:ascii="宋体" w:hAnsi="宋体" w:eastAsia="宋体" w:cs="宋体"/>
              <w:b/>
              <w:bCs/>
              <w:color w:val="000000" w:themeColor="text1"/>
              <w:sz w:val="32"/>
              <w:szCs w:val="32"/>
              <w:highlight w:val="none"/>
              <w14:textFill>
                <w14:solidFill>
                  <w14:schemeClr w14:val="tx1"/>
                </w14:solidFill>
              </w14:textFill>
            </w:rPr>
            <w:t>目录</w:t>
          </w:r>
        </w:p>
        <w:p w14:paraId="3516DE10">
          <w:pPr>
            <w:pStyle w:val="28"/>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TOC \o "1-3" \h \u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_Toc2274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第一篇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7C4B77B">
          <w:pPr>
            <w:pStyle w:val="28"/>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_Toc19749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第二篇</w:t>
          </w:r>
          <w:r>
            <w:rPr>
              <w:rFonts w:hint="eastAsia" w:ascii="宋体" w:hAnsi="宋体" w:eastAsia="宋体" w:cs="宋体"/>
              <w:bCs/>
              <w:color w:val="000000" w:themeColor="text1"/>
              <w:kern w:val="44"/>
              <w:szCs w:val="32"/>
              <w:highlight w:val="none"/>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_Toc19749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795E736">
          <w:pPr>
            <w:pStyle w:val="31"/>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_Toc30936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一、总则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610D5B5">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_Toc5109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 资金来源：企业自筹资金。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C02DD7A">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_Toc4333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 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54331E1">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_Toc29768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 合格的</w:t>
          </w:r>
          <w:r>
            <w:rPr>
              <w:rFonts w:hint="eastAsia" w:ascii="宋体" w:hAnsi="宋体" w:eastAsia="宋体" w:cs="宋体"/>
              <w:color w:val="000000" w:themeColor="text1"/>
              <w:szCs w:val="21"/>
              <w:highlight w:val="none"/>
              <w14:textFill>
                <w14:solidFill>
                  <w14:schemeClr w14:val="tx1"/>
                </w14:solidFill>
              </w14:textFill>
            </w:rPr>
            <w:t>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78C96DB">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_Toc11235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4 其它说明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EAD5393">
          <w:pPr>
            <w:pStyle w:val="31"/>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_Toc20157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_Toc20157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03531F5">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_Toc32028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5 招标文件的构成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7152158">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_Toc4460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6 招标文件的异议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4BE29B4">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_Toc2466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7 招标文件的澄清及修改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90137CB">
          <w:pPr>
            <w:pStyle w:val="31"/>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_Toc1855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三、投标文件的编制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D86835B">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_Toc2716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8 投标使用的文字及度量衡单位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0F53158">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_Toc16154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FD69D35">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_Toc3148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10 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CAF6E82">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_Toc12645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11 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_Toc12645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F4A3B43">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_Toc30208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12 投标报价货币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F3C9476">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_Toc16043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13 证明投标人的合格性和资格的声明文件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0075961">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_Toc19111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14 证明服务的合格性并符合招标文件规定的声明文件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B945F92">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_Toc14444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15 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666A692">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_Toc12003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16 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4A83FE4">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_Toc27995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17 投标文件的式样和签署</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F09ECA7">
          <w:pPr>
            <w:pStyle w:val="31"/>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_Toc26829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四、投标文件的递交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8E50AC5">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_Toc15510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18 投标文件的密封和标记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_Toc15510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779D50D">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_Toc28366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19 递交投标文件的截止日期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4E33486">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_Toc3999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20 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741F508">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_Toc1584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21 投标文件的修改和撤回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B7965AA">
          <w:pPr>
            <w:pStyle w:val="31"/>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_Toc22815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五、开标与评标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16F695B">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_Toc14172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22 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_Toc14172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34D3E6E">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_Toc26297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6D4BCDB">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_Toc19676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24 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333E2E3">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_Toc1651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25 投标文件的初审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D61F59D">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_Toc31643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26 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_Toc31643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F486199">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_Toc17545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27 对投标文件的比较和评价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_Toc17545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08D7E1B">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_Toc1532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28 评标原则及方法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128AD9B">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_Toc27806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评标结果公示及异议、投诉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8534811">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_Toc30902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 真实性审查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3E3861E">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_Toc4518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79EFC07">
          <w:pPr>
            <w:pStyle w:val="31"/>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_Toc22432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六、授予合同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E080253">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_Toc14852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 xml:space="preserve"> 授予合同的准则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B0C4834">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_Toc465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33 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997FE3A">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_Toc31149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 xml:space="preserve"> 签署合同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32113EA">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_Toc4029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color w:val="000000" w:themeColor="text1"/>
              <w:szCs w:val="21"/>
              <w:highlight w:val="none"/>
              <w:lang w:val="zh-CN"/>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_Toc4029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0C20D72">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_Toc21074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DAD3178">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_Toc17205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w:t>
          </w:r>
          <w:r>
            <w:rPr>
              <w:rFonts w:hint="eastAsia" w:ascii="宋体" w:hAnsi="宋体" w:eastAsia="宋体" w:cs="宋体"/>
              <w:color w:val="000000" w:themeColor="text1"/>
              <w:szCs w:val="21"/>
              <w:highlight w:val="none"/>
              <w:lang w:val="zh-CN"/>
              <w14:textFill>
                <w14:solidFill>
                  <w14:schemeClr w14:val="tx1"/>
                </w14:solidFill>
              </w14:textFill>
            </w:rPr>
            <w:t xml:space="preserve"> 中标服务费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501B410">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_Toc12761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728FD98">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_Toc8309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39 招标相关补充约定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168DF4C">
          <w:pPr>
            <w:pStyle w:val="21"/>
            <w:tabs>
              <w:tab w:val="right" w:leader="dot" w:pos="9070"/>
              <w:tab w:val="clear" w:pos="10144"/>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_Toc27060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40 本次招标活动的最终解释权归招标代理机构及招标人所有。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D0AEFA8">
          <w:pPr>
            <w:pStyle w:val="28"/>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_Toc16557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第三篇 用户需求书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4DB0D81">
          <w:pPr>
            <w:pStyle w:val="28"/>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_Toc3540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1"/>
              <w:highlight w:val="none"/>
              <w14:textFill>
                <w14:solidFill>
                  <w14:schemeClr w14:val="tx1"/>
                </w14:solidFill>
              </w14:textFill>
            </w:rPr>
            <w:t>第一节 用户需求概况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98D1B88">
          <w:pPr>
            <w:pStyle w:val="28"/>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_Toc6065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第四篇 合同条款格式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5A8A3A9">
          <w:pPr>
            <w:pStyle w:val="28"/>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_Toc31532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zh-CN"/>
              <w14:textFill>
                <w14:solidFill>
                  <w14:schemeClr w14:val="tx1"/>
                </w14:solidFill>
              </w14:textFill>
            </w:rPr>
            <w:t>第五篇 相关保函格式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AD53585">
          <w:pPr>
            <w:pStyle w:val="28"/>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_Toc16138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第六篇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7D52917">
          <w:pPr>
            <w:pStyle w:val="28"/>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_Toc1826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附件一：评标工作大纲</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CF12A1A">
          <w:pPr>
            <w:pStyle w:val="28"/>
            <w:tabs>
              <w:tab w:val="right" w:leader="dot" w:pos="907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_Toc9597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附件二：光伏组件总平面布置图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FFE08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end"/>
          </w:r>
        </w:p>
      </w:sdtContent>
    </w:sdt>
    <w:p w14:paraId="31DE704E">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000000" w:themeColor="text1"/>
          <w:kern w:val="44"/>
          <w:sz w:val="32"/>
          <w:szCs w:val="32"/>
          <w:highlight w:val="none"/>
          <w:lang w:val="zh-CN"/>
          <w14:textFill>
            <w14:solidFill>
              <w14:schemeClr w14:val="tx1"/>
            </w14:solidFill>
          </w14:textFill>
        </w:rPr>
      </w:pPr>
      <w:bookmarkStart w:id="7" w:name="_Toc2274"/>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第一篇 招标公告</w:t>
      </w:r>
      <w:bookmarkEnd w:id="0"/>
      <w:bookmarkEnd w:id="1"/>
      <w:bookmarkEnd w:id="2"/>
      <w:bookmarkEnd w:id="3"/>
      <w:bookmarkEnd w:id="4"/>
      <w:bookmarkEnd w:id="5"/>
      <w:bookmarkEnd w:id="6"/>
      <w:bookmarkEnd w:id="7"/>
    </w:p>
    <w:p w14:paraId="0F3EA24C">
      <w:pPr>
        <w:autoSpaceDE w:val="0"/>
        <w:autoSpaceDN w:val="0"/>
        <w:adjustRightInd w:val="0"/>
        <w:snapToGrid w:val="0"/>
        <w:spacing w:line="360" w:lineRule="auto"/>
        <w:ind w:right="-34" w:firstLine="420" w:firstLineChars="20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 xml:space="preserve">东莞市达盛招标代理有限公司 </w:t>
      </w:r>
      <w:r>
        <w:rPr>
          <w:rFonts w:hint="eastAsia" w:ascii="宋体" w:hAnsi="宋体" w:eastAsia="宋体" w:cs="宋体"/>
          <w:color w:val="000000" w:themeColor="text1"/>
          <w:szCs w:val="21"/>
          <w:highlight w:val="none"/>
          <w:lang w:val="zh-CN"/>
          <w14:textFill>
            <w14:solidFill>
              <w14:schemeClr w14:val="tx1"/>
            </w14:solidFill>
          </w14:textFill>
        </w:rPr>
        <w:t>（以下简称“招标代理机构”）受</w:t>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宋体"/>
          <w:color w:val="000000" w:themeColor="text1"/>
          <w:szCs w:val="21"/>
          <w:highlight w:val="none"/>
          <w:lang w:val="zh-CN"/>
          <w14:textFill>
            <w14:solidFill>
              <w14:schemeClr w14:val="tx1"/>
            </w14:solidFill>
          </w14:textFill>
        </w:rPr>
        <w:t>（以下简称“招标人”）的委托，对</w:t>
      </w:r>
      <w:bookmarkStart w:id="8" w:name="_Hlk41903390"/>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东莞市石鼓净水有限公司污水处理厂分布式光伏发电项目</w:t>
      </w:r>
      <w:r>
        <w:rPr>
          <w:rFonts w:hint="eastAsia" w:ascii="宋体" w:hAnsi="宋体" w:eastAsia="宋体" w:cs="宋体"/>
          <w:color w:val="000000" w:themeColor="text1"/>
          <w:szCs w:val="21"/>
          <w:highlight w:val="none"/>
          <w:lang w:val="zh-CN"/>
          <w14:textFill>
            <w14:solidFill>
              <w14:schemeClr w14:val="tx1"/>
            </w14:solidFill>
          </w14:textFill>
        </w:rPr>
        <w:t>(招标编号：DGDS2024-089)</w:t>
      </w:r>
      <w:bookmarkEnd w:id="8"/>
      <w:r>
        <w:rPr>
          <w:rFonts w:hint="eastAsia" w:ascii="宋体" w:hAnsi="宋体" w:eastAsia="宋体" w:cs="宋体"/>
          <w:color w:val="000000" w:themeColor="text1"/>
          <w:szCs w:val="21"/>
          <w:highlight w:val="none"/>
          <w:lang w:val="zh-CN"/>
          <w14:textFill>
            <w14:solidFill>
              <w14:schemeClr w14:val="tx1"/>
            </w14:solidFill>
          </w14:textFill>
        </w:rPr>
        <w:t>进行国内公开招标，</w:t>
      </w:r>
      <w:r>
        <w:rPr>
          <w:rFonts w:hint="eastAsia" w:ascii="宋体" w:hAnsi="宋体" w:eastAsia="宋体" w:cs="宋体"/>
          <w:bCs/>
          <w:color w:val="000000" w:themeColor="text1"/>
          <w:kern w:val="0"/>
          <w:szCs w:val="21"/>
          <w:highlight w:val="none"/>
          <w14:textFill>
            <w14:solidFill>
              <w14:schemeClr w14:val="tx1"/>
            </w14:solidFill>
          </w14:textFill>
        </w:rPr>
        <w:t>详情请参见本招标文件。</w:t>
      </w:r>
      <w:r>
        <w:rPr>
          <w:rFonts w:hint="eastAsia" w:ascii="宋体" w:hAnsi="宋体" w:eastAsia="宋体" w:cs="宋体"/>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宋体"/>
          <w:bCs/>
          <w:color w:val="000000" w:themeColor="text1"/>
          <w:kern w:val="0"/>
          <w:szCs w:val="21"/>
          <w:highlight w:val="none"/>
          <w14:textFill>
            <w14:solidFill>
              <w14:schemeClr w14:val="tx1"/>
            </w14:solidFill>
          </w14:textFill>
        </w:rPr>
        <w:t>有关事项如下：</w:t>
      </w:r>
    </w:p>
    <w:p w14:paraId="28672CCA">
      <w:pPr>
        <w:autoSpaceDE w:val="0"/>
        <w:autoSpaceDN w:val="0"/>
        <w:adjustRightInd w:val="0"/>
        <w:spacing w:line="360" w:lineRule="auto"/>
        <w:ind w:right="-29" w:rightChars="-14" w:firstLine="420" w:firstLineChars="200"/>
        <w:outlineLvl w:val="9"/>
        <w:rPr>
          <w:rFonts w:hint="eastAsia" w:ascii="宋体" w:hAnsi="宋体" w:eastAsia="宋体" w:cs="宋体"/>
          <w:color w:val="000000" w:themeColor="text1"/>
          <w:szCs w:val="21"/>
          <w:highlight w:val="none"/>
          <w:lang w:val="zh-CN"/>
          <w14:textFill>
            <w14:solidFill>
              <w14:schemeClr w14:val="tx1"/>
            </w14:solidFill>
          </w14:textFill>
        </w:rPr>
      </w:pPr>
    </w:p>
    <w:p w14:paraId="728F6835">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招标范围：</w:t>
      </w:r>
    </w:p>
    <w:p w14:paraId="602AE0DA">
      <w:pPr>
        <w:keepNext w:val="0"/>
        <w:keepLines w:val="0"/>
        <w:pageBreakBefore w:val="0"/>
        <w:widowControl w:val="0"/>
        <w:kinsoku/>
        <w:wordWrap/>
        <w:overflowPunct/>
        <w:topLinePunct w:val="0"/>
        <w:autoSpaceDE/>
        <w:autoSpaceDN/>
        <w:bidi w:val="0"/>
        <w:adjustRightInd/>
        <w:snapToGrid w:val="0"/>
        <w:spacing w:line="360" w:lineRule="auto"/>
        <w:ind w:left="420" w:leftChars="200" w:firstLine="420" w:firstLineChars="200"/>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本项目</w:t>
      </w:r>
      <w:r>
        <w:rPr>
          <w:rFonts w:hint="eastAsia" w:ascii="宋体" w:hAnsi="宋体" w:eastAsia="宋体" w:cs="宋体"/>
          <w:b w:val="0"/>
          <w:bCs w:val="0"/>
          <w:color w:val="000000" w:themeColor="text1"/>
          <w:szCs w:val="21"/>
          <w:highlight w:val="none"/>
          <w14:textFill>
            <w14:solidFill>
              <w14:schemeClr w14:val="tx1"/>
            </w14:solidFill>
          </w14:textFill>
        </w:rPr>
        <w:t>拟在招标人运营管理的虎门宁洲污水处理厂二期及一期提标工程、东城温塘污水处理厂一期工程可利用的构筑物池面及建筑物屋面上盖分别建设安装约3.8512MWp、1.3989MWp（最终装机容量以实际并网容量为准）光伏发电系统以及配套设施，采用EMC合作模式，项目所有投资费用及项目</w:t>
      </w:r>
      <w:r>
        <w:rPr>
          <w:rFonts w:hint="eastAsia" w:ascii="宋体" w:hAnsi="宋体" w:eastAsia="宋体" w:cs="宋体"/>
          <w:b w:val="0"/>
          <w:bCs w:val="0"/>
          <w:color w:val="000000" w:themeColor="text1"/>
          <w:szCs w:val="21"/>
          <w:highlight w:val="none"/>
          <w:lang w:eastAsia="zh-CN"/>
          <w14:textFill>
            <w14:solidFill>
              <w14:schemeClr w14:val="tx1"/>
            </w14:solidFill>
          </w14:textFill>
        </w:rPr>
        <w:t>服务期</w:t>
      </w:r>
      <w:r>
        <w:rPr>
          <w:rFonts w:hint="eastAsia" w:ascii="宋体" w:hAnsi="宋体" w:eastAsia="宋体" w:cs="宋体"/>
          <w:b w:val="0"/>
          <w:bCs w:val="0"/>
          <w:color w:val="000000" w:themeColor="text1"/>
          <w:szCs w:val="21"/>
          <w:highlight w:val="none"/>
          <w14:textFill>
            <w14:solidFill>
              <w14:schemeClr w14:val="tx1"/>
            </w14:solidFill>
          </w14:textFill>
        </w:rPr>
        <w:t>内的运维费用由中标人负责，建成后采用“自发自用、余电上网”运行方式，</w:t>
      </w:r>
      <w:r>
        <w:rPr>
          <w:rFonts w:hint="eastAsia" w:ascii="宋体" w:hAnsi="宋体" w:eastAsia="宋体" w:cs="宋体"/>
          <w:b w:val="0"/>
          <w:bCs w:val="0"/>
          <w:color w:val="000000" w:themeColor="text1"/>
          <w:szCs w:val="21"/>
          <w:highlight w:val="none"/>
          <w:lang w:eastAsia="zh-CN"/>
          <w14:textFill>
            <w14:solidFill>
              <w14:schemeClr w14:val="tx1"/>
            </w14:solidFill>
          </w14:textFill>
        </w:rPr>
        <w:t>服务期</w:t>
      </w:r>
      <w:r>
        <w:rPr>
          <w:rFonts w:hint="eastAsia" w:ascii="宋体" w:hAnsi="宋体" w:eastAsia="宋体" w:cs="宋体"/>
          <w:b w:val="0"/>
          <w:bCs w:val="0"/>
          <w:color w:val="000000" w:themeColor="text1"/>
          <w:szCs w:val="21"/>
          <w:highlight w:val="none"/>
          <w14:textFill>
            <w14:solidFill>
              <w14:schemeClr w14:val="tx1"/>
            </w14:solidFill>
          </w14:textFill>
        </w:rPr>
        <w:t>为25年（不含建设期），</w:t>
      </w:r>
      <w:r>
        <w:rPr>
          <w:rFonts w:hint="eastAsia" w:ascii="宋体" w:hAnsi="宋体" w:eastAsia="宋体" w:cs="宋体"/>
          <w:b w:val="0"/>
          <w:bCs w:val="0"/>
          <w:color w:val="000000" w:themeColor="text1"/>
          <w:szCs w:val="21"/>
          <w:highlight w:val="none"/>
          <w:lang w:eastAsia="zh-CN"/>
          <w14:textFill>
            <w14:solidFill>
              <w14:schemeClr w14:val="tx1"/>
            </w14:solidFill>
          </w14:textFill>
        </w:rPr>
        <w:t>服务期</w:t>
      </w:r>
      <w:r>
        <w:rPr>
          <w:rFonts w:hint="eastAsia" w:ascii="宋体" w:hAnsi="宋体" w:eastAsia="宋体" w:cs="宋体"/>
          <w:b w:val="0"/>
          <w:bCs w:val="0"/>
          <w:color w:val="000000" w:themeColor="text1"/>
          <w:szCs w:val="21"/>
          <w:highlight w:val="none"/>
          <w14:textFill>
            <w14:solidFill>
              <w14:schemeClr w14:val="tx1"/>
            </w14:solidFill>
          </w14:textFill>
        </w:rPr>
        <w:t>到期后，本项目资产无偿转让给招标人所有。</w:t>
      </w:r>
    </w:p>
    <w:p w14:paraId="2A98ED5D">
      <w:pPr>
        <w:snapToGrid w:val="0"/>
        <w:spacing w:line="360" w:lineRule="auto"/>
        <w:ind w:firstLine="422" w:firstLineChars="200"/>
        <w:outlineLvl w:val="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（具体内容详见：第三篇用户需求书）</w:t>
      </w:r>
    </w:p>
    <w:p w14:paraId="7DFBEFC3">
      <w:pPr>
        <w:autoSpaceDE w:val="0"/>
        <w:autoSpaceDN w:val="0"/>
        <w:adjustRightInd w:val="0"/>
        <w:spacing w:line="360" w:lineRule="auto"/>
        <w:ind w:right="-29" w:rightChars="-14"/>
        <w:rPr>
          <w:rFonts w:hint="eastAsia" w:ascii="宋体" w:hAnsi="宋体" w:eastAsia="宋体" w:cs="宋体"/>
          <w:color w:val="000000" w:themeColor="text1"/>
          <w:szCs w:val="21"/>
          <w:highlight w:val="none"/>
          <w:lang w:val="zh-CN"/>
          <w14:textFill>
            <w14:solidFill>
              <w14:schemeClr w14:val="tx1"/>
            </w14:solidFill>
          </w14:textFill>
        </w:rPr>
      </w:pPr>
    </w:p>
    <w:p w14:paraId="0084CD34">
      <w:pPr>
        <w:numPr>
          <w:ilvl w:val="0"/>
          <w:numId w:val="1"/>
        </w:numPr>
        <w:autoSpaceDE w:val="0"/>
        <w:autoSpaceDN w:val="0"/>
        <w:adjustRightInd w:val="0"/>
        <w:snapToGrid w:val="0"/>
        <w:spacing w:line="360" w:lineRule="auto"/>
        <w:ind w:right="-34"/>
        <w:jc w:val="left"/>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合格投标人资格要求：</w:t>
      </w:r>
    </w:p>
    <w:p w14:paraId="2AFE5EE0">
      <w:pPr>
        <w:pStyle w:val="159"/>
        <w:spacing w:line="360" w:lineRule="auto"/>
        <w:ind w:left="422" w:right="-29" w:rightChars="-14" w:hanging="422" w:hangingChars="200"/>
        <w:jc w:val="both"/>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zh-CN"/>
          <w14:textFill>
            <w14:solidFill>
              <w14:schemeClr w14:val="tx1"/>
            </w14:solidFill>
          </w14:textFill>
        </w:rPr>
        <w:t>2.1 在中华人民共和国境内登记注册、合法存续、正常经营且具有独立承担民事责任能力的法人或其他组织；</w:t>
      </w:r>
    </w:p>
    <w:p w14:paraId="76F3A40D">
      <w:pPr>
        <w:pStyle w:val="159"/>
        <w:spacing w:line="360" w:lineRule="auto"/>
        <w:ind w:left="422" w:right="-29" w:rightChars="-14" w:hanging="422" w:hangingChars="200"/>
        <w:jc w:val="both"/>
        <w:rPr>
          <w:rFonts w:hint="eastAsia" w:ascii="宋体" w:hAnsi="宋体" w:eastAsia="宋体" w:cs="宋体"/>
          <w:b/>
          <w:color w:val="000000" w:themeColor="text1"/>
          <w:sz w:val="21"/>
          <w:szCs w:val="21"/>
          <w:highlight w:val="none"/>
          <w14:textFill>
            <w14:solidFill>
              <w14:schemeClr w14:val="tx1"/>
            </w14:solidFill>
          </w14:textFill>
        </w:rPr>
      </w:pPr>
      <w:bookmarkStart w:id="9" w:name="_Toc25819"/>
      <w:r>
        <w:rPr>
          <w:rFonts w:hint="eastAsia" w:hAnsi="宋体" w:eastAsia="宋体" w:cs="宋体"/>
          <w:b/>
          <w:color w:val="000000" w:themeColor="text1"/>
          <w:sz w:val="21"/>
          <w:szCs w:val="21"/>
          <w:highlight w:val="none"/>
          <w:lang w:val="en-US" w:eastAsia="zh-CN"/>
          <w14:textFill>
            <w14:solidFill>
              <w14:schemeClr w14:val="tx1"/>
            </w14:solidFill>
          </w14:textFill>
        </w:rPr>
        <w:t xml:space="preserve">2.2 </w:t>
      </w:r>
      <w:r>
        <w:rPr>
          <w:rFonts w:hint="eastAsia" w:ascii="宋体" w:hAnsi="宋体" w:eastAsia="宋体" w:cs="宋体"/>
          <w:b/>
          <w:color w:val="000000" w:themeColor="text1"/>
          <w:sz w:val="21"/>
          <w:szCs w:val="21"/>
          <w:highlight w:val="none"/>
          <w:lang w:val="zh-CN"/>
          <w14:textFill>
            <w14:solidFill>
              <w14:schemeClr w14:val="tx1"/>
            </w14:solidFill>
          </w14:textFill>
        </w:rPr>
        <w:t>投标人2021年1月1日以来</w:t>
      </w:r>
      <w:r>
        <w:rPr>
          <w:rFonts w:hint="eastAsia" w:hAnsi="宋体" w:eastAsia="宋体" w:cs="宋体"/>
          <w:b/>
          <w:color w:val="000000" w:themeColor="text1"/>
          <w:sz w:val="21"/>
          <w:szCs w:val="21"/>
          <w:highlight w:val="none"/>
          <w:lang w:val="zh-CN"/>
          <w14:textFill>
            <w14:solidFill>
              <w14:schemeClr w14:val="tx1"/>
            </w14:solidFill>
          </w14:textFill>
        </w:rPr>
        <w:t>在国内</w:t>
      </w:r>
      <w:r>
        <w:rPr>
          <w:rFonts w:hint="eastAsia" w:ascii="宋体" w:hAnsi="宋体" w:eastAsia="宋体" w:cs="宋体"/>
          <w:b/>
          <w:color w:val="000000" w:themeColor="text1"/>
          <w:sz w:val="21"/>
          <w:szCs w:val="21"/>
          <w:highlight w:val="none"/>
          <w:lang w:val="zh-CN"/>
          <w14:textFill>
            <w14:solidFill>
              <w14:schemeClr w14:val="tx1"/>
            </w14:solidFill>
          </w14:textFill>
        </w:rPr>
        <w:t>具有一</w:t>
      </w:r>
      <w:r>
        <w:rPr>
          <w:rFonts w:hint="eastAsia" w:hAnsi="宋体" w:eastAsia="宋体" w:cs="宋体"/>
          <w:b/>
          <w:color w:val="000000" w:themeColor="text1"/>
          <w:sz w:val="21"/>
          <w:szCs w:val="21"/>
          <w:highlight w:val="none"/>
          <w:lang w:val="en-US" w:eastAsia="zh-CN"/>
          <w14:textFill>
            <w14:solidFill>
              <w14:schemeClr w14:val="tx1"/>
            </w14:solidFill>
          </w14:textFill>
        </w:rPr>
        <w:t>份</w:t>
      </w:r>
      <w:r>
        <w:rPr>
          <w:rFonts w:hint="eastAsia" w:ascii="宋体" w:hAnsi="宋体" w:eastAsia="宋体" w:cs="宋体"/>
          <w:b/>
          <w:color w:val="000000" w:themeColor="text1"/>
          <w:sz w:val="21"/>
          <w:szCs w:val="21"/>
          <w:highlight w:val="none"/>
          <w:lang w:val="zh-CN"/>
          <w14:textFill>
            <w14:solidFill>
              <w14:schemeClr w14:val="tx1"/>
            </w14:solidFill>
          </w14:textFill>
        </w:rPr>
        <w:t>分布式光伏发电投资</w:t>
      </w:r>
      <w:r>
        <w:rPr>
          <w:rFonts w:hint="eastAsia" w:ascii="宋体" w:hAnsi="宋体" w:eastAsia="宋体" w:cs="宋体"/>
          <w:b/>
          <w:color w:val="000000" w:themeColor="text1"/>
          <w:sz w:val="21"/>
          <w:szCs w:val="21"/>
          <w:highlight w:val="none"/>
          <w:lang w:val="zh-CN" w:eastAsia="zh-CN"/>
          <w14:textFill>
            <w14:solidFill>
              <w14:schemeClr w14:val="tx1"/>
            </w14:solidFill>
          </w14:textFill>
        </w:rPr>
        <w:t>项目</w:t>
      </w:r>
      <w:r>
        <w:rPr>
          <w:rFonts w:hint="eastAsia" w:hAnsi="宋体" w:eastAsia="宋体" w:cs="宋体"/>
          <w:b/>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color w:val="000000" w:themeColor="text1"/>
          <w:sz w:val="21"/>
          <w:szCs w:val="21"/>
          <w:highlight w:val="none"/>
          <w:lang w:val="zh-CN"/>
          <w14:textFill>
            <w14:solidFill>
              <w14:schemeClr w14:val="tx1"/>
            </w14:solidFill>
          </w14:textFill>
        </w:rPr>
        <w:t>业绩（合同签订日期为2021年1月1日或以后</w:t>
      </w:r>
      <w:r>
        <w:rPr>
          <w:rFonts w:hint="eastAsia" w:ascii="宋体" w:hAnsi="宋体" w:eastAsia="宋体" w:cs="宋体"/>
          <w:b/>
          <w:color w:val="000000" w:themeColor="text1"/>
          <w:sz w:val="21"/>
          <w:szCs w:val="21"/>
          <w:highlight w:val="none"/>
          <w:lang w:val="zh-CN" w:eastAsia="zh-CN"/>
          <w14:textFill>
            <w14:solidFill>
              <w14:schemeClr w14:val="tx1"/>
            </w14:solidFill>
          </w14:textFill>
        </w:rPr>
        <w:t>，投标人为分布式光伏发电项目的投资方</w:t>
      </w:r>
      <w:r>
        <w:rPr>
          <w:rFonts w:hint="eastAsia" w:ascii="宋体" w:hAnsi="宋体" w:eastAsia="宋体" w:cs="宋体"/>
          <w:b/>
          <w:color w:val="000000" w:themeColor="text1"/>
          <w:sz w:val="21"/>
          <w:szCs w:val="21"/>
          <w:highlight w:val="none"/>
          <w:lang w:val="zh-CN"/>
          <w14:textFill>
            <w14:solidFill>
              <w14:schemeClr w14:val="tx1"/>
            </w14:solidFill>
          </w14:textFill>
        </w:rPr>
        <w:t>）；</w:t>
      </w:r>
    </w:p>
    <w:p w14:paraId="227B4D56">
      <w:pPr>
        <w:pStyle w:val="159"/>
        <w:spacing w:line="360" w:lineRule="auto"/>
        <w:ind w:right="-29" w:rightChars="-14" w:firstLine="0" w:firstLineChars="0"/>
        <w:jc w:val="both"/>
        <w:rPr>
          <w:rFonts w:hint="eastAsia" w:ascii="宋体" w:hAnsi="宋体" w:eastAsia="宋体" w:cs="宋体"/>
          <w:b/>
          <w:color w:val="000000" w:themeColor="text1"/>
          <w:sz w:val="21"/>
          <w:szCs w:val="21"/>
          <w:highlight w:val="none"/>
          <w:lang w:val="zh-CN"/>
          <w14:textFill>
            <w14:solidFill>
              <w14:schemeClr w14:val="tx1"/>
            </w14:solidFill>
          </w14:textFill>
        </w:rPr>
      </w:pPr>
      <w:r>
        <w:rPr>
          <w:rFonts w:hint="eastAsia" w:hAnsi="宋体" w:eastAsia="宋体" w:cs="宋体"/>
          <w:b/>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b/>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lang w:val="zh-CN"/>
          <w14:textFill>
            <w14:solidFill>
              <w14:schemeClr w14:val="tx1"/>
            </w14:solidFill>
          </w14:textFill>
        </w:rPr>
        <w:t>本项目不接受联合体投标。</w:t>
      </w:r>
      <w:bookmarkEnd w:id="9"/>
    </w:p>
    <w:p w14:paraId="252FB04B">
      <w:pPr>
        <w:autoSpaceDE w:val="0"/>
        <w:autoSpaceDN w:val="0"/>
        <w:adjustRightInd w:val="0"/>
        <w:spacing w:line="360" w:lineRule="auto"/>
        <w:ind w:right="-29" w:rightChars="-14" w:firstLine="420" w:firstLineChars="200"/>
        <w:rPr>
          <w:rFonts w:hint="eastAsia" w:ascii="宋体" w:hAnsi="宋体" w:eastAsia="宋体" w:cs="宋体"/>
          <w:color w:val="000000" w:themeColor="text1"/>
          <w:szCs w:val="21"/>
          <w:highlight w:val="none"/>
          <w:lang w:val="zh-CN"/>
          <w14:textFill>
            <w14:solidFill>
              <w14:schemeClr w14:val="tx1"/>
            </w14:solidFill>
          </w14:textFill>
        </w:rPr>
      </w:pPr>
    </w:p>
    <w:p w14:paraId="50800A0D">
      <w:pPr>
        <w:numPr>
          <w:ilvl w:val="0"/>
          <w:numId w:val="1"/>
        </w:numPr>
        <w:autoSpaceDE w:val="0"/>
        <w:autoSpaceDN w:val="0"/>
        <w:adjustRightInd w:val="0"/>
        <w:snapToGrid w:val="0"/>
        <w:spacing w:line="360" w:lineRule="auto"/>
        <w:ind w:right="-34"/>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03472CFD">
      <w:pPr>
        <w:pStyle w:val="159"/>
        <w:spacing w:line="360" w:lineRule="auto"/>
        <w:ind w:right="-29" w:rightChars="-14" w:firstLine="0" w:firstLineChars="0"/>
        <w:jc w:val="both"/>
        <w:rPr>
          <w:rFonts w:hint="eastAsia" w:ascii="宋体" w:hAnsi="宋体" w:eastAsia="宋体" w:cs="宋体"/>
          <w:bCs/>
          <w:color w:val="000000" w:themeColor="text1"/>
          <w:sz w:val="21"/>
          <w:szCs w:val="21"/>
          <w:highlight w:val="none"/>
          <w:lang w:val="zh-CN"/>
          <w14:textFill>
            <w14:solidFill>
              <w14:schemeClr w14:val="tx1"/>
            </w14:solidFill>
          </w14:textFill>
        </w:rPr>
      </w:pPr>
    </w:p>
    <w:p w14:paraId="2366D3B2">
      <w:pPr>
        <w:numPr>
          <w:ilvl w:val="0"/>
          <w:numId w:val="1"/>
        </w:numPr>
        <w:autoSpaceDE w:val="0"/>
        <w:autoSpaceDN w:val="0"/>
        <w:adjustRightInd w:val="0"/>
        <w:snapToGrid w:val="0"/>
        <w:spacing w:line="360" w:lineRule="auto"/>
        <w:ind w:right="-34"/>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000000" w:themeColor="text1"/>
          <w:szCs w:val="21"/>
          <w:highlight w:val="none"/>
          <w14:textFill>
            <w14:solidFill>
              <w14:schemeClr w14:val="tx1"/>
            </w14:solidFill>
          </w14:textFill>
        </w:rPr>
        <w:t>政府采购</w:t>
      </w:r>
      <w:r>
        <w:rPr>
          <w:rFonts w:hint="eastAsia" w:ascii="宋体" w:hAnsi="宋体" w:eastAsia="宋体" w:cs="宋体"/>
          <w:color w:val="000000" w:themeColor="text1"/>
          <w:szCs w:val="21"/>
          <w:highlight w:val="none"/>
          <w:lang w:val="zh-CN"/>
          <w14:textFill>
            <w14:solidFill>
              <w14:schemeClr w14:val="tx1"/>
            </w14:solidFill>
          </w14:textFill>
        </w:rPr>
        <w:t>严重违法失信行为记录名单的投标人，做好相关记录（处罚期限届满的除外）。</w:t>
      </w:r>
    </w:p>
    <w:p w14:paraId="01F309A8">
      <w:pPr>
        <w:autoSpaceDE w:val="0"/>
        <w:autoSpaceDN w:val="0"/>
        <w:adjustRightInd w:val="0"/>
        <w:spacing w:line="360" w:lineRule="auto"/>
        <w:ind w:right="-29" w:rightChars="-14" w:firstLine="420"/>
        <w:rPr>
          <w:rFonts w:hint="eastAsia" w:ascii="宋体" w:hAnsi="宋体" w:eastAsia="宋体" w:cs="宋体"/>
          <w:color w:val="000000" w:themeColor="text1"/>
          <w:szCs w:val="21"/>
          <w:highlight w:val="none"/>
          <w:lang w:val="zh-CN"/>
          <w14:textFill>
            <w14:solidFill>
              <w14:schemeClr w14:val="tx1"/>
            </w14:solidFill>
          </w14:textFill>
        </w:rPr>
      </w:pPr>
    </w:p>
    <w:p w14:paraId="2F7B1C33">
      <w:pPr>
        <w:numPr>
          <w:ilvl w:val="0"/>
          <w:numId w:val="1"/>
        </w:numPr>
        <w:autoSpaceDE w:val="0"/>
        <w:autoSpaceDN w:val="0"/>
        <w:adjustRightInd w:val="0"/>
        <w:snapToGrid w:val="0"/>
        <w:spacing w:line="360" w:lineRule="auto"/>
        <w:ind w:right="-34"/>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投标、开标时间及地点：</w:t>
      </w:r>
    </w:p>
    <w:p w14:paraId="412573B2">
      <w:pPr>
        <w:autoSpaceDE w:val="0"/>
        <w:autoSpaceDN w:val="0"/>
        <w:adjustRightInd w:val="0"/>
        <w:spacing w:line="360" w:lineRule="auto"/>
        <w:ind w:right="-29" w:rightChars="-14"/>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 投标文件递交时间：</w:t>
      </w:r>
      <w:r>
        <w:rPr>
          <w:rFonts w:hint="eastAsia" w:ascii="宋体" w:hAnsi="宋体" w:eastAsia="宋体" w:cs="宋体"/>
          <w:color w:val="000000" w:themeColor="text1"/>
          <w:szCs w:val="21"/>
          <w:highlight w:val="none"/>
          <w:u w:val="single"/>
          <w14:textFill>
            <w14:solidFill>
              <w14:schemeClr w14:val="tx1"/>
            </w14:solidFill>
          </w14:textFill>
        </w:rPr>
        <w:t>2024</w:t>
      </w:r>
      <w:r>
        <w:rPr>
          <w:rFonts w:hint="eastAsia" w:ascii="宋体" w:hAnsi="宋体" w:eastAsia="宋体" w:cs="宋体"/>
          <w:bCs/>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10 </w:t>
      </w:r>
      <w:r>
        <w:rPr>
          <w:rFonts w:hint="eastAsia" w:ascii="宋体" w:hAnsi="宋体" w:eastAsia="宋体" w:cs="宋体"/>
          <w:bCs/>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17 </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bCs/>
          <w:color w:val="000000" w:themeColor="text1"/>
          <w:kern w:val="0"/>
          <w:szCs w:val="21"/>
          <w:highlight w:val="none"/>
          <w:u w:val="single"/>
          <w:lang w:val="en-US" w:eastAsia="zh-CN"/>
          <w14:textFill>
            <w14:solidFill>
              <w14:schemeClr w14:val="tx1"/>
            </w14:solidFill>
          </w14:textFill>
        </w:rPr>
        <w:t>10</w:t>
      </w:r>
      <w:r>
        <w:rPr>
          <w:rFonts w:hint="eastAsia" w:ascii="宋体" w:hAnsi="宋体" w:eastAsia="宋体" w:cs="宋体"/>
          <w:bCs/>
          <w:color w:val="000000" w:themeColor="text1"/>
          <w:kern w:val="0"/>
          <w:szCs w:val="21"/>
          <w:highlight w:val="none"/>
          <w:u w:val="single"/>
          <w14:textFill>
            <w14:solidFill>
              <w14:schemeClr w14:val="tx1"/>
            </w14:solidFill>
          </w14:textFill>
        </w:rPr>
        <w:t>:</w:t>
      </w:r>
      <w:r>
        <w:rPr>
          <w:rFonts w:hint="eastAsia" w:ascii="宋体" w:hAnsi="宋体" w:eastAsia="宋体" w:cs="宋体"/>
          <w:bCs/>
          <w:color w:val="000000" w:themeColor="text1"/>
          <w:kern w:val="0"/>
          <w:szCs w:val="21"/>
          <w:highlight w:val="none"/>
          <w:u w:val="single"/>
          <w:lang w:val="en-US" w:eastAsia="zh-CN"/>
          <w14:textFill>
            <w14:solidFill>
              <w14:schemeClr w14:val="tx1"/>
            </w14:solidFill>
          </w14:textFill>
        </w:rPr>
        <w:t>00</w:t>
      </w: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bCs/>
          <w:color w:val="000000" w:themeColor="text1"/>
          <w:kern w:val="0"/>
          <w:szCs w:val="21"/>
          <w:highlight w:val="none"/>
          <w:u w:val="single"/>
          <w14:textFill>
            <w14:solidFill>
              <w14:schemeClr w14:val="tx1"/>
            </w14:solidFill>
          </w14:textFill>
        </w:rPr>
        <w:t>:</w:t>
      </w:r>
      <w:r>
        <w:rPr>
          <w:rFonts w:hint="eastAsia" w:ascii="宋体" w:hAnsi="宋体" w:eastAsia="宋体" w:cs="宋体"/>
          <w:bCs/>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Cs w:val="21"/>
          <w:highlight w:val="none"/>
          <w:u w:val="single"/>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w:t>
      </w:r>
    </w:p>
    <w:p w14:paraId="6AEDAD89">
      <w:pPr>
        <w:autoSpaceDE w:val="0"/>
        <w:autoSpaceDN w:val="0"/>
        <w:adjustRightInd w:val="0"/>
        <w:spacing w:line="360" w:lineRule="auto"/>
        <w:ind w:right="-29" w:rightChars="-14"/>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5.2 投标截止及开标时间：</w:t>
      </w:r>
      <w:r>
        <w:rPr>
          <w:rFonts w:hint="eastAsia" w:ascii="宋体" w:hAnsi="宋体" w:eastAsia="宋体" w:cs="宋体"/>
          <w:color w:val="000000" w:themeColor="text1"/>
          <w:szCs w:val="21"/>
          <w:highlight w:val="none"/>
          <w:u w:val="single"/>
          <w14:textFill>
            <w14:solidFill>
              <w14:schemeClr w14:val="tx1"/>
            </w14:solidFill>
          </w14:textFill>
        </w:rPr>
        <w:t>2024</w:t>
      </w:r>
      <w:r>
        <w:rPr>
          <w:rFonts w:hint="eastAsia" w:ascii="宋体" w:hAnsi="宋体" w:eastAsia="宋体" w:cs="宋体"/>
          <w:bCs/>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10 </w:t>
      </w:r>
      <w:r>
        <w:rPr>
          <w:rFonts w:hint="eastAsia" w:ascii="宋体" w:hAnsi="宋体" w:eastAsia="宋体" w:cs="宋体"/>
          <w:bCs/>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17 </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bCs/>
          <w:color w:val="000000" w:themeColor="text1"/>
          <w:kern w:val="0"/>
          <w:szCs w:val="21"/>
          <w:highlight w:val="none"/>
          <w:u w:val="single"/>
          <w14:textFill>
            <w14:solidFill>
              <w14:schemeClr w14:val="tx1"/>
            </w14:solidFill>
          </w14:textFill>
        </w:rPr>
        <w:t>:</w:t>
      </w:r>
      <w:r>
        <w:rPr>
          <w:rFonts w:hint="eastAsia" w:ascii="宋体" w:hAnsi="宋体" w:eastAsia="宋体" w:cs="宋体"/>
          <w:bCs/>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Cs w:val="21"/>
          <w:highlight w:val="none"/>
          <w:u w:val="single"/>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w:t>
      </w:r>
    </w:p>
    <w:p w14:paraId="01B42325">
      <w:pPr>
        <w:autoSpaceDE w:val="0"/>
        <w:autoSpaceDN w:val="0"/>
        <w:adjustRightInd w:val="0"/>
        <w:spacing w:line="360" w:lineRule="auto"/>
        <w:ind w:right="-29" w:rightChars="-1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5.3 投标及开标地点：东莞市南城区西平社区宏伟三路45号东莞市公共资源交易中心第 </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 xml:space="preserve"> 开标室。</w:t>
      </w:r>
    </w:p>
    <w:p w14:paraId="5B80F6F6">
      <w:pPr>
        <w:autoSpaceDE w:val="0"/>
        <w:autoSpaceDN w:val="0"/>
        <w:adjustRightInd w:val="0"/>
        <w:spacing w:line="360" w:lineRule="auto"/>
        <w:ind w:right="-29" w:rightChars="-14" w:firstLine="210" w:firstLineChars="100"/>
        <w:rPr>
          <w:rFonts w:hint="eastAsia" w:ascii="宋体" w:hAnsi="宋体" w:eastAsia="宋体" w:cs="宋体"/>
          <w:color w:val="000000" w:themeColor="text1"/>
          <w:kern w:val="0"/>
          <w:szCs w:val="21"/>
          <w:highlight w:val="none"/>
          <w14:textFill>
            <w14:solidFill>
              <w14:schemeClr w14:val="tx1"/>
            </w14:solidFill>
          </w14:textFill>
        </w:rPr>
      </w:pPr>
    </w:p>
    <w:p w14:paraId="4E6E2C2D">
      <w:pPr>
        <w:numPr>
          <w:ilvl w:val="0"/>
          <w:numId w:val="1"/>
        </w:numPr>
        <w:autoSpaceDE w:val="0"/>
        <w:autoSpaceDN w:val="0"/>
        <w:adjustRightInd w:val="0"/>
        <w:snapToGrid w:val="0"/>
        <w:spacing w:line="360" w:lineRule="auto"/>
        <w:ind w:right="-34"/>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宋体"/>
          <w:color w:val="000000" w:themeColor="text1"/>
          <w:szCs w:val="21"/>
          <w:highlight w:val="none"/>
          <w:lang w:val="zh-CN"/>
          <w14:textFill>
            <w14:solidFill>
              <w14:schemeClr w14:val="tx1"/>
            </w14:solidFill>
          </w14:textFill>
        </w:rPr>
        <w:t>。电报、传真形式的投标概不接受。</w:t>
      </w:r>
    </w:p>
    <w:p w14:paraId="40E0EB16">
      <w:pPr>
        <w:autoSpaceDE w:val="0"/>
        <w:autoSpaceDN w:val="0"/>
        <w:adjustRightInd w:val="0"/>
        <w:spacing w:line="360" w:lineRule="auto"/>
        <w:ind w:left="210" w:leftChars="100" w:right="-29" w:rightChars="-14"/>
        <w:rPr>
          <w:rFonts w:hint="eastAsia" w:ascii="宋体" w:hAnsi="宋体" w:eastAsia="宋体" w:cs="宋体"/>
          <w:color w:val="000000" w:themeColor="text1"/>
          <w:szCs w:val="21"/>
          <w:highlight w:val="none"/>
          <w:lang w:val="zh-CN"/>
          <w14:textFill>
            <w14:solidFill>
              <w14:schemeClr w14:val="tx1"/>
            </w14:solidFill>
          </w14:textFill>
        </w:rPr>
      </w:pPr>
    </w:p>
    <w:p w14:paraId="13B3EF42">
      <w:pPr>
        <w:numPr>
          <w:ilvl w:val="0"/>
          <w:numId w:val="1"/>
        </w:numPr>
        <w:autoSpaceDE w:val="0"/>
        <w:autoSpaceDN w:val="0"/>
        <w:adjustRightInd w:val="0"/>
        <w:snapToGrid w:val="0"/>
        <w:spacing w:line="360" w:lineRule="auto"/>
        <w:ind w:right="-34"/>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本项目相关公告在以下媒介发布：广东省公共资源交易平台（ygp.gdzwfw.gov.cn）、中国招标投标公共服务平台（www.cebpubservice.com）、东莞市水务集团有限公司网（www.dgswjt.cn）、招标代理机构网站</w:t>
      </w:r>
      <w:r>
        <w:rPr>
          <w:rFonts w:hint="eastAsia" w:ascii="宋体" w:hAnsi="宋体" w:eastAsia="宋体" w:cs="宋体"/>
          <w:bCs/>
          <w:color w:val="000000" w:themeColor="text1"/>
          <w:szCs w:val="21"/>
          <w:highlight w:val="none"/>
          <w:lang w:val="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www.dashengtd.com</w:t>
      </w:r>
      <w:r>
        <w:rPr>
          <w:rFonts w:hint="eastAsia" w:ascii="宋体" w:hAnsi="宋体" w:eastAsia="宋体" w:cs="宋体"/>
          <w:bCs/>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w:t>
      </w:r>
    </w:p>
    <w:p w14:paraId="32D59530">
      <w:pPr>
        <w:autoSpaceDE w:val="0"/>
        <w:autoSpaceDN w:val="0"/>
        <w:adjustRightInd w:val="0"/>
        <w:spacing w:line="360" w:lineRule="auto"/>
        <w:ind w:left="210" w:leftChars="100" w:right="-29" w:rightChars="-14"/>
        <w:rPr>
          <w:rFonts w:hint="eastAsia"/>
          <w:color w:val="000000" w:themeColor="text1"/>
          <w:highlight w:val="none"/>
          <w14:textFill>
            <w14:solidFill>
              <w14:schemeClr w14:val="tx1"/>
            </w14:solidFill>
          </w14:textFill>
        </w:rPr>
      </w:pPr>
    </w:p>
    <w:p w14:paraId="2A1C0815">
      <w:pPr>
        <w:numPr>
          <w:ilvl w:val="0"/>
          <w:numId w:val="1"/>
        </w:numPr>
        <w:autoSpaceDE w:val="0"/>
        <w:autoSpaceDN w:val="0"/>
        <w:adjustRightInd w:val="0"/>
        <w:snapToGrid w:val="0"/>
        <w:spacing w:line="360" w:lineRule="auto"/>
        <w:ind w:right="-3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招标人联系方式</w:t>
      </w:r>
    </w:p>
    <w:p w14:paraId="7CB48AF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w:t>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w:t>
      </w:r>
    </w:p>
    <w:p w14:paraId="38AE146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广东省东莞市南城街道滨河路</w:t>
      </w:r>
      <w:r>
        <w:rPr>
          <w:rFonts w:ascii="宋体" w:hAnsi="宋体" w:eastAsia="宋体" w:cs="Times New Roman"/>
          <w:color w:val="000000" w:themeColor="text1"/>
          <w:kern w:val="0"/>
          <w:szCs w:val="21"/>
          <w:highlight w:val="none"/>
          <w14:textFill>
            <w14:solidFill>
              <w14:schemeClr w14:val="tx1"/>
            </w14:solidFill>
          </w14:textFill>
        </w:rPr>
        <w:t>100号一期1号楼101室</w:t>
      </w:r>
    </w:p>
    <w:p w14:paraId="5CF38B5D">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万淑婷</w:t>
      </w:r>
    </w:p>
    <w:p w14:paraId="257F567E">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  话：0769-</w:t>
      </w:r>
      <w:r>
        <w:rPr>
          <w:rFonts w:hint="eastAsia" w:ascii="宋体" w:hAnsi="宋体" w:eastAsia="宋体" w:cs="宋体"/>
          <w:color w:val="000000" w:themeColor="text1"/>
          <w:kern w:val="0"/>
          <w:szCs w:val="21"/>
          <w:highlight w:val="none"/>
          <w:lang w:val="en-US" w:eastAsia="zh-CN"/>
          <w14:textFill>
            <w14:solidFill>
              <w14:schemeClr w14:val="tx1"/>
            </w14:solidFill>
          </w14:textFill>
        </w:rPr>
        <w:t>23286160</w:t>
      </w:r>
    </w:p>
    <w:p w14:paraId="029D5729">
      <w:pPr>
        <w:autoSpaceDE w:val="0"/>
        <w:autoSpaceDN w:val="0"/>
        <w:adjustRightInd w:val="0"/>
        <w:spacing w:line="360" w:lineRule="auto"/>
        <w:ind w:right="-29" w:rightChars="-14" w:firstLine="420"/>
        <w:rPr>
          <w:rFonts w:hint="eastAsia" w:ascii="宋体" w:hAnsi="宋体" w:eastAsia="宋体" w:cs="宋体"/>
          <w:color w:val="000000" w:themeColor="text1"/>
          <w:kern w:val="0"/>
          <w:szCs w:val="21"/>
          <w:highlight w:val="none"/>
          <w14:textFill>
            <w14:solidFill>
              <w14:schemeClr w14:val="tx1"/>
            </w14:solidFill>
          </w14:textFill>
        </w:rPr>
      </w:pPr>
    </w:p>
    <w:p w14:paraId="0FC3A9EE">
      <w:pPr>
        <w:numPr>
          <w:ilvl w:val="0"/>
          <w:numId w:val="1"/>
        </w:numPr>
        <w:autoSpaceDE w:val="0"/>
        <w:autoSpaceDN w:val="0"/>
        <w:adjustRightInd w:val="0"/>
        <w:snapToGrid w:val="0"/>
        <w:spacing w:line="360" w:lineRule="auto"/>
        <w:ind w:right="-3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招标代理机构联系方式</w:t>
      </w:r>
    </w:p>
    <w:p w14:paraId="7F206A0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000000" w:themeColor="text1"/>
          <w:kern w:val="0"/>
          <w:szCs w:val="21"/>
          <w:highlight w:val="none"/>
          <w:lang w:val="en-US" w:eastAsia="zh-CN"/>
          <w14:textFill>
            <w14:solidFill>
              <w14:schemeClr w14:val="tx1"/>
            </w14:solidFill>
          </w14:textFill>
        </w:rPr>
      </w:pPr>
      <w:bookmarkStart w:id="10" w:name="_Toc486167661"/>
      <w:bookmarkStart w:id="11" w:name="_Toc450662847"/>
      <w:bookmarkStart w:id="12" w:name="_Toc31764_WPSOffice_Level1"/>
      <w:r>
        <w:rPr>
          <w:rFonts w:hint="eastAsia" w:ascii="宋体" w:hAnsi="宋体" w:eastAsia="宋体" w:cs="宋体"/>
          <w:color w:val="000000" w:themeColor="text1"/>
          <w:kern w:val="0"/>
          <w:szCs w:val="21"/>
          <w:highlight w:val="none"/>
          <w14:textFill>
            <w14:solidFill>
              <w14:schemeClr w14:val="tx1"/>
            </w14:solidFill>
          </w14:textFill>
        </w:rPr>
        <w:t>招标代理机构：东莞市达盛招标代理有限公司</w:t>
      </w:r>
    </w:p>
    <w:p w14:paraId="4FC96E2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地址：东莞市东城街道御景大厦303室（东城区政府旁）</w:t>
      </w:r>
    </w:p>
    <w:p w14:paraId="2A20554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联系人：杨浩林</w:t>
      </w:r>
    </w:p>
    <w:p w14:paraId="708D99C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电话：0769-22113229</w:t>
      </w:r>
    </w:p>
    <w:p w14:paraId="3059E9E9">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000000" w:themeColor="text1"/>
          <w:kern w:val="44"/>
          <w:sz w:val="32"/>
          <w:szCs w:val="32"/>
          <w:highlight w:val="none"/>
          <w14:textFill>
            <w14:solidFill>
              <w14:schemeClr w14:val="tx1"/>
            </w14:solidFill>
          </w14:textFill>
        </w:rPr>
      </w:pPr>
      <w:bookmarkStart w:id="13" w:name="_Toc142508311"/>
      <w:bookmarkStart w:id="14" w:name="_Toc18212"/>
      <w:bookmarkStart w:id="15" w:name="_Toc15111"/>
      <w:bookmarkStart w:id="16" w:name="_Toc31498"/>
      <w:bookmarkStart w:id="17" w:name="_Toc19749"/>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0"/>
      <w:bookmarkEnd w:id="11"/>
      <w:bookmarkEnd w:id="12"/>
      <w:bookmarkEnd w:id="13"/>
      <w:bookmarkEnd w:id="14"/>
      <w:bookmarkEnd w:id="15"/>
      <w:bookmarkEnd w:id="16"/>
      <w:bookmarkEnd w:id="17"/>
    </w:p>
    <w:p w14:paraId="3146A043">
      <w:pPr>
        <w:keepNext/>
        <w:keepLines/>
        <w:autoSpaceDE w:val="0"/>
        <w:autoSpaceDN w:val="0"/>
        <w:adjustRightInd w:val="0"/>
        <w:spacing w:line="360" w:lineRule="auto"/>
        <w:jc w:val="left"/>
        <w:outlineLvl w:val="1"/>
        <w:rPr>
          <w:rFonts w:hint="eastAsia" w:ascii="宋体" w:hAnsi="宋体" w:eastAsia="宋体" w:cs="宋体"/>
          <w:b/>
          <w:bCs/>
          <w:color w:val="000000" w:themeColor="text1"/>
          <w:kern w:val="44"/>
          <w:szCs w:val="21"/>
          <w:highlight w:val="none"/>
          <w:lang w:val="zh-CN"/>
          <w14:textFill>
            <w14:solidFill>
              <w14:schemeClr w14:val="tx1"/>
            </w14:solidFill>
          </w14:textFill>
        </w:rPr>
      </w:pPr>
      <w:bookmarkStart w:id="18" w:name="_Toc24479"/>
      <w:bookmarkStart w:id="19" w:name="_Toc9555"/>
      <w:bookmarkStart w:id="20" w:name="_Toc486167662"/>
      <w:bookmarkStart w:id="21" w:name="_Toc30936"/>
      <w:bookmarkStart w:id="22" w:name="_Toc11520"/>
      <w:bookmarkStart w:id="23" w:name="_Toc142508312"/>
      <w:bookmarkStart w:id="24" w:name="_Toc15366_WPSOffice_Level2"/>
      <w:bookmarkStart w:id="25" w:name="_Toc140596871"/>
      <w:bookmarkStart w:id="26" w:name="_Toc450662848"/>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18"/>
      <w:bookmarkEnd w:id="19"/>
      <w:bookmarkEnd w:id="20"/>
      <w:bookmarkEnd w:id="21"/>
      <w:bookmarkEnd w:id="22"/>
      <w:bookmarkEnd w:id="23"/>
      <w:bookmarkEnd w:id="24"/>
      <w:bookmarkEnd w:id="25"/>
      <w:bookmarkEnd w:id="26"/>
    </w:p>
    <w:p w14:paraId="4F793453">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7" w:name="_Toc21710_WPSOffice_Level3"/>
      <w:bookmarkStart w:id="28" w:name="_Toc450662849"/>
      <w:bookmarkStart w:id="29" w:name="_Toc486167663"/>
      <w:bookmarkStart w:id="30" w:name="_Toc142508313"/>
      <w:bookmarkStart w:id="31" w:name="_Toc5109"/>
      <w:bookmarkStart w:id="32" w:name="_Toc9608"/>
      <w:bookmarkStart w:id="33" w:name="_Toc16303"/>
      <w:bookmarkStart w:id="34" w:name="_Toc23333"/>
      <w:r>
        <w:rPr>
          <w:rFonts w:hint="eastAsia" w:ascii="宋体" w:hAnsi="宋体" w:eastAsia="宋体" w:cs="宋体"/>
          <w:color w:val="000000" w:themeColor="text1"/>
          <w:szCs w:val="21"/>
          <w:highlight w:val="none"/>
          <w:lang w:val="zh-CN"/>
          <w14:textFill>
            <w14:solidFill>
              <w14:schemeClr w14:val="tx1"/>
            </w14:solidFill>
          </w14:textFill>
        </w:rPr>
        <w:t>1 资金来源：企业自筹资金。</w:t>
      </w:r>
      <w:bookmarkEnd w:id="27"/>
      <w:bookmarkEnd w:id="28"/>
      <w:bookmarkEnd w:id="29"/>
      <w:bookmarkEnd w:id="30"/>
      <w:bookmarkEnd w:id="31"/>
      <w:bookmarkEnd w:id="32"/>
      <w:bookmarkEnd w:id="33"/>
      <w:bookmarkEnd w:id="34"/>
    </w:p>
    <w:p w14:paraId="43C858CB">
      <w:pPr>
        <w:autoSpaceDE w:val="0"/>
        <w:autoSpaceDN w:val="0"/>
        <w:adjustRightInd w:val="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23FA9746">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000000" w:themeColor="text1"/>
          <w:szCs w:val="21"/>
          <w:highlight w:val="none"/>
          <w:lang w:val="zh-CN"/>
          <w14:textFill>
            <w14:solidFill>
              <w14:schemeClr w14:val="tx1"/>
            </w14:solidFill>
          </w14:textFill>
        </w:rPr>
      </w:pPr>
      <w:bookmarkStart w:id="35" w:name="_Toc142508314"/>
      <w:bookmarkStart w:id="36" w:name="_Toc80_WPSOffice_Level3"/>
      <w:bookmarkStart w:id="37" w:name="_Toc486167664"/>
      <w:bookmarkStart w:id="38" w:name="_Toc4333"/>
      <w:bookmarkStart w:id="39" w:name="_Toc28698"/>
      <w:bookmarkStart w:id="40" w:name="_Toc32244"/>
      <w:bookmarkStart w:id="41" w:name="_Toc18557"/>
      <w:bookmarkStart w:id="42" w:name="_Toc450662850"/>
      <w:r>
        <w:rPr>
          <w:rFonts w:hint="eastAsia" w:ascii="宋体" w:hAnsi="宋体" w:eastAsia="宋体" w:cs="宋体"/>
          <w:b/>
          <w:color w:val="000000" w:themeColor="text1"/>
          <w:szCs w:val="21"/>
          <w:highlight w:val="none"/>
          <w:lang w:val="zh-CN"/>
          <w14:textFill>
            <w14:solidFill>
              <w14:schemeClr w14:val="tx1"/>
            </w14:solidFill>
          </w14:textFill>
        </w:rPr>
        <w:t>2 合格的投标人</w:t>
      </w:r>
      <w:bookmarkEnd w:id="35"/>
      <w:bookmarkEnd w:id="36"/>
      <w:bookmarkEnd w:id="37"/>
      <w:bookmarkEnd w:id="38"/>
      <w:bookmarkEnd w:id="39"/>
      <w:bookmarkEnd w:id="40"/>
      <w:bookmarkEnd w:id="41"/>
      <w:bookmarkEnd w:id="42"/>
    </w:p>
    <w:p w14:paraId="500D4776">
      <w:pPr>
        <w:keepNext w:val="0"/>
        <w:keepLines w:val="0"/>
        <w:pageBreakBefore w:val="0"/>
        <w:widowControl w:val="0"/>
        <w:kinsoku/>
        <w:wordWrap/>
        <w:overflowPunct/>
        <w:topLinePunct w:val="0"/>
        <w:autoSpaceDE w:val="0"/>
        <w:autoSpaceDN w:val="0"/>
        <w:bidi w:val="0"/>
        <w:adjustRightInd w:val="0"/>
        <w:snapToGrid/>
        <w:spacing w:line="360" w:lineRule="auto"/>
        <w:ind w:left="212" w:leftChars="-100" w:hanging="422" w:hangingChars="200"/>
        <w:textAlignment w:val="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 xml:space="preserve">2.1 </w:t>
      </w:r>
      <w:r>
        <w:rPr>
          <w:rFonts w:hint="eastAsia" w:ascii="宋体" w:hAnsi="宋体" w:eastAsia="宋体" w:cs="宋体"/>
          <w:b/>
          <w:color w:val="000000" w:themeColor="text1"/>
          <w:szCs w:val="21"/>
          <w:highlight w:val="none"/>
          <w:u w:val="single"/>
          <w:lang w:val="zh-CN"/>
          <w14:textFill>
            <w14:solidFill>
              <w14:schemeClr w14:val="tx1"/>
            </w14:solidFill>
          </w14:textFill>
        </w:rPr>
        <w:t>合格的投标人条件见第一篇《招标公告》中第2条的“合格投标人资格要求”及本条以下2.2款至2.</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b/>
          <w:color w:val="000000" w:themeColor="text1"/>
          <w:szCs w:val="21"/>
          <w:highlight w:val="none"/>
          <w:u w:val="single"/>
          <w:lang w:val="zh-CN"/>
          <w14:textFill>
            <w14:solidFill>
              <w14:schemeClr w14:val="tx1"/>
            </w14:solidFill>
          </w14:textFill>
        </w:rPr>
        <w:t>款的通用要求</w:t>
      </w:r>
      <w:r>
        <w:rPr>
          <w:rFonts w:hint="eastAsia" w:ascii="宋体" w:hAnsi="宋体" w:eastAsia="宋体" w:cs="宋体"/>
          <w:b/>
          <w:color w:val="000000" w:themeColor="text1"/>
          <w:szCs w:val="21"/>
          <w:highlight w:val="none"/>
          <w:lang w:val="zh-CN"/>
          <w14:textFill>
            <w14:solidFill>
              <w14:schemeClr w14:val="tx1"/>
            </w14:solidFill>
          </w14:textFill>
        </w:rPr>
        <w:t>。</w:t>
      </w:r>
    </w:p>
    <w:p w14:paraId="27D22FBB">
      <w:pPr>
        <w:keepNext w:val="0"/>
        <w:keepLines w:val="0"/>
        <w:pageBreakBefore w:val="0"/>
        <w:widowControl w:val="0"/>
        <w:kinsoku/>
        <w:wordWrap/>
        <w:overflowPunct/>
        <w:topLinePunct w:val="0"/>
        <w:autoSpaceDE w:val="0"/>
        <w:autoSpaceDN w:val="0"/>
        <w:bidi w:val="0"/>
        <w:adjustRightInd w:val="0"/>
        <w:snapToGrid/>
        <w:spacing w:line="360" w:lineRule="auto"/>
        <w:ind w:left="212" w:leftChars="-100" w:hanging="422" w:hangingChars="200"/>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u w:val="single"/>
          <w14:textFill>
            <w14:solidFill>
              <w14:schemeClr w14:val="tx1"/>
            </w14:solidFill>
          </w14:textFill>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处罚说明</w:t>
      </w:r>
      <w:r>
        <w:rPr>
          <w:rFonts w:hint="eastAsia" w:ascii="宋体" w:hAnsi="宋体" w:eastAsia="宋体" w:cs="宋体"/>
          <w:b/>
          <w:color w:val="000000" w:themeColor="text1"/>
          <w:kern w:val="0"/>
          <w:szCs w:val="21"/>
          <w:highlight w:val="none"/>
          <w:u w:val="singl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409EBA9F">
      <w:pPr>
        <w:autoSpaceDE w:val="0"/>
        <w:autoSpaceDN w:val="0"/>
        <w:adjustRightInd w:val="0"/>
        <w:spacing w:line="360" w:lineRule="auto"/>
        <w:ind w:left="317" w:leftChars="-100" w:hanging="527" w:hangingChars="250"/>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 xml:space="preserve">2.3 </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投标人</w:t>
      </w:r>
      <w:r>
        <w:rPr>
          <w:rFonts w:hint="eastAsia" w:ascii="宋体" w:hAnsi="宋体" w:eastAsia="宋体" w:cs="宋体"/>
          <w:b/>
          <w:color w:val="000000" w:themeColor="text1"/>
          <w:szCs w:val="21"/>
          <w:highlight w:val="none"/>
          <w:u w:val="single"/>
          <w:lang w:val="zh-CN"/>
          <w14:textFill>
            <w14:solidFill>
              <w14:schemeClr w14:val="tx1"/>
            </w14:solidFill>
          </w14:textFill>
        </w:rPr>
        <w:t>符合《中华人民共和国招标投标法》第二十六条规定</w:t>
      </w:r>
      <w:r>
        <w:rPr>
          <w:rFonts w:hint="eastAsia" w:ascii="宋体" w:hAnsi="宋体" w:eastAsia="宋体" w:cs="宋体"/>
          <w:b/>
          <w:color w:val="000000" w:themeColor="text1"/>
          <w:szCs w:val="21"/>
          <w:highlight w:val="none"/>
          <w:lang w:val="zh-CN"/>
          <w14:textFill>
            <w14:solidFill>
              <w14:schemeClr w14:val="tx1"/>
            </w14:solidFill>
          </w14:textFill>
        </w:rPr>
        <w:t>。</w:t>
      </w:r>
    </w:p>
    <w:p w14:paraId="51202DD9">
      <w:pPr>
        <w:keepNext w:val="0"/>
        <w:keepLines w:val="0"/>
        <w:pageBreakBefore w:val="0"/>
        <w:widowControl w:val="0"/>
        <w:kinsoku/>
        <w:wordWrap/>
        <w:overflowPunct/>
        <w:topLinePunct w:val="0"/>
        <w:autoSpaceDE w:val="0"/>
        <w:autoSpaceDN w:val="0"/>
        <w:bidi w:val="0"/>
        <w:adjustRightInd w:val="0"/>
        <w:snapToGrid/>
        <w:spacing w:line="360" w:lineRule="auto"/>
        <w:ind w:left="214" w:leftChars="-99" w:hanging="422" w:hangingChars="200"/>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2.4 </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投标人（含其不具有独立法人资格的分支机构）未被列入“信用中国”网站（ </w:t>
      </w:r>
      <w:r>
        <w:rPr>
          <w:rFonts w:hint="eastAsia" w:ascii="宋体" w:hAnsi="宋体" w:eastAsia="宋体" w:cs="宋体"/>
          <w:b/>
          <w:color w:val="000000" w:themeColor="text1"/>
          <w:kern w:val="0"/>
          <w:szCs w:val="21"/>
          <w:highlight w:val="none"/>
          <w:u w:val="single"/>
          <w14:textFill>
            <w14:solidFill>
              <w14:schemeClr w14:val="tx1"/>
            </w14:solidFill>
          </w14:textFill>
        </w:rPr>
        <w:fldChar w:fldCharType="begin"/>
      </w:r>
      <w:r>
        <w:rPr>
          <w:rFonts w:hint="eastAsia" w:ascii="宋体" w:hAnsi="宋体" w:eastAsia="宋体" w:cs="宋体"/>
          <w:b/>
          <w:color w:val="000000" w:themeColor="text1"/>
          <w:kern w:val="0"/>
          <w:szCs w:val="21"/>
          <w:highlight w:val="none"/>
          <w:u w:val="single"/>
          <w14:textFill>
            <w14:solidFill>
              <w14:schemeClr w14:val="tx1"/>
            </w14:solidFill>
          </w14:textFill>
        </w:rPr>
        <w:instrText xml:space="preserve"> HYPERLINK "http://www.creditchina.gov.cn）失" </w:instrText>
      </w:r>
      <w:r>
        <w:rPr>
          <w:rFonts w:hint="eastAsia" w:ascii="宋体" w:hAnsi="宋体" w:eastAsia="宋体" w:cs="宋体"/>
          <w:b/>
          <w:color w:val="000000" w:themeColor="text1"/>
          <w:kern w:val="0"/>
          <w:szCs w:val="21"/>
          <w:highlight w:val="none"/>
          <w:u w:val="single"/>
          <w14:textFill>
            <w14:solidFill>
              <w14:schemeClr w14:val="tx1"/>
            </w14:solidFill>
          </w14:textFill>
        </w:rPr>
        <w:fldChar w:fldCharType="separate"/>
      </w:r>
      <w:r>
        <w:rPr>
          <w:rStyle w:val="43"/>
          <w:rFonts w:hint="eastAsia" w:ascii="宋体" w:hAnsi="宋体" w:eastAsia="宋体" w:cs="宋体"/>
          <w:b/>
          <w:color w:val="000000" w:themeColor="text1"/>
          <w:kern w:val="0"/>
          <w:szCs w:val="21"/>
          <w:highlight w:val="none"/>
          <w:u w:val="single"/>
          <w14:textFill>
            <w14:solidFill>
              <w14:schemeClr w14:val="tx1"/>
            </w14:solidFill>
          </w14:textFill>
        </w:rPr>
        <w:t>www.creditchina.gov.cn）失</w:t>
      </w:r>
      <w:r>
        <w:rPr>
          <w:rFonts w:hint="eastAsia" w:ascii="宋体" w:hAnsi="宋体" w:eastAsia="宋体" w:cs="宋体"/>
          <w:b/>
          <w:color w:val="000000" w:themeColor="text1"/>
          <w:kern w:val="0"/>
          <w:szCs w:val="21"/>
          <w:highlight w:val="none"/>
          <w:u w:val="single"/>
          <w14:textFill>
            <w14:solidFill>
              <w14:schemeClr w14:val="tx1"/>
            </w14:solidFill>
          </w14:textFill>
        </w:rPr>
        <w:fldChar w:fldCharType="end"/>
      </w:r>
      <w:r>
        <w:rPr>
          <w:rFonts w:hint="eastAsia" w:ascii="宋体" w:hAnsi="宋体" w:eastAsia="宋体" w:cs="宋体"/>
          <w:b/>
          <w:color w:val="000000" w:themeColor="text1"/>
          <w:kern w:val="0"/>
          <w:szCs w:val="21"/>
          <w:highlight w:val="none"/>
          <w:u w:val="single"/>
          <w14:textFill>
            <w14:solidFill>
              <w14:schemeClr w14:val="tx1"/>
            </w14:solidFill>
          </w14:textFill>
        </w:rPr>
        <w:t>信被执行人、重大税收违法失信主体、政府采购严重违法失信行为记录名单（处罚期限届满的除外）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22661239">
      <w:pPr>
        <w:keepNext w:val="0"/>
        <w:keepLines w:val="0"/>
        <w:pageBreakBefore w:val="0"/>
        <w:widowControl w:val="0"/>
        <w:kinsoku/>
        <w:wordWrap/>
        <w:overflowPunct/>
        <w:topLinePunct w:val="0"/>
        <w:autoSpaceDE w:val="0"/>
        <w:autoSpaceDN w:val="0"/>
        <w:bidi w:val="0"/>
        <w:adjustRightInd w:val="0"/>
        <w:snapToGrid/>
        <w:spacing w:line="360" w:lineRule="auto"/>
        <w:ind w:left="212" w:leftChars="-100" w:hanging="422" w:hangingChars="200"/>
        <w:textAlignment w:val="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 xml:space="preserve">2.5 </w:t>
      </w:r>
      <w:r>
        <w:rPr>
          <w:rFonts w:hint="eastAsia" w:ascii="宋体" w:hAnsi="宋体" w:eastAsia="宋体" w:cs="宋体"/>
          <w:b/>
          <w:color w:val="000000" w:themeColor="text1"/>
          <w:kern w:val="0"/>
          <w:szCs w:val="21"/>
          <w:highlight w:val="none"/>
          <w:u w:val="singl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3853E60C">
      <w:pPr>
        <w:tabs>
          <w:tab w:val="left" w:pos="426"/>
        </w:tabs>
        <w:autoSpaceDE w:val="0"/>
        <w:autoSpaceDN w:val="0"/>
        <w:adjustRightInd w:val="0"/>
        <w:spacing w:line="360" w:lineRule="auto"/>
        <w:ind w:left="319" w:leftChars="-100" w:hanging="529" w:hangingChars="252"/>
        <w:rPr>
          <w:rFonts w:hint="eastAsia" w:ascii="宋体" w:hAnsi="宋体" w:eastAsia="宋体" w:cs="宋体"/>
          <w:color w:val="000000" w:themeColor="text1"/>
          <w:kern w:val="0"/>
          <w:szCs w:val="24"/>
          <w:highlight w:val="none"/>
          <w14:textFill>
            <w14:solidFill>
              <w14:schemeClr w14:val="tx1"/>
            </w14:solidFill>
          </w14:textFill>
        </w:rPr>
      </w:pPr>
    </w:p>
    <w:p w14:paraId="77AA67FC">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000000" w:themeColor="text1"/>
          <w:szCs w:val="21"/>
          <w:highlight w:val="none"/>
          <w14:textFill>
            <w14:solidFill>
              <w14:schemeClr w14:val="tx1"/>
            </w14:solidFill>
          </w14:textFill>
        </w:rPr>
      </w:pPr>
      <w:bookmarkStart w:id="43" w:name="_Toc142508315"/>
      <w:bookmarkStart w:id="44" w:name="_Toc23847_WPSOffice_Level3"/>
      <w:bookmarkStart w:id="45" w:name="_Toc11689"/>
      <w:bookmarkStart w:id="46" w:name="_Toc19774"/>
      <w:bookmarkStart w:id="47" w:name="_Toc16100"/>
      <w:bookmarkStart w:id="48" w:name="_Toc29768"/>
      <w:bookmarkStart w:id="49" w:name="_Toc486167665"/>
      <w:bookmarkStart w:id="50" w:name="_Toc450662851"/>
      <w:r>
        <w:rPr>
          <w:rFonts w:hint="eastAsia" w:ascii="宋体" w:hAnsi="宋体" w:eastAsia="宋体" w:cs="宋体"/>
          <w:b/>
          <w:color w:val="000000" w:themeColor="text1"/>
          <w:szCs w:val="21"/>
          <w:highlight w:val="none"/>
          <w:lang w:val="zh-CN"/>
          <w14:textFill>
            <w14:solidFill>
              <w14:schemeClr w14:val="tx1"/>
            </w14:solidFill>
          </w14:textFill>
        </w:rPr>
        <w:t>3 合格的</w:t>
      </w:r>
      <w:bookmarkEnd w:id="43"/>
      <w:bookmarkEnd w:id="44"/>
      <w:r>
        <w:rPr>
          <w:rFonts w:hint="eastAsia" w:ascii="宋体" w:hAnsi="宋体" w:eastAsia="宋体" w:cs="宋体"/>
          <w:b/>
          <w:color w:val="000000" w:themeColor="text1"/>
          <w:szCs w:val="21"/>
          <w:highlight w:val="none"/>
          <w14:textFill>
            <w14:solidFill>
              <w14:schemeClr w14:val="tx1"/>
            </w14:solidFill>
          </w14:textFill>
        </w:rPr>
        <w:t>服务</w:t>
      </w:r>
      <w:bookmarkEnd w:id="45"/>
      <w:bookmarkEnd w:id="46"/>
      <w:bookmarkEnd w:id="47"/>
      <w:bookmarkEnd w:id="48"/>
    </w:p>
    <w:p w14:paraId="16245B78">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hanging="420" w:hangingChars="200"/>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“服务”是指投标人按招标文件规定完成的全部服务内容，其中包括完成服务所需的货物和工程，及须承担的技术支持、培训和其它伴随服务。</w:t>
      </w:r>
    </w:p>
    <w:p w14:paraId="205C248E">
      <w:pPr>
        <w:autoSpaceDE w:val="0"/>
        <w:autoSpaceDN w:val="0"/>
        <w:adjustRightInd w:val="0"/>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bookmarkStart w:id="51" w:name="_Toc533708063"/>
      <w:bookmarkStart w:id="52" w:name="_Toc1977663"/>
      <w:r>
        <w:rPr>
          <w:rFonts w:hint="eastAsia" w:ascii="宋体" w:hAnsi="宋体" w:eastAsia="宋体" w:cs="宋体"/>
          <w:color w:val="000000" w:themeColor="text1"/>
          <w:szCs w:val="21"/>
          <w:highlight w:val="none"/>
          <w:lang w:val="zh-CN"/>
          <w14:textFill>
            <w14:solidFill>
              <w14:schemeClr w14:val="tx1"/>
            </w14:solidFill>
          </w14:textFill>
        </w:rPr>
        <w:t xml:space="preserve">3.2 </w:t>
      </w:r>
      <w:bookmarkEnd w:id="51"/>
      <w:bookmarkEnd w:id="52"/>
      <w:bookmarkStart w:id="53" w:name="_Toc1977665"/>
      <w:bookmarkStart w:id="54" w:name="_Toc533708065"/>
      <w:r>
        <w:rPr>
          <w:rFonts w:hint="eastAsia" w:ascii="宋体" w:hAnsi="宋体" w:eastAsia="宋体" w:cs="宋体"/>
          <w:color w:val="000000" w:themeColor="text1"/>
          <w:szCs w:val="21"/>
          <w:highlight w:val="none"/>
          <w:lang w:val="zh-CN"/>
          <w14:textFill>
            <w14:solidFill>
              <w14:schemeClr w14:val="tx1"/>
            </w14:solidFill>
          </w14:textFill>
        </w:rPr>
        <w:t>投标人必须保证提供的所有</w:t>
      </w: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的任何部分均为最新正式版本。</w:t>
      </w:r>
      <w:bookmarkEnd w:id="53"/>
      <w:bookmarkEnd w:id="54"/>
    </w:p>
    <w:p w14:paraId="31E67BEF">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hanging="420" w:hangingChars="200"/>
        <w:textAlignment w:val="auto"/>
        <w:rPr>
          <w:rFonts w:hint="eastAsia" w:ascii="宋体" w:hAnsi="宋体" w:eastAsia="宋体" w:cs="宋体"/>
          <w:color w:val="000000" w:themeColor="text1"/>
          <w:szCs w:val="21"/>
          <w:highlight w:val="none"/>
          <w:lang w:val="zh-CN"/>
          <w14:textFill>
            <w14:solidFill>
              <w14:schemeClr w14:val="tx1"/>
            </w14:solidFill>
          </w14:textFill>
        </w:rPr>
      </w:pPr>
      <w:bookmarkStart w:id="55" w:name="_Toc533708066"/>
      <w:bookmarkStart w:id="56" w:name="_Toc19776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 xml:space="preserve"> </w:t>
      </w:r>
      <w:bookmarkEnd w:id="55"/>
      <w:bookmarkEnd w:id="56"/>
      <w:bookmarkStart w:id="57" w:name="_Toc533708067"/>
      <w:bookmarkStart w:id="58" w:name="_Toc1977667"/>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7"/>
      <w:bookmarkEnd w:id="58"/>
    </w:p>
    <w:p w14:paraId="0F36AF3B">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hanging="420" w:hangingChars="200"/>
        <w:textAlignment w:val="auto"/>
        <w:rPr>
          <w:rFonts w:hint="eastAsia" w:ascii="宋体" w:hAnsi="宋体" w:eastAsia="宋体" w:cs="宋体"/>
          <w:color w:val="000000" w:themeColor="text1"/>
          <w:szCs w:val="21"/>
          <w:highlight w:val="none"/>
          <w:lang w:val="zh-CN"/>
          <w14:textFill>
            <w14:solidFill>
              <w14:schemeClr w14:val="tx1"/>
            </w14:solidFill>
          </w14:textFill>
        </w:rPr>
      </w:pPr>
      <w:bookmarkStart w:id="59" w:name="_Toc1977668"/>
      <w:bookmarkStart w:id="60" w:name="_Toc5337080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4</w:t>
      </w:r>
      <w:bookmarkEnd w:id="59"/>
      <w:bookmarkEnd w:id="60"/>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无论投标人</w:t>
      </w:r>
      <w:r>
        <w:rPr>
          <w:rFonts w:hint="eastAsia" w:ascii="宋体" w:hAnsi="宋体" w:eastAsia="宋体" w:cs="宋体"/>
          <w:color w:val="000000" w:themeColor="text1"/>
          <w:kern w:val="0"/>
          <w:szCs w:val="21"/>
          <w:highlight w:val="none"/>
          <w14:textFill>
            <w14:solidFill>
              <w14:schemeClr w14:val="tx1"/>
            </w14:solidFill>
          </w14:textFill>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p>
    <w:p w14:paraId="465BA59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p w14:paraId="18F36E63">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61" w:name="_Toc142508316"/>
      <w:bookmarkStart w:id="62" w:name="_Toc3404"/>
      <w:bookmarkStart w:id="63" w:name="_Toc9753"/>
      <w:bookmarkStart w:id="64" w:name="_Toc11235"/>
      <w:bookmarkStart w:id="65" w:name="_Toc9658_WPSOffice_Level3"/>
      <w:bookmarkStart w:id="66" w:name="_Toc11533"/>
      <w:r>
        <w:rPr>
          <w:rFonts w:hint="eastAsia" w:ascii="宋体" w:hAnsi="宋体" w:eastAsia="宋体" w:cs="宋体"/>
          <w:color w:val="000000" w:themeColor="text1"/>
          <w:szCs w:val="21"/>
          <w:highlight w:val="none"/>
          <w:lang w:val="zh-CN"/>
          <w14:textFill>
            <w14:solidFill>
              <w14:schemeClr w14:val="tx1"/>
            </w14:solidFill>
          </w14:textFill>
        </w:rPr>
        <w:t>4 其它说明</w:t>
      </w:r>
      <w:bookmarkEnd w:id="61"/>
      <w:bookmarkEnd w:id="62"/>
      <w:bookmarkEnd w:id="63"/>
      <w:bookmarkEnd w:id="64"/>
      <w:bookmarkEnd w:id="65"/>
      <w:bookmarkEnd w:id="66"/>
    </w:p>
    <w:p w14:paraId="6D695465">
      <w:pPr>
        <w:autoSpaceDE w:val="0"/>
        <w:autoSpaceDN w:val="0"/>
        <w:adjustRightInd w:val="0"/>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bookmarkStart w:id="67" w:name="_Toc1977670"/>
      <w:bookmarkStart w:id="68" w:name="_Toc5337080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67"/>
      <w:bookmarkEnd w:id="68"/>
    </w:p>
    <w:p w14:paraId="6567F088">
      <w:pPr>
        <w:autoSpaceDE w:val="0"/>
        <w:autoSpaceDN w:val="0"/>
        <w:adjustRightInd w:val="0"/>
        <w:spacing w:line="360" w:lineRule="auto"/>
        <w:ind w:left="210" w:leftChars="100" w:firstLine="420" w:firstLineChars="200"/>
        <w:rPr>
          <w:rFonts w:hint="eastAsia" w:ascii="宋体" w:hAnsi="宋体" w:eastAsia="宋体" w:cs="宋体"/>
          <w:color w:val="000000" w:themeColor="text1"/>
          <w:szCs w:val="21"/>
          <w:highlight w:val="none"/>
          <w:lang w:val="zh-CN"/>
          <w14:textFill>
            <w14:solidFill>
              <w14:schemeClr w14:val="tx1"/>
            </w14:solidFill>
          </w14:textFill>
        </w:rPr>
      </w:pPr>
      <w:bookmarkStart w:id="69" w:name="_Toc533708072"/>
      <w:bookmarkStart w:id="70" w:name="_Toc1977672"/>
      <w:r>
        <w:rPr>
          <w:rFonts w:hint="eastAsia" w:ascii="宋体" w:hAnsi="宋体" w:eastAsia="宋体" w:cs="宋体"/>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bookmarkEnd w:id="69"/>
      <w:bookmarkEnd w:id="70"/>
    </w:p>
    <w:p w14:paraId="588621A9">
      <w:pPr>
        <w:autoSpaceDE w:val="0"/>
        <w:autoSpaceDN w:val="0"/>
        <w:adjustRightInd w:val="0"/>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bookmarkStart w:id="71" w:name="_Toc1977673"/>
      <w:bookmarkStart w:id="72" w:name="_Toc5337080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71"/>
      <w:bookmarkEnd w:id="72"/>
    </w:p>
    <w:p w14:paraId="420BE37F">
      <w:pPr>
        <w:autoSpaceDE w:val="0"/>
        <w:autoSpaceDN w:val="0"/>
        <w:adjustRightInd w:val="0"/>
        <w:spacing w:line="360" w:lineRule="auto"/>
        <w:ind w:left="300" w:leftChars="-59" w:hanging="424" w:hangingChars="202"/>
        <w:jc w:val="left"/>
        <w:rPr>
          <w:rFonts w:hint="eastAsia" w:ascii="宋体" w:hAnsi="宋体" w:eastAsia="宋体" w:cs="宋体"/>
          <w:color w:val="000000" w:themeColor="text1"/>
          <w:kern w:val="0"/>
          <w:szCs w:val="21"/>
          <w:highlight w:val="none"/>
          <w14:textFill>
            <w14:solidFill>
              <w14:schemeClr w14:val="tx1"/>
            </w14:solidFill>
          </w14:textFill>
        </w:rPr>
      </w:pPr>
      <w:bookmarkStart w:id="73" w:name="_Toc1977676"/>
      <w:bookmarkStart w:id="74" w:name="_Toc533708076"/>
      <w:r>
        <w:rPr>
          <w:rFonts w:hint="eastAsia" w:ascii="宋体" w:hAnsi="宋体" w:eastAsia="宋体" w:cs="宋体"/>
          <w:color w:val="000000" w:themeColor="text1"/>
          <w:kern w:val="0"/>
          <w:szCs w:val="21"/>
          <w:highlight w:val="none"/>
          <w14:textFill>
            <w14:solidFill>
              <w14:schemeClr w14:val="tx1"/>
            </w14:solidFill>
          </w14:textFill>
        </w:rPr>
        <w:t>（1）本项目不组织集中踏勘现场和答疑，投标人应自行到实地踏勘考察。</w:t>
      </w:r>
    </w:p>
    <w:p w14:paraId="2CC6371C">
      <w:pPr>
        <w:autoSpaceDE w:val="0"/>
        <w:autoSpaceDN w:val="0"/>
        <w:adjustRightInd w:val="0"/>
        <w:spacing w:line="360" w:lineRule="auto"/>
        <w:ind w:left="300" w:leftChars="-59" w:hanging="424" w:hangingChars="20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（2）潜在投标人应承担踏勘现场自身所发生的费用。</w:t>
      </w:r>
    </w:p>
    <w:p w14:paraId="5B79F312">
      <w:pPr>
        <w:spacing w:line="360" w:lineRule="auto"/>
        <w:ind w:left="300" w:leftChars="-59" w:hanging="424" w:hangingChars="202"/>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7698DE2A">
      <w:pPr>
        <w:spacing w:line="360" w:lineRule="auto"/>
        <w:ind w:left="300" w:leftChars="-59" w:hanging="424" w:hangingChars="202"/>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07BF9561">
      <w:pPr>
        <w:autoSpaceDE w:val="0"/>
        <w:autoSpaceDN w:val="0"/>
        <w:adjustRightInd w:val="0"/>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49"/>
      <w:bookmarkEnd w:id="50"/>
      <w:bookmarkEnd w:id="73"/>
      <w:bookmarkEnd w:id="74"/>
    </w:p>
    <w:p w14:paraId="6A70A4BD">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（1）获得本招标文件的投标人，不得用作本次投标以外的任何用途。</w:t>
      </w:r>
    </w:p>
    <w:p w14:paraId="23CF25B3">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4F131D47">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（3）开标后，直至向中标人授予合同期间，凡与审查、澄清、评价和比较报价的有关资料以及授标意见等，参与评标工作的有关人员均不得向投标人及与评标无关的其他人透露。</w:t>
      </w:r>
    </w:p>
    <w:p w14:paraId="1CEEB36A">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0DAC0E23">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2BBE58B1">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5FC97779">
      <w:pPr>
        <w:autoSpaceDE w:val="0"/>
        <w:autoSpaceDN w:val="0"/>
        <w:adjustRightInd w:val="0"/>
        <w:spacing w:line="360" w:lineRule="auto"/>
        <w:ind w:left="315" w:leftChars="-100" w:hanging="525" w:hangingChars="250"/>
        <w:rPr>
          <w:rFonts w:hint="eastAsia" w:ascii="宋体" w:hAnsi="宋体" w:eastAsia="宋体" w:cs="宋体"/>
          <w:color w:val="000000" w:themeColor="text1"/>
          <w:szCs w:val="21"/>
          <w:highlight w:val="none"/>
          <w14:textFill>
            <w14:solidFill>
              <w14:schemeClr w14:val="tx1"/>
            </w14:solidFill>
          </w14:textFill>
        </w:rPr>
      </w:pPr>
    </w:p>
    <w:p w14:paraId="396865FA">
      <w:pPr>
        <w:keepNext/>
        <w:keepLines/>
        <w:autoSpaceDE w:val="0"/>
        <w:autoSpaceDN w:val="0"/>
        <w:adjustRightInd w:val="0"/>
        <w:spacing w:line="360" w:lineRule="auto"/>
        <w:jc w:val="left"/>
        <w:outlineLvl w:val="1"/>
        <w:rPr>
          <w:rFonts w:hint="eastAsia" w:ascii="宋体" w:hAnsi="宋体" w:eastAsia="宋体" w:cs="宋体"/>
          <w:b/>
          <w:bCs/>
          <w:color w:val="000000" w:themeColor="text1"/>
          <w:kern w:val="44"/>
          <w:szCs w:val="21"/>
          <w:highlight w:val="none"/>
          <w:lang w:val="zh-CN"/>
          <w14:textFill>
            <w14:solidFill>
              <w14:schemeClr w14:val="tx1"/>
            </w14:solidFill>
          </w14:textFill>
        </w:rPr>
      </w:pPr>
      <w:bookmarkStart w:id="75" w:name="_Toc486167667"/>
      <w:bookmarkStart w:id="76" w:name="_Toc140596876"/>
      <w:bookmarkStart w:id="77" w:name="_Toc23213"/>
      <w:bookmarkStart w:id="78" w:name="_Toc20157"/>
      <w:bookmarkStart w:id="79" w:name="_Toc1565"/>
      <w:bookmarkStart w:id="80" w:name="_Toc5395"/>
      <w:bookmarkStart w:id="81" w:name="_Toc450662853"/>
      <w:bookmarkStart w:id="82" w:name="_Toc30507_WPSOffice_Level2"/>
      <w:bookmarkStart w:id="83" w:name="_Toc142508317"/>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75"/>
      <w:bookmarkEnd w:id="76"/>
      <w:bookmarkEnd w:id="77"/>
      <w:bookmarkEnd w:id="78"/>
      <w:bookmarkEnd w:id="79"/>
      <w:bookmarkEnd w:id="80"/>
      <w:bookmarkEnd w:id="81"/>
      <w:bookmarkEnd w:id="82"/>
      <w:bookmarkEnd w:id="83"/>
    </w:p>
    <w:p w14:paraId="104977FC">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84" w:name="_Toc450662854"/>
      <w:bookmarkStart w:id="85" w:name="_Toc28893"/>
      <w:bookmarkStart w:id="86" w:name="_Toc2406"/>
      <w:bookmarkStart w:id="87" w:name="_Toc142508318"/>
      <w:bookmarkStart w:id="88" w:name="_Toc26635_WPSOffice_Level3"/>
      <w:bookmarkStart w:id="89" w:name="_Toc486167668"/>
      <w:bookmarkStart w:id="90" w:name="_Toc3978"/>
      <w:bookmarkStart w:id="91" w:name="_Toc32028"/>
      <w:r>
        <w:rPr>
          <w:rFonts w:hint="eastAsia" w:ascii="宋体" w:hAnsi="宋体" w:eastAsia="宋体" w:cs="宋体"/>
          <w:color w:val="000000" w:themeColor="text1"/>
          <w:szCs w:val="21"/>
          <w:highlight w:val="none"/>
          <w:lang w:val="zh-CN"/>
          <w14:textFill>
            <w14:solidFill>
              <w14:schemeClr w14:val="tx1"/>
            </w14:solidFill>
          </w14:textFill>
        </w:rPr>
        <w:t>5 招标文件的构成</w:t>
      </w:r>
      <w:bookmarkEnd w:id="84"/>
      <w:bookmarkEnd w:id="85"/>
      <w:bookmarkEnd w:id="86"/>
      <w:bookmarkEnd w:id="87"/>
      <w:bookmarkEnd w:id="88"/>
      <w:bookmarkEnd w:id="89"/>
      <w:bookmarkEnd w:id="90"/>
      <w:bookmarkEnd w:id="91"/>
    </w:p>
    <w:p w14:paraId="39273BAF">
      <w:pPr>
        <w:tabs>
          <w:tab w:val="left" w:pos="567"/>
        </w:tabs>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5EA2B088">
      <w:pPr>
        <w:tabs>
          <w:tab w:val="left" w:pos="567"/>
        </w:tabs>
        <w:autoSpaceDE w:val="0"/>
        <w:autoSpaceDN w:val="0"/>
        <w:adjustRightInd w:val="0"/>
        <w:spacing w:line="360" w:lineRule="auto"/>
        <w:ind w:left="357" w:leftChars="100" w:hanging="147" w:hangingChars="7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第一篇 招标公告</w:t>
      </w:r>
    </w:p>
    <w:p w14:paraId="6C7EB30A">
      <w:pPr>
        <w:tabs>
          <w:tab w:val="left" w:pos="1890"/>
        </w:tabs>
        <w:autoSpaceDE w:val="0"/>
        <w:autoSpaceDN w:val="0"/>
        <w:adjustRightInd w:val="0"/>
        <w:spacing w:line="360" w:lineRule="auto"/>
        <w:ind w:firstLine="210" w:firstLineChars="1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第二篇 投标人须知</w:t>
      </w:r>
    </w:p>
    <w:p w14:paraId="69C47F5F">
      <w:pPr>
        <w:tabs>
          <w:tab w:val="left" w:pos="1890"/>
        </w:tabs>
        <w:autoSpaceDE w:val="0"/>
        <w:autoSpaceDN w:val="0"/>
        <w:adjustRightInd w:val="0"/>
        <w:spacing w:line="360" w:lineRule="auto"/>
        <w:ind w:firstLine="210" w:firstLineChars="1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第三篇 用户需求书</w:t>
      </w:r>
    </w:p>
    <w:p w14:paraId="50D61BD5">
      <w:pPr>
        <w:tabs>
          <w:tab w:val="left" w:pos="1890"/>
        </w:tabs>
        <w:autoSpaceDE w:val="0"/>
        <w:autoSpaceDN w:val="0"/>
        <w:adjustRightInd w:val="0"/>
        <w:spacing w:line="360" w:lineRule="auto"/>
        <w:ind w:firstLine="210" w:firstLineChars="1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第四篇 合同条款</w:t>
      </w:r>
    </w:p>
    <w:p w14:paraId="706A7022">
      <w:pPr>
        <w:tabs>
          <w:tab w:val="left" w:pos="1890"/>
        </w:tabs>
        <w:autoSpaceDE w:val="0"/>
        <w:autoSpaceDN w:val="0"/>
        <w:adjustRightInd w:val="0"/>
        <w:spacing w:line="360" w:lineRule="auto"/>
        <w:ind w:firstLine="210" w:firstLineChars="1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第五篇 相关保函格式</w:t>
      </w:r>
    </w:p>
    <w:p w14:paraId="2FB40FC4">
      <w:pPr>
        <w:tabs>
          <w:tab w:val="left" w:pos="1890"/>
        </w:tabs>
        <w:autoSpaceDE w:val="0"/>
        <w:autoSpaceDN w:val="0"/>
        <w:adjustRightInd w:val="0"/>
        <w:spacing w:line="360" w:lineRule="auto"/>
        <w:ind w:firstLine="210" w:firstLineChars="1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第六篇 投标文件格式</w:t>
      </w:r>
    </w:p>
    <w:p w14:paraId="56E1BBE5">
      <w:pPr>
        <w:tabs>
          <w:tab w:val="left" w:pos="1890"/>
        </w:tabs>
        <w:autoSpaceDE w:val="0"/>
        <w:autoSpaceDN w:val="0"/>
        <w:adjustRightInd w:val="0"/>
        <w:spacing w:line="360" w:lineRule="auto"/>
        <w:ind w:firstLine="210" w:firstLineChars="1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14:paraId="300B6CD9">
      <w:pPr>
        <w:keepNext w:val="0"/>
        <w:keepLines w:val="0"/>
        <w:pageBreakBefore w:val="0"/>
        <w:widowControl w:val="0"/>
        <w:kinsoku/>
        <w:wordWrap/>
        <w:overflowPunct/>
        <w:topLinePunct w:val="0"/>
        <w:autoSpaceDE w:val="0"/>
        <w:autoSpaceDN w:val="0"/>
        <w:bidi w:val="0"/>
        <w:adjustRightInd w:val="0"/>
        <w:snapToGrid/>
        <w:spacing w:line="360" w:lineRule="auto"/>
        <w:ind w:left="212" w:leftChars="-99" w:hanging="420" w:hangingChars="200"/>
        <w:textAlignment w:val="auto"/>
        <w:rPr>
          <w:rFonts w:hint="eastAsia"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70CB02C2">
      <w:pPr>
        <w:autoSpaceDE w:val="0"/>
        <w:autoSpaceDN w:val="0"/>
        <w:adjustRightInd w:val="0"/>
        <w:spacing w:line="360" w:lineRule="auto"/>
        <w:ind w:left="356" w:leftChars="-99" w:hanging="564" w:hangingChars="269"/>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5D9D4C22">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（1）“招标人”指</w:t>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76A19451">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（2）“招标代理机构”指</w:t>
      </w:r>
      <w:r>
        <w:rPr>
          <w:rFonts w:hint="eastAsia" w:ascii="宋体" w:hAnsi="宋体" w:eastAsia="宋体" w:cs="宋体"/>
          <w:color w:val="000000" w:themeColor="text1"/>
          <w:kern w:val="0"/>
          <w:szCs w:val="21"/>
          <w:highlight w:val="none"/>
          <w:lang w:eastAsia="zh-CN"/>
          <w14:textFill>
            <w14:solidFill>
              <w14:schemeClr w14:val="tx1"/>
            </w14:solidFill>
          </w14:textFill>
        </w:rPr>
        <w:t>东莞市达盛招标代理有限公司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27886E55">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（3）“投标人”指参加</w:t>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东莞市石鼓净水有限公司污水处理厂分布式光伏发电项目</w:t>
      </w:r>
      <w:r>
        <w:rPr>
          <w:rFonts w:hint="eastAsia" w:ascii="宋体" w:hAnsi="宋体" w:eastAsia="宋体" w:cs="宋体"/>
          <w:color w:val="000000" w:themeColor="text1"/>
          <w:kern w:val="0"/>
          <w:szCs w:val="21"/>
          <w:highlight w:val="none"/>
          <w14:textFill>
            <w14:solidFill>
              <w14:schemeClr w14:val="tx1"/>
            </w14:solidFill>
          </w14:textFill>
        </w:rPr>
        <w:t>所需的服务的投标，并向招标代理机构提交投标文件的当事人；</w:t>
      </w:r>
    </w:p>
    <w:p w14:paraId="7E481C76">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（4）“评标委员会”是依照《中华人民共和国招标投标法》等法规组建的专门负责本次评标工作的临时性机构；</w:t>
      </w:r>
    </w:p>
    <w:p w14:paraId="22843536">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（5）“中标人”指其投标被招标人接受，并与招标人签订合同的当事人；</w:t>
      </w:r>
    </w:p>
    <w:p w14:paraId="23B5C6BA">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（6）“甲方”指在合同条款中指明的购买服务的单位，即</w:t>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2DE774D5">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（7）“乙方”指在合同条款中指明的本合同项下提供服务的公司或实体；</w:t>
      </w:r>
    </w:p>
    <w:p w14:paraId="49F017D4">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（8）“招标文件”指由</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招标公告和招标文件及其补充、变更和澄清等一系列文件</w:t>
      </w:r>
      <w:r>
        <w:rPr>
          <w:rFonts w:hint="eastAsia" w:ascii="宋体" w:hAnsi="宋体" w:eastAsia="宋体" w:cs="宋体"/>
          <w:color w:val="000000" w:themeColor="text1"/>
          <w:kern w:val="0"/>
          <w:szCs w:val="21"/>
          <w:highlight w:val="none"/>
          <w14:textFill>
            <w14:solidFill>
              <w14:schemeClr w14:val="tx1"/>
            </w14:solidFill>
          </w14:textFill>
        </w:rPr>
        <w:t>；</w:t>
      </w:r>
    </w:p>
    <w:p w14:paraId="772DB791">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（9）“投标文件”指投标人根据本招标文件向招标代理机构提交的全部文件；</w:t>
      </w:r>
    </w:p>
    <w:p w14:paraId="4F81F875">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（10）“书面函件”指手写、打字或印刷的函件，包括电传、电报和传真；</w:t>
      </w:r>
    </w:p>
    <w:p w14:paraId="4CD206A4">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（11）“合同”指由本次招标所产生的合同或合约文件；</w:t>
      </w:r>
    </w:p>
    <w:p w14:paraId="3264D37A">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（12）“日期”指公历日，“时间”指北京时间；</w:t>
      </w:r>
    </w:p>
    <w:p w14:paraId="003310B7">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（13）本招标文件中的“境内”特指中华人民共和国海关关境以内，“境外”特指中华人民共和国海关关境以外；</w:t>
      </w:r>
    </w:p>
    <w:p w14:paraId="64CED4CB">
      <w:pPr>
        <w:autoSpaceDE w:val="0"/>
        <w:autoSpaceDN w:val="0"/>
        <w:adjustRightInd w:val="0"/>
        <w:spacing w:line="360" w:lineRule="auto"/>
        <w:ind w:left="441" w:leftChars="-6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09FC8CEB">
      <w:pPr>
        <w:autoSpaceDE w:val="0"/>
        <w:autoSpaceDN w:val="0"/>
        <w:adjustRightInd w:val="0"/>
        <w:spacing w:line="360" w:lineRule="auto"/>
        <w:ind w:left="951" w:leftChars="78" w:hanging="787" w:hangingChars="375"/>
        <w:rPr>
          <w:rFonts w:hint="eastAsia" w:ascii="宋体" w:hAnsi="宋体" w:eastAsia="宋体" w:cs="宋体"/>
          <w:color w:val="000000" w:themeColor="text1"/>
          <w:szCs w:val="21"/>
          <w:highlight w:val="none"/>
          <w:lang w:val="zh-CN"/>
          <w14:textFill>
            <w14:solidFill>
              <w14:schemeClr w14:val="tx1"/>
            </w14:solidFill>
          </w14:textFill>
        </w:rPr>
      </w:pPr>
    </w:p>
    <w:p w14:paraId="552E9CC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92" w:name="_Toc29125_WPSOffice_Level3"/>
      <w:bookmarkStart w:id="93" w:name="_Toc450662855"/>
      <w:bookmarkStart w:id="94" w:name="_Toc1433"/>
      <w:bookmarkStart w:id="95" w:name="_Toc3727"/>
      <w:bookmarkStart w:id="96" w:name="_Toc486167669"/>
      <w:bookmarkStart w:id="97" w:name="_Toc142508319"/>
      <w:bookmarkStart w:id="98" w:name="_Toc4460"/>
      <w:bookmarkStart w:id="99" w:name="_Toc11346"/>
      <w:r>
        <w:rPr>
          <w:rFonts w:hint="eastAsia" w:ascii="宋体" w:hAnsi="宋体" w:eastAsia="宋体" w:cs="宋体"/>
          <w:color w:val="000000" w:themeColor="text1"/>
          <w:szCs w:val="21"/>
          <w:highlight w:val="none"/>
          <w:lang w:val="zh-CN"/>
          <w14:textFill>
            <w14:solidFill>
              <w14:schemeClr w14:val="tx1"/>
            </w14:solidFill>
          </w14:textFill>
        </w:rPr>
        <w:t>6 招标文件的异议</w:t>
      </w:r>
      <w:bookmarkEnd w:id="92"/>
      <w:bookmarkEnd w:id="93"/>
      <w:bookmarkEnd w:id="94"/>
      <w:bookmarkEnd w:id="95"/>
      <w:bookmarkEnd w:id="96"/>
      <w:bookmarkEnd w:id="97"/>
      <w:bookmarkEnd w:id="98"/>
      <w:bookmarkEnd w:id="99"/>
    </w:p>
    <w:p w14:paraId="28FA20DE">
      <w:pPr>
        <w:autoSpaceDE w:val="0"/>
        <w:autoSpaceDN w:val="0"/>
        <w:adjustRightInd w:val="0"/>
        <w:spacing w:line="360" w:lineRule="auto"/>
        <w:ind w:left="288" w:leftChars="137" w:firstLine="420" w:firstLineChars="200"/>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hint="eastAsia" w:ascii="宋体" w:hAnsi="宋体" w:eastAsia="宋体" w:cs="宋体"/>
          <w:color w:val="000000" w:themeColor="text1"/>
          <w:szCs w:val="21"/>
          <w:highlight w:val="none"/>
          <w:lang w:val="zh-CN"/>
          <w14:textFill>
            <w14:solidFill>
              <w14:schemeClr w14:val="tx1"/>
            </w14:solidFill>
          </w14:textFill>
        </w:rPr>
        <w:t>以书面形式向招标代理机构提出，并将材料原件送达招标代理机构，逾期则视为对招标文件所有内容无异议。</w:t>
      </w:r>
      <w:r>
        <w:rPr>
          <w:rFonts w:hint="eastAsia" w:ascii="宋体" w:hAnsi="宋体" w:eastAsia="宋体" w:cs="宋体"/>
          <w:bCs/>
          <w:color w:val="000000" w:themeColor="text1"/>
          <w:szCs w:val="21"/>
          <w:highlight w:val="none"/>
          <w:lang w:val="zh-CN"/>
          <w14:textFill>
            <w14:solidFill>
              <w14:schemeClr w14:val="tx1"/>
            </w14:solidFill>
          </w14:textFill>
        </w:rPr>
        <w:t>异议</w:t>
      </w:r>
      <w:r>
        <w:rPr>
          <w:rFonts w:hint="eastAsia" w:ascii="宋体" w:hAnsi="宋体" w:eastAsia="宋体" w:cs="宋体"/>
          <w:color w:val="000000" w:themeColor="text1"/>
          <w:szCs w:val="21"/>
          <w:highlight w:val="none"/>
          <w:lang w:val="zh-CN"/>
          <w14:textFill>
            <w14:solidFill>
              <w14:schemeClr w14:val="tx1"/>
            </w14:solidFill>
          </w14:textFill>
        </w:rPr>
        <w:t>书面材料必须加盖投标人法人公章，并注明联系人、联系电话、联系地址。</w:t>
      </w:r>
      <w:r>
        <w:rPr>
          <w:rFonts w:hint="eastAsia" w:ascii="宋体" w:hAnsi="宋体" w:eastAsia="宋体" w:cs="宋体"/>
          <w:bCs/>
          <w:color w:val="000000" w:themeColor="text1"/>
          <w:szCs w:val="21"/>
          <w:highlight w:val="none"/>
          <w:lang w:val="zh-CN"/>
          <w14:textFill>
            <w14:solidFill>
              <w14:schemeClr w14:val="tx1"/>
            </w14:solidFill>
          </w14:textFill>
        </w:rPr>
        <w:t>超出</w:t>
      </w:r>
      <w:r>
        <w:rPr>
          <w:rFonts w:hint="eastAsia" w:ascii="宋体" w:hAnsi="宋体" w:eastAsia="宋体" w:cs="宋体"/>
          <w:color w:val="000000" w:themeColor="text1"/>
          <w:szCs w:val="21"/>
          <w:highlight w:val="none"/>
          <w:lang w:val="zh-CN"/>
          <w14:textFill>
            <w14:solidFill>
              <w14:schemeClr w14:val="tx1"/>
            </w14:solidFill>
          </w14:textFill>
        </w:rPr>
        <w:t>提交接收异议截止时间而</w:t>
      </w:r>
      <w:r>
        <w:rPr>
          <w:rFonts w:hint="eastAsia" w:ascii="宋体" w:hAnsi="宋体" w:eastAsia="宋体" w:cs="宋体"/>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710BDBD8">
      <w:pPr>
        <w:autoSpaceDE w:val="0"/>
        <w:autoSpaceDN w:val="0"/>
        <w:adjustRightInd w:val="0"/>
        <w:spacing w:line="360" w:lineRule="auto"/>
        <w:ind w:left="290" w:leftChars="137" w:hanging="2" w:hangingChars="1"/>
        <w:rPr>
          <w:rFonts w:hint="eastAsia" w:ascii="宋体" w:hAnsi="宋体" w:eastAsia="宋体" w:cs="宋体"/>
          <w:b/>
          <w:bCs/>
          <w:color w:val="000000" w:themeColor="text1"/>
          <w:szCs w:val="21"/>
          <w:highlight w:val="none"/>
          <w:lang w:val="zh-CN"/>
          <w14:textFill>
            <w14:solidFill>
              <w14:schemeClr w14:val="tx1"/>
            </w14:solidFill>
          </w14:textFill>
        </w:rPr>
      </w:pPr>
    </w:p>
    <w:p w14:paraId="4E3938C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00" w:name="_Toc486167670"/>
      <w:bookmarkStart w:id="101" w:name="_Toc17145"/>
      <w:bookmarkStart w:id="102" w:name="_Toc2466"/>
      <w:bookmarkStart w:id="103" w:name="_Toc450662856"/>
      <w:bookmarkStart w:id="104" w:name="_Toc23483_WPSOffice_Level3"/>
      <w:bookmarkStart w:id="105" w:name="_Toc29864"/>
      <w:bookmarkStart w:id="106" w:name="_Toc39"/>
      <w:bookmarkStart w:id="107" w:name="_Toc142508320"/>
      <w:r>
        <w:rPr>
          <w:rFonts w:hint="eastAsia" w:ascii="宋体" w:hAnsi="宋体" w:eastAsia="宋体" w:cs="宋体"/>
          <w:color w:val="000000" w:themeColor="text1"/>
          <w:szCs w:val="21"/>
          <w:highlight w:val="none"/>
          <w:lang w:val="zh-CN"/>
          <w14:textFill>
            <w14:solidFill>
              <w14:schemeClr w14:val="tx1"/>
            </w14:solidFill>
          </w14:textFill>
        </w:rPr>
        <w:t>7 招标文件的澄清及修改</w:t>
      </w:r>
      <w:bookmarkEnd w:id="100"/>
      <w:bookmarkEnd w:id="101"/>
      <w:bookmarkEnd w:id="102"/>
      <w:bookmarkEnd w:id="103"/>
      <w:bookmarkEnd w:id="104"/>
      <w:bookmarkEnd w:id="105"/>
      <w:bookmarkEnd w:id="106"/>
      <w:bookmarkEnd w:id="107"/>
    </w:p>
    <w:p w14:paraId="2CE5DBE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210" w:leftChars="-100" w:hanging="420" w:hangingChars="200"/>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招标代理机构对已发出的招标文件进行必要澄清或者修改的，将在招标文件要求提交投标文件截止时间15日前，在招标信息发布媒介上发布更正公告，</w:t>
      </w:r>
      <w:r>
        <w:rPr>
          <w:rFonts w:hint="eastAsia" w:ascii="宋体" w:hAnsi="宋体" w:eastAsia="宋体" w:cs="宋体"/>
          <w:color w:val="000000" w:themeColor="text1"/>
          <w:szCs w:val="21"/>
          <w:highlight w:val="none"/>
          <w:lang w:val="en-US" w:eastAsia="zh-CN"/>
          <w14:textFill>
            <w14:solidFill>
              <w14:schemeClr w14:val="tx1"/>
            </w14:solidFill>
          </w14:textFill>
        </w:rPr>
        <w:t>请各投标人密切留意</w:t>
      </w:r>
      <w:r>
        <w:rPr>
          <w:rFonts w:hint="eastAsia" w:ascii="宋体" w:hAnsi="宋体" w:eastAsia="宋体" w:cs="宋体"/>
          <w:color w:val="000000" w:themeColor="text1"/>
          <w:szCs w:val="21"/>
          <w:highlight w:val="none"/>
          <w:lang w:val="zh-CN"/>
          <w14:textFill>
            <w14:solidFill>
              <w14:schemeClr w14:val="tx1"/>
            </w14:solidFill>
          </w14:textFill>
        </w:rPr>
        <w:t>。该澄清或者修改的内容为招标文件的组成部分。</w:t>
      </w:r>
    </w:p>
    <w:p w14:paraId="39F23B60">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hanging="420" w:hangingChars="200"/>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0D7F650F">
      <w:pPr>
        <w:autoSpaceDE w:val="0"/>
        <w:autoSpaceDN w:val="0"/>
        <w:adjustRightInd w:val="0"/>
        <w:spacing w:line="360" w:lineRule="auto"/>
        <w:ind w:left="210" w:leftChars="-100" w:hanging="420" w:hanging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宋体"/>
          <w:bCs/>
          <w:color w:val="000000" w:themeColor="text1"/>
          <w:szCs w:val="21"/>
          <w:highlight w:val="none"/>
          <w14:textFill>
            <w14:solidFill>
              <w14:schemeClr w14:val="tx1"/>
            </w14:solidFill>
          </w14:textFill>
        </w:rPr>
        <w:t>广东省公共资源交易平台（ygp.gdzwfw.gov.cn）、</w:t>
      </w:r>
      <w:r>
        <w:rPr>
          <w:rFonts w:hint="eastAsia" w:ascii="宋体" w:hAnsi="宋体" w:eastAsia="宋体" w:cs="宋体"/>
          <w:color w:val="000000" w:themeColor="text1"/>
          <w:szCs w:val="21"/>
          <w:highlight w:val="none"/>
          <w:lang w:val="zh-CN"/>
          <w14:textFill>
            <w14:solidFill>
              <w14:schemeClr w14:val="tx1"/>
            </w14:solidFill>
          </w14:textFill>
        </w:rPr>
        <w:t>中国招标投标公共服务平台</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"http://www.cebpubservice.com）、广东省招标投标监管"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www.cebpubservice.com）</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东莞市水务集团有限公司网</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"www.dgswjt.cn）、招标代理公司网站（http://%20%20%20%20%20%20%20%20%20%20%20%20%20%20）"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sz w:val="21"/>
          <w:szCs w:val="21"/>
          <w:highlight w:val="none"/>
          <w14:textFill>
            <w14:solidFill>
              <w14:schemeClr w14:val="tx1"/>
            </w14:solidFill>
          </w14:textFill>
        </w:rPr>
        <w:t>www.dgswjt.cn）</w:t>
      </w:r>
      <w:r>
        <w:rPr>
          <w:rStyle w:val="43"/>
          <w:rFonts w:hint="eastAsia" w:ascii="宋体" w:hAnsi="宋体" w:eastAsia="宋体" w:cs="宋体"/>
          <w:color w:val="000000" w:themeColor="text1"/>
          <w:sz w:val="21"/>
          <w:szCs w:val="21"/>
          <w:highlight w:val="none"/>
          <w:lang w:val="zh-CN"/>
          <w14:textFill>
            <w14:solidFill>
              <w14:schemeClr w14:val="tx1"/>
            </w14:solidFill>
          </w14:textFill>
        </w:rPr>
        <w:t>、</w:t>
      </w:r>
      <w:r>
        <w:rPr>
          <w:rStyle w:val="43"/>
          <w:rFonts w:hint="eastAsia" w:ascii="宋体" w:hAnsi="宋体" w:eastAsia="宋体" w:cs="宋体"/>
          <w:bCs/>
          <w:color w:val="000000" w:themeColor="text1"/>
          <w:kern w:val="0"/>
          <w:sz w:val="21"/>
          <w:szCs w:val="21"/>
          <w:highlight w:val="none"/>
          <w14:textFill>
            <w14:solidFill>
              <w14:schemeClr w14:val="tx1"/>
            </w14:solidFill>
          </w14:textFill>
        </w:rPr>
        <w:t>招标代理机构网站</w:t>
      </w:r>
      <w:r>
        <w:rPr>
          <w:rStyle w:val="43"/>
          <w:rFonts w:hint="eastAsia" w:ascii="宋体" w:hAnsi="宋体" w:eastAsia="宋体" w:cs="宋体"/>
          <w:bCs/>
          <w:color w:val="000000" w:themeColor="text1"/>
          <w:kern w:val="0"/>
          <w:sz w:val="21"/>
          <w:szCs w:val="21"/>
          <w:highlight w:val="none"/>
          <w:lang w:val="zh-CN"/>
          <w14:textFill>
            <w14:solidFill>
              <w14:schemeClr w14:val="tx1"/>
            </w14:solidFill>
          </w14:textFill>
        </w:rPr>
        <w:t>（www.dashengtd.com）</w:t>
      </w:r>
      <w:r>
        <w:rPr>
          <w:rStyle w:val="43"/>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w:t>
      </w:r>
      <w:r>
        <w:rPr>
          <w:rFonts w:hint="eastAsia" w:ascii="宋体" w:hAnsi="宋体" w:eastAsia="宋体" w:cs="宋体"/>
          <w:color w:val="000000" w:themeColor="text1"/>
          <w:szCs w:val="21"/>
          <w:highlight w:val="none"/>
          <w:lang w:val="en-US" w:eastAsia="zh-CN"/>
          <w14:textFill>
            <w14:solidFill>
              <w14:schemeClr w14:val="tx1"/>
            </w14:solidFill>
          </w14:textFill>
        </w:rPr>
        <w:t>，请各投标人密切留意。</w:t>
      </w:r>
    </w:p>
    <w:p w14:paraId="4394888D">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14:textFill>
            <w14:solidFill>
              <w14:schemeClr w14:val="tx1"/>
            </w14:solidFill>
          </w14:textFill>
        </w:rPr>
      </w:pPr>
    </w:p>
    <w:p w14:paraId="6FCF55B5">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000000" w:themeColor="text1"/>
          <w:kern w:val="44"/>
          <w:szCs w:val="21"/>
          <w:highlight w:val="none"/>
          <w:lang w:val="zh-CN"/>
          <w14:textFill>
            <w14:solidFill>
              <w14:schemeClr w14:val="tx1"/>
            </w14:solidFill>
          </w14:textFill>
        </w:rPr>
      </w:pPr>
      <w:bookmarkStart w:id="108" w:name="_Toc1855"/>
      <w:bookmarkStart w:id="109" w:name="_Toc8711"/>
      <w:bookmarkStart w:id="110" w:name="_Toc140596880"/>
      <w:bookmarkStart w:id="111" w:name="_Toc450662857"/>
      <w:bookmarkStart w:id="112" w:name="_Toc27196"/>
      <w:bookmarkStart w:id="113" w:name="_Toc23342"/>
      <w:bookmarkStart w:id="114" w:name="_Toc29659_WPSOffice_Level2"/>
      <w:bookmarkStart w:id="115" w:name="_Toc486167671"/>
      <w:bookmarkStart w:id="116" w:name="_Toc142508321"/>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08"/>
      <w:bookmarkEnd w:id="109"/>
      <w:bookmarkEnd w:id="110"/>
      <w:bookmarkEnd w:id="111"/>
      <w:bookmarkEnd w:id="112"/>
      <w:bookmarkEnd w:id="113"/>
      <w:bookmarkEnd w:id="114"/>
      <w:bookmarkEnd w:id="115"/>
      <w:bookmarkEnd w:id="116"/>
    </w:p>
    <w:p w14:paraId="1BDAD78E">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17" w:name="_Toc142508322"/>
      <w:bookmarkStart w:id="118" w:name="_Toc2716"/>
      <w:bookmarkStart w:id="119" w:name="_Toc10015_WPSOffice_Level3"/>
      <w:bookmarkStart w:id="120" w:name="_Toc6244"/>
      <w:bookmarkStart w:id="121" w:name="_Toc3827"/>
      <w:bookmarkStart w:id="122" w:name="_Toc450662858"/>
      <w:bookmarkStart w:id="123" w:name="_Toc31162"/>
      <w:bookmarkStart w:id="124" w:name="_Toc486167672"/>
      <w:r>
        <w:rPr>
          <w:rFonts w:hint="eastAsia" w:ascii="宋体" w:hAnsi="宋体" w:eastAsia="宋体" w:cs="宋体"/>
          <w:color w:val="000000" w:themeColor="text1"/>
          <w:szCs w:val="21"/>
          <w:highlight w:val="none"/>
          <w:lang w:val="zh-CN"/>
          <w14:textFill>
            <w14:solidFill>
              <w14:schemeClr w14:val="tx1"/>
            </w14:solidFill>
          </w14:textFill>
        </w:rPr>
        <w:t>8 投标使用的文字及度量衡单位</w:t>
      </w:r>
      <w:bookmarkEnd w:id="117"/>
      <w:bookmarkEnd w:id="118"/>
      <w:bookmarkEnd w:id="119"/>
      <w:bookmarkEnd w:id="120"/>
      <w:bookmarkEnd w:id="121"/>
      <w:bookmarkEnd w:id="122"/>
      <w:bookmarkEnd w:id="123"/>
      <w:bookmarkEnd w:id="124"/>
    </w:p>
    <w:p w14:paraId="44CAB671">
      <w:pPr>
        <w:tabs>
          <w:tab w:val="left" w:pos="567"/>
        </w:tabs>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2CFA44E6">
      <w:pPr>
        <w:tabs>
          <w:tab w:val="left" w:pos="567"/>
        </w:tabs>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487AF50E">
      <w:pPr>
        <w:autoSpaceDE w:val="0"/>
        <w:autoSpaceDN w:val="0"/>
        <w:adjustRightInd w:val="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p>
    <w:p w14:paraId="4BC51CBA">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 w:val="24"/>
          <w:szCs w:val="24"/>
          <w:highlight w:val="none"/>
          <w:lang w:val="zh-CN"/>
          <w14:textFill>
            <w14:solidFill>
              <w14:schemeClr w14:val="tx1"/>
            </w14:solidFill>
          </w14:textFill>
        </w:rPr>
      </w:pPr>
      <w:bookmarkStart w:id="125" w:name="_Toc7348"/>
      <w:bookmarkStart w:id="126" w:name="_Toc450662859"/>
      <w:bookmarkStart w:id="127" w:name="_Toc26462"/>
      <w:bookmarkStart w:id="128" w:name="_Toc16154"/>
      <w:bookmarkStart w:id="129" w:name="_Toc486167673"/>
      <w:bookmarkStart w:id="130" w:name="_Toc142508323"/>
      <w:bookmarkStart w:id="131" w:name="_Toc14943"/>
      <w:bookmarkStart w:id="132" w:name="_Toc24916_WPSOffice_Level3"/>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25"/>
      <w:bookmarkEnd w:id="126"/>
      <w:bookmarkEnd w:id="127"/>
      <w:bookmarkEnd w:id="128"/>
      <w:bookmarkEnd w:id="129"/>
      <w:bookmarkEnd w:id="130"/>
      <w:bookmarkEnd w:id="131"/>
      <w:bookmarkEnd w:id="132"/>
    </w:p>
    <w:p w14:paraId="70662E99">
      <w:pPr>
        <w:keepNext w:val="0"/>
        <w:keepLines w:val="0"/>
        <w:pageBreakBefore w:val="0"/>
        <w:widowControl w:val="0"/>
        <w:kinsoku/>
        <w:wordWrap/>
        <w:overflowPunct/>
        <w:topLinePunct w:val="0"/>
        <w:autoSpaceDE w:val="0"/>
        <w:autoSpaceDN w:val="0"/>
        <w:bidi w:val="0"/>
        <w:adjustRightInd w:val="0"/>
        <w:snapToGrid/>
        <w:spacing w:line="360" w:lineRule="auto"/>
        <w:ind w:left="212" w:leftChars="-100" w:hanging="422" w:hangingChars="200"/>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宋体"/>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宋体"/>
          <w:b/>
          <w:color w:val="000000" w:themeColor="text1"/>
          <w:kern w:val="0"/>
          <w:szCs w:val="21"/>
          <w:highlight w:val="none"/>
          <w14:textFill>
            <w14:solidFill>
              <w14:schemeClr w14:val="tx1"/>
            </w14:solidFill>
          </w14:textFill>
        </w:rPr>
        <w:t>。</w:t>
      </w:r>
    </w:p>
    <w:p w14:paraId="17F68D53">
      <w:pPr>
        <w:autoSpaceDE w:val="0"/>
        <w:autoSpaceDN w:val="0"/>
        <w:adjustRightInd w:val="0"/>
        <w:spacing w:line="360" w:lineRule="auto"/>
        <w:ind w:left="422" w:leftChars="-100" w:hanging="632" w:hangingChars="3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14:paraId="0DFFADFC">
      <w:pPr>
        <w:autoSpaceDE w:val="0"/>
        <w:autoSpaceDN w:val="0"/>
        <w:adjustRightInd w:val="0"/>
        <w:spacing w:line="360" w:lineRule="auto"/>
        <w:jc w:val="left"/>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1"/>
          <w:highlight w:val="none"/>
          <w:lang w:val="zh-CN"/>
          <w14:textFill>
            <w14:solidFill>
              <w14:schemeClr w14:val="tx1"/>
            </w14:solidFill>
          </w14:textFill>
        </w:rPr>
        <w:t>目录：</w:t>
      </w:r>
    </w:p>
    <w:p w14:paraId="2651C922">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03E32401">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6BD671DB">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（3）供货及/或提供服务过程承诺函；</w:t>
      </w:r>
    </w:p>
    <w:p w14:paraId="0FE830A9">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w:t>
      </w:r>
    </w:p>
    <w:p w14:paraId="724C3A33">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35B423EC">
      <w:pPr>
        <w:autoSpaceDE w:val="0"/>
        <w:autoSpaceDN w:val="0"/>
        <w:adjustRightInd w:val="0"/>
        <w:spacing w:line="360" w:lineRule="auto"/>
        <w:ind w:left="283" w:hanging="283" w:hangingChars="1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1）多证合一营业执照</w:t>
      </w:r>
      <w:r>
        <w:rPr>
          <w:rFonts w:hint="eastAsia" w:ascii="宋体" w:hAnsi="宋体" w:eastAsia="宋体" w:cs="宋体"/>
          <w:color w:val="000000" w:themeColor="text1"/>
          <w:kern w:val="0"/>
          <w:szCs w:val="21"/>
          <w:highlight w:val="none"/>
          <w14:textFill>
            <w14:solidFill>
              <w14:schemeClr w14:val="tx1"/>
            </w14:solidFill>
          </w14:textFill>
        </w:rPr>
        <w:t>（或事业单位法人证书）</w:t>
      </w:r>
      <w:r>
        <w:rPr>
          <w:rFonts w:hint="eastAsia" w:ascii="宋体" w:hAnsi="宋体" w:eastAsia="宋体" w:cs="宋体"/>
          <w:color w:val="000000" w:themeColor="text1"/>
          <w:szCs w:val="21"/>
          <w:highlight w:val="none"/>
          <w:lang w:val="zh-CN"/>
          <w14:textFill>
            <w14:solidFill>
              <w14:schemeClr w14:val="tx1"/>
            </w14:solidFill>
          </w14:textFill>
        </w:rPr>
        <w:t>复印件；</w:t>
      </w:r>
    </w:p>
    <w:p w14:paraId="0BD99D18">
      <w:pPr>
        <w:autoSpaceDE w:val="0"/>
        <w:autoSpaceDN w:val="0"/>
        <w:adjustRightInd w:val="0"/>
        <w:spacing w:line="360" w:lineRule="auto"/>
        <w:ind w:left="283" w:hanging="283" w:hangingChars="1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474B9456">
      <w:pPr>
        <w:autoSpaceDE w:val="0"/>
        <w:autoSpaceDN w:val="0"/>
        <w:adjustRightInd w:val="0"/>
        <w:spacing w:line="360" w:lineRule="auto"/>
        <w:ind w:left="283" w:hanging="283" w:hangingChars="1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hint="eastAsia" w:ascii="宋体" w:hAnsi="宋体" w:eastAsia="宋体" w:cs="宋体"/>
          <w:color w:val="000000" w:themeColor="text1"/>
          <w:szCs w:val="21"/>
          <w:highlight w:val="none"/>
          <w14:textFill>
            <w14:solidFill>
              <w14:schemeClr w14:val="tx1"/>
            </w14:solidFill>
          </w14:textFill>
        </w:rPr>
        <w:t>他人</w:t>
      </w:r>
      <w:r>
        <w:rPr>
          <w:rFonts w:hint="eastAsia" w:ascii="宋体" w:hAnsi="宋体" w:eastAsia="宋体" w:cs="宋体"/>
          <w:color w:val="000000" w:themeColor="text1"/>
          <w:szCs w:val="21"/>
          <w:highlight w:val="none"/>
          <w:lang w:val="zh-CN"/>
          <w14:textFill>
            <w14:solidFill>
              <w14:schemeClr w14:val="tx1"/>
            </w14:solidFill>
          </w14:textFill>
        </w:rPr>
        <w:t>为投标代表时同时提供法定代表人授权书）；</w:t>
      </w:r>
    </w:p>
    <w:p w14:paraId="690E2D54">
      <w:pPr>
        <w:tabs>
          <w:tab w:val="left" w:pos="1276"/>
        </w:tabs>
        <w:spacing w:line="360" w:lineRule="auto"/>
        <w:ind w:left="283" w:hanging="283" w:hangingChars="1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）资格业绩【投标人2021年1月1日以来在国内具有一</w:t>
      </w:r>
      <w:r>
        <w:rPr>
          <w:rFonts w:hint="eastAsia" w:ascii="宋体" w:hAnsi="宋体" w:eastAsia="宋体" w:cs="宋体"/>
          <w:color w:val="000000" w:themeColor="text1"/>
          <w:szCs w:val="21"/>
          <w:highlight w:val="none"/>
          <w:lang w:val="en-US" w:eastAsia="zh-CN"/>
          <w14:textFill>
            <w14:solidFill>
              <w14:schemeClr w14:val="tx1"/>
            </w14:solidFill>
          </w14:textFill>
        </w:rPr>
        <w:t>份</w:t>
      </w:r>
      <w:r>
        <w:rPr>
          <w:rFonts w:hint="eastAsia" w:ascii="宋体" w:hAnsi="宋体" w:eastAsia="宋体" w:cs="宋体"/>
          <w:color w:val="000000" w:themeColor="text1"/>
          <w:szCs w:val="21"/>
          <w:highlight w:val="none"/>
          <w14:textFill>
            <w14:solidFill>
              <w14:schemeClr w14:val="tx1"/>
            </w14:solidFill>
          </w14:textFill>
        </w:rPr>
        <w:t>分布式光伏发电投资</w:t>
      </w:r>
      <w:r>
        <w:rPr>
          <w:rFonts w:hint="eastAsia" w:ascii="宋体" w:hAnsi="宋体" w:eastAsia="宋体" w:cs="宋体"/>
          <w:color w:val="000000" w:themeColor="text1"/>
          <w:szCs w:val="21"/>
          <w:highlight w:val="none"/>
          <w:lang w:val="en-US" w:eastAsia="zh-CN"/>
          <w14:textFill>
            <w14:solidFill>
              <w14:schemeClr w14:val="tx1"/>
            </w14:solidFill>
          </w14:textFill>
        </w:rPr>
        <w:t>项目的</w:t>
      </w:r>
      <w:r>
        <w:rPr>
          <w:rFonts w:hint="eastAsia" w:ascii="宋体" w:hAnsi="宋体" w:eastAsia="宋体" w:cs="宋体"/>
          <w:color w:val="000000" w:themeColor="text1"/>
          <w:szCs w:val="21"/>
          <w:highlight w:val="none"/>
          <w14:textFill>
            <w14:solidFill>
              <w14:schemeClr w14:val="tx1"/>
            </w14:solidFill>
          </w14:textFill>
        </w:rPr>
        <w:t>业绩（合同签订日期为2021年1月1日或以后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投标人为分布式光伏发电项目的投资方</w:t>
      </w:r>
      <w:r>
        <w:rPr>
          <w:rFonts w:hint="eastAsia" w:ascii="宋体" w:hAnsi="宋体" w:eastAsia="宋体" w:cs="宋体"/>
          <w:color w:val="000000" w:themeColor="text1"/>
          <w:szCs w:val="21"/>
          <w:highlight w:val="none"/>
          <w14:textFill>
            <w14:solidFill>
              <w14:schemeClr w14:val="tx1"/>
            </w14:solidFill>
          </w14:textFill>
        </w:rPr>
        <w:t>），资格业绩证明材料提交要求详见招标文件第六篇投标文件格式</w:t>
      </w:r>
      <w:r>
        <w:rPr>
          <w:rFonts w:hint="eastAsia" w:ascii="宋体" w:hAnsi="宋体" w:eastAsia="宋体" w:cs="宋体"/>
          <w:color w:val="000000" w:themeColor="text1"/>
          <w:szCs w:val="21"/>
          <w:highlight w:val="none"/>
          <w:u w:val="single"/>
          <w14:textFill>
            <w14:solidFill>
              <w14:schemeClr w14:val="tx1"/>
            </w14:solidFill>
          </w14:textFill>
        </w:rPr>
        <w:t>5.</w:t>
      </w:r>
      <w:r>
        <w:rPr>
          <w:rFonts w:hint="eastAsia" w:ascii="宋体" w:hAnsi="宋体" w:eastAsia="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p>
    <w:p w14:paraId="0DE09423">
      <w:pPr>
        <w:autoSpaceDE w:val="0"/>
        <w:autoSpaceDN w:val="0"/>
        <w:adjustRightInd w:val="0"/>
        <w:spacing w:line="360" w:lineRule="auto"/>
        <w:ind w:left="913" w:hanging="913" w:hangingChars="4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15B98713">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014F007A">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07248694">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lang w:val="zh-CN"/>
          <w14:textFill>
            <w14:solidFill>
              <w14:schemeClr w14:val="tx1"/>
            </w14:solidFill>
          </w14:textFill>
        </w:rPr>
        <w:t>标准化体系认证；</w:t>
      </w:r>
    </w:p>
    <w:p w14:paraId="37039384">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合同条款响应程度（合同条款偏离表）；</w:t>
      </w:r>
    </w:p>
    <w:p w14:paraId="71EE26F2">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77A5EC14">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63F6888B">
      <w:pPr>
        <w:tabs>
          <w:tab w:val="left" w:pos="567"/>
        </w:tabs>
        <w:autoSpaceDE w:val="0"/>
        <w:autoSpaceDN w:val="0"/>
        <w:adjustRightInd w:val="0"/>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5CBD177C">
      <w:pPr>
        <w:autoSpaceDE w:val="0"/>
        <w:autoSpaceDN w:val="0"/>
        <w:adjustRightInd w:val="0"/>
        <w:spacing w:line="360" w:lineRule="auto"/>
        <w:ind w:left="422" w:leftChars="-100" w:hanging="632" w:hangingChars="300"/>
        <w:rPr>
          <w:rFonts w:hint="eastAsia"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14:paraId="4D1E8178">
      <w:pPr>
        <w:autoSpaceDE w:val="0"/>
        <w:autoSpaceDN w:val="0"/>
        <w:adjustRightInd w:val="0"/>
        <w:spacing w:line="360" w:lineRule="auto"/>
        <w:ind w:right="-23" w:rightChars="-11"/>
        <w:jc w:val="left"/>
        <w:rPr>
          <w:rFonts w:hint="eastAsia"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1"/>
          <w:highlight w:val="none"/>
          <w:lang w:val="zh-CN"/>
          <w14:textFill>
            <w14:solidFill>
              <w14:schemeClr w14:val="tx1"/>
            </w14:solidFill>
          </w14:textFill>
        </w:rPr>
        <w:t xml:space="preserve">    目录：</w:t>
      </w:r>
    </w:p>
    <w:p w14:paraId="402C395E">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（1）用户需求响应程度（即用户需求偏离表格式）；</w:t>
      </w:r>
    </w:p>
    <w:p w14:paraId="3BC47EA7">
      <w:pPr>
        <w:spacing w:line="360" w:lineRule="auto"/>
        <w:ind w:left="315" w:leftChars="-100" w:hanging="525" w:hangingChars="2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val="zh-CN"/>
          <w14:textFill>
            <w14:solidFill>
              <w14:schemeClr w14:val="tx1"/>
            </w14:solidFill>
          </w14:textFill>
        </w:rPr>
        <w:t>）拟投入本项目设备及材料清单表格式；</w:t>
      </w:r>
    </w:p>
    <w:p w14:paraId="3886A46E">
      <w:pPr>
        <w:spacing w:line="360" w:lineRule="auto"/>
        <w:ind w:left="315" w:leftChars="-100" w:hanging="525" w:hangingChars="2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val="zh-CN"/>
          <w14:textFill>
            <w14:solidFill>
              <w14:schemeClr w14:val="tx1"/>
            </w14:solidFill>
          </w14:textFill>
        </w:rPr>
        <w:t>）主要设备品牌响应表格式；</w:t>
      </w:r>
    </w:p>
    <w:p w14:paraId="7F03BA1E">
      <w:pPr>
        <w:spacing w:line="360" w:lineRule="auto"/>
        <w:ind w:left="315" w:leftChars="-100" w:hanging="525" w:hangingChars="2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val="zh-CN"/>
          <w14:textFill>
            <w14:solidFill>
              <w14:schemeClr w14:val="tx1"/>
            </w14:solidFill>
          </w14:textFill>
        </w:rPr>
        <w:t>）系统总体设计（投标人自行编写）；</w:t>
      </w:r>
    </w:p>
    <w:p w14:paraId="31F16BB0">
      <w:pPr>
        <w:spacing w:line="360" w:lineRule="auto"/>
        <w:ind w:left="315" w:leftChars="-100" w:hanging="525" w:hangingChars="2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）总体施工方案（投标人自行编写）；</w:t>
      </w:r>
    </w:p>
    <w:p w14:paraId="7D7AAC87">
      <w:pPr>
        <w:spacing w:line="360" w:lineRule="auto"/>
        <w:ind w:left="315" w:leftChars="-100" w:hanging="525" w:hangingChars="2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lang w:val="zh-CN"/>
          <w14:textFill>
            <w14:solidFill>
              <w14:schemeClr w14:val="tx1"/>
            </w14:solidFill>
          </w14:textFill>
        </w:rPr>
        <w:t>）后期运维方案（投标人自行编写）；</w:t>
      </w:r>
    </w:p>
    <w:p w14:paraId="75D8A571">
      <w:pPr>
        <w:spacing w:line="360" w:lineRule="auto"/>
        <w:ind w:left="315" w:leftChars="-100" w:hanging="525" w:hanging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lang w:val="zh-CN"/>
          <w14:textFill>
            <w14:solidFill>
              <w14:schemeClr w14:val="tx1"/>
            </w14:solidFill>
          </w14:textFill>
        </w:rPr>
        <w:t>）投标人认为有必要提供的其它材料（不做强制要求）。</w:t>
      </w:r>
    </w:p>
    <w:p w14:paraId="5523C37A">
      <w:pPr>
        <w:autoSpaceDE w:val="0"/>
        <w:autoSpaceDN w:val="0"/>
        <w:adjustRightInd w:val="0"/>
        <w:spacing w:line="360" w:lineRule="auto"/>
        <w:ind w:left="422" w:leftChars="-100" w:hanging="632" w:hangingChars="30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9.1.3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（详细要求见本篇第17.5款）</w:t>
      </w:r>
    </w:p>
    <w:p w14:paraId="4748EB93">
      <w:pPr>
        <w:autoSpaceDE w:val="0"/>
        <w:autoSpaceDN w:val="0"/>
        <w:adjustRightInd w:val="0"/>
        <w:spacing w:line="360" w:lineRule="auto"/>
        <w:ind w:left="35" w:leftChars="-118" w:hanging="283" w:hangingChars="13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14:paraId="57B8C9B6">
      <w:pPr>
        <w:autoSpaceDE w:val="0"/>
        <w:autoSpaceDN w:val="0"/>
        <w:adjustRightInd w:val="0"/>
        <w:spacing w:line="360" w:lineRule="auto"/>
        <w:ind w:left="422" w:leftChars="-100" w:hanging="632" w:hangingChars="300"/>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6B7A6D8D">
      <w:pPr>
        <w:spacing w:line="360" w:lineRule="auto"/>
        <w:ind w:left="105" w:leftChars="-100" w:hanging="315" w:hangingChars="1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14:paraId="59D51EB4">
      <w:pPr>
        <w:spacing w:line="360" w:lineRule="auto"/>
        <w:ind w:left="105" w:leftChars="-100" w:hanging="315" w:hangingChars="1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14:paraId="16E1B32D">
      <w:pPr>
        <w:autoSpaceDE w:val="0"/>
        <w:autoSpaceDN w:val="0"/>
        <w:adjustRightInd w:val="0"/>
        <w:spacing w:line="360" w:lineRule="auto"/>
        <w:ind w:left="210" w:leftChars="-100" w:hanging="420" w:hangingChars="2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1E7AD055">
      <w:pPr>
        <w:tabs>
          <w:tab w:val="left" w:pos="567"/>
        </w:tabs>
        <w:autoSpaceDE/>
        <w:autoSpaceDN/>
        <w:adjustRightInd w:val="0"/>
        <w:spacing w:line="360" w:lineRule="auto"/>
        <w:ind w:left="210" w:leftChars="-100" w:hanging="420" w:hangingChars="2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39F59EE8">
      <w:pPr>
        <w:autoSpaceDE w:val="0"/>
        <w:autoSpaceDN w:val="0"/>
        <w:adjustRightInd w:val="0"/>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p>
    <w:p w14:paraId="7FC7319F">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33" w:name="_Toc3148"/>
      <w:bookmarkStart w:id="134" w:name="_Toc13214"/>
      <w:bookmarkStart w:id="135" w:name="_Toc450662860"/>
      <w:bookmarkStart w:id="136" w:name="_Toc8675_WPSOffice_Level3"/>
      <w:bookmarkStart w:id="137" w:name="_Toc11170"/>
      <w:bookmarkStart w:id="138" w:name="_Toc142508324"/>
      <w:bookmarkStart w:id="139" w:name="_Toc31771"/>
      <w:bookmarkStart w:id="140" w:name="_Toc486167674"/>
      <w:r>
        <w:rPr>
          <w:rFonts w:hint="eastAsia" w:ascii="宋体" w:hAnsi="宋体" w:eastAsia="宋体" w:cs="宋体"/>
          <w:color w:val="000000" w:themeColor="text1"/>
          <w:szCs w:val="21"/>
          <w:highlight w:val="none"/>
          <w:lang w:val="zh-CN"/>
          <w14:textFill>
            <w14:solidFill>
              <w14:schemeClr w14:val="tx1"/>
            </w14:solidFill>
          </w14:textFill>
        </w:rPr>
        <w:t>10 投标函</w:t>
      </w:r>
      <w:bookmarkEnd w:id="133"/>
      <w:bookmarkEnd w:id="134"/>
      <w:bookmarkEnd w:id="135"/>
      <w:bookmarkEnd w:id="136"/>
      <w:bookmarkEnd w:id="137"/>
      <w:bookmarkEnd w:id="138"/>
      <w:bookmarkEnd w:id="139"/>
      <w:bookmarkEnd w:id="140"/>
    </w:p>
    <w:p w14:paraId="1BD6C1C5">
      <w:pPr>
        <w:autoSpaceDE w:val="0"/>
        <w:autoSpaceDN w:val="0"/>
        <w:adjustRightInd w:val="0"/>
        <w:spacing w:line="360" w:lineRule="auto"/>
        <w:ind w:left="265" w:leftChars="119" w:hanging="1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657AA134">
      <w:pPr>
        <w:autoSpaceDE w:val="0"/>
        <w:autoSpaceDN w:val="0"/>
        <w:adjustRightInd w:val="0"/>
        <w:spacing w:line="360" w:lineRule="auto"/>
        <w:ind w:left="265" w:leftChars="119" w:hanging="15"/>
        <w:rPr>
          <w:rFonts w:hint="eastAsia" w:ascii="宋体" w:hAnsi="宋体" w:eastAsia="宋体" w:cs="宋体"/>
          <w:color w:val="000000" w:themeColor="text1"/>
          <w:szCs w:val="21"/>
          <w:highlight w:val="none"/>
          <w:lang w:val="zh-CN"/>
          <w14:textFill>
            <w14:solidFill>
              <w14:schemeClr w14:val="tx1"/>
            </w14:solidFill>
          </w14:textFill>
        </w:rPr>
      </w:pPr>
    </w:p>
    <w:p w14:paraId="55C1CA0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41" w:name="_Toc24311"/>
      <w:bookmarkStart w:id="142" w:name="_Toc486167675"/>
      <w:bookmarkStart w:id="143" w:name="_Toc450662861"/>
      <w:bookmarkStart w:id="144" w:name="_Toc142508325"/>
      <w:bookmarkStart w:id="145" w:name="_Toc12645"/>
      <w:bookmarkStart w:id="146" w:name="_Toc4385_WPSOffice_Level3"/>
      <w:bookmarkStart w:id="147" w:name="_Toc20186"/>
      <w:bookmarkStart w:id="148" w:name="_Toc15427"/>
      <w:r>
        <w:rPr>
          <w:rFonts w:hint="eastAsia" w:ascii="宋体" w:hAnsi="宋体" w:eastAsia="宋体" w:cs="宋体"/>
          <w:color w:val="000000" w:themeColor="text1"/>
          <w:szCs w:val="21"/>
          <w:highlight w:val="none"/>
          <w:lang w:val="zh-CN"/>
          <w14:textFill>
            <w14:solidFill>
              <w14:schemeClr w14:val="tx1"/>
            </w14:solidFill>
          </w14:textFill>
        </w:rPr>
        <w:t>11 投标报价</w:t>
      </w:r>
      <w:bookmarkEnd w:id="141"/>
      <w:bookmarkEnd w:id="142"/>
      <w:bookmarkEnd w:id="143"/>
      <w:bookmarkEnd w:id="144"/>
      <w:bookmarkEnd w:id="145"/>
      <w:bookmarkEnd w:id="146"/>
      <w:bookmarkEnd w:id="147"/>
      <w:bookmarkEnd w:id="148"/>
    </w:p>
    <w:p w14:paraId="2B82FB9D">
      <w:pPr>
        <w:tabs>
          <w:tab w:val="left" w:pos="567"/>
        </w:tabs>
        <w:autoSpaceDE w:val="0"/>
        <w:autoSpaceDN w:val="0"/>
        <w:adjustRightInd w:val="0"/>
        <w:spacing w:line="360" w:lineRule="auto"/>
        <w:ind w:left="357" w:leftChars="-100" w:hanging="567"/>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 xml:space="preserve">11.1 </w:t>
      </w:r>
      <w:r>
        <w:rPr>
          <w:rFonts w:hint="eastAsia" w:ascii="宋体" w:hAnsi="宋体" w:eastAsia="宋体" w:cs="宋体"/>
          <w:b/>
          <w:color w:val="000000" w:themeColor="text1"/>
          <w:szCs w:val="21"/>
          <w:highlight w:val="none"/>
          <w:u w:val="single"/>
          <w:lang w:val="zh-CN"/>
          <w14:textFill>
            <w14:solidFill>
              <w14:schemeClr w14:val="tx1"/>
            </w14:solidFill>
          </w14:textFill>
        </w:rPr>
        <w:t>本项目只允许有一个报价价格，任何有选择的或</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不是固定价的</w:t>
      </w:r>
      <w:r>
        <w:rPr>
          <w:rFonts w:hint="eastAsia" w:ascii="宋体" w:hAnsi="宋体" w:eastAsia="宋体" w:cs="宋体"/>
          <w:b/>
          <w:color w:val="000000" w:themeColor="text1"/>
          <w:szCs w:val="21"/>
          <w:highlight w:val="none"/>
          <w:u w:val="single"/>
          <w:lang w:val="zh-CN"/>
          <w14:textFill>
            <w14:solidFill>
              <w14:schemeClr w14:val="tx1"/>
            </w14:solidFill>
          </w14:textFill>
        </w:rPr>
        <w:t>投标报价将不予接受，</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作为非实质性响应投标而予以拒绝。</w:t>
      </w:r>
      <w:r>
        <w:rPr>
          <w:rFonts w:hint="eastAsia" w:ascii="宋体" w:hAnsi="宋体" w:eastAsia="宋体" w:cs="宋体"/>
          <w:b/>
          <w:color w:val="000000" w:themeColor="text1"/>
          <w:kern w:val="0"/>
          <w:szCs w:val="21"/>
          <w:highlight w:val="none"/>
          <w:u w:val="singl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14:paraId="5E4142EC">
      <w:pPr>
        <w:tabs>
          <w:tab w:val="left" w:pos="567"/>
        </w:tabs>
        <w:autoSpaceDE w:val="0"/>
        <w:autoSpaceDN w:val="0"/>
        <w:adjustRightInd w:val="0"/>
        <w:spacing w:line="360" w:lineRule="auto"/>
        <w:ind w:left="420" w:leftChars="200" w:firstLine="422" w:firstLineChars="200"/>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u w:val="singl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r>
        <w:rPr>
          <w:rFonts w:hint="eastAsia" w:ascii="宋体" w:hAnsi="宋体" w:eastAsia="宋体" w:cs="宋体"/>
          <w:b/>
          <w:color w:val="000000" w:themeColor="text1"/>
          <w:szCs w:val="21"/>
          <w:highlight w:val="none"/>
          <w:lang w:val="zh-CN"/>
          <w14:textFill>
            <w14:solidFill>
              <w14:schemeClr w14:val="tx1"/>
            </w14:solidFill>
          </w14:textFill>
        </w:rPr>
        <w:t>。</w:t>
      </w:r>
    </w:p>
    <w:p w14:paraId="56C3B923">
      <w:pPr>
        <w:tabs>
          <w:tab w:val="left" w:pos="567"/>
        </w:tabs>
        <w:autoSpaceDE w:val="0"/>
        <w:autoSpaceDN w:val="0"/>
        <w:adjustRightInd w:val="0"/>
        <w:spacing w:line="360" w:lineRule="auto"/>
        <w:ind w:left="420" w:leftChars="200" w:firstLine="422" w:firstLineChars="200"/>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u w:val="singl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u w:val="single"/>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u w:val="single"/>
          <w:lang w:val="zh-CN"/>
          <w14:textFill>
            <w14:solidFill>
              <w14:schemeClr w14:val="tx1"/>
            </w14:solidFill>
          </w14:textFill>
        </w:rPr>
        <w:t>的投标人才有资格进入下一阶段的评审，否则将按无效投标处理</w:t>
      </w:r>
      <w:r>
        <w:rPr>
          <w:rFonts w:hint="eastAsia" w:ascii="宋体" w:hAnsi="宋体" w:eastAsia="宋体" w:cs="宋体"/>
          <w:b/>
          <w:color w:val="000000" w:themeColor="text1"/>
          <w:szCs w:val="21"/>
          <w:highlight w:val="none"/>
          <w:lang w:val="zh-CN"/>
          <w14:textFill>
            <w14:solidFill>
              <w14:schemeClr w14:val="tx1"/>
            </w14:solidFill>
          </w14:textFill>
        </w:rPr>
        <w:t>。</w:t>
      </w:r>
    </w:p>
    <w:p w14:paraId="6AE4F9DA">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本项目投标报价综合单价为不含税价，即为《中华人民共和国增值税暂行条例》（国务院令第691号修订版）规定的销售额</w:t>
      </w:r>
      <w:r>
        <w:rPr>
          <w:rFonts w:hint="eastAsia" w:ascii="宋体" w:hAnsi="宋体" w:eastAsia="宋体" w:cs="宋体"/>
          <w:color w:val="000000" w:themeColor="text1"/>
          <w:szCs w:val="21"/>
          <w:highlight w:val="none"/>
          <w:lang w:val="zh-CN"/>
          <w14:textFill>
            <w14:solidFill>
              <w14:schemeClr w14:val="tx1"/>
            </w14:solidFill>
          </w14:textFill>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000000" w:themeColor="text1"/>
          <w:kern w:val="0"/>
          <w:szCs w:val="21"/>
          <w:highlight w:val="none"/>
          <w14:textFill>
            <w14:solidFill>
              <w14:schemeClr w14:val="tx1"/>
            </w14:solidFill>
          </w14:textFill>
        </w:rPr>
        <w:t>本采购项目投标报价已含投标人履行本招标内容全部义务的一切费用，包括但不限于：</w:t>
      </w:r>
    </w:p>
    <w:p w14:paraId="51737461">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人全额出资建设项目涉及的项目前期手续办理、现场勘测、建筑物承载力检测、光伏发电系统设备、配套设施、工程设计、供配电设备安装、通信调度、调试、运行、维护、间接费、风险及所有不可预见费等以及政府相关部门规定投标人缴纳的各种费用；</w:t>
      </w:r>
    </w:p>
    <w:p w14:paraId="0EBB81CD">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）合理利润、投标人销项税额以外的税费等；</w:t>
      </w:r>
    </w:p>
    <w:p w14:paraId="5F9B4002">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）法律法规、商业公认、招标文件规定由投标人承担的其他直接及间接费用。</w:t>
      </w:r>
    </w:p>
    <w:p w14:paraId="50DECED7">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11.3 </w:t>
      </w:r>
      <w:r>
        <w:rPr>
          <w:rFonts w:hint="eastAsia" w:ascii="宋体" w:hAnsi="宋体" w:eastAsia="宋体" w:cs="宋体"/>
          <w:color w:val="000000" w:themeColor="text1"/>
          <w:szCs w:val="21"/>
          <w:highlight w:val="none"/>
          <w:lang w:val="zh-CN"/>
          <w14:textFill>
            <w14:solidFill>
              <w14:schemeClr w14:val="tx1"/>
            </w14:solidFill>
          </w14:textFill>
        </w:rPr>
        <w:t>投标人根据</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第11.</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款</w:t>
      </w:r>
      <w:r>
        <w:rPr>
          <w:rFonts w:hint="eastAsia" w:ascii="宋体" w:hAnsi="宋体" w:eastAsia="宋体" w:cs="宋体"/>
          <w:color w:val="000000" w:themeColor="text1"/>
          <w:szCs w:val="21"/>
          <w:highlight w:val="none"/>
          <w:lang w:val="zh-CN"/>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所报的价格分项仅供评标委员会评审时使用；在任何情况下不限制投标人以不同的条件中标的权利。</w:t>
      </w:r>
    </w:p>
    <w:p w14:paraId="1DC86A98">
      <w:pPr>
        <w:autoSpaceDE w:val="0"/>
        <w:autoSpaceDN w:val="0"/>
        <w:adjustRightInd w:val="0"/>
        <w:spacing w:line="360" w:lineRule="auto"/>
        <w:ind w:left="268" w:leftChars="-100" w:hanging="478" w:hangingChars="228"/>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1C8BDC3D">
      <w:pPr>
        <w:autoSpaceDE w:val="0"/>
        <w:autoSpaceDN w:val="0"/>
        <w:adjustRightInd w:val="0"/>
        <w:spacing w:line="360" w:lineRule="auto"/>
        <w:ind w:left="357" w:leftChars="-100" w:hanging="567"/>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宋体"/>
          <w:b/>
          <w:bCs/>
          <w:color w:val="000000" w:themeColor="text1"/>
          <w:szCs w:val="21"/>
          <w:highlight w:val="none"/>
          <w:u w:val="single"/>
          <w:lang w:val="zh-CN"/>
          <w14:textFill>
            <w14:solidFill>
              <w14:schemeClr w14:val="tx1"/>
            </w14:solidFill>
          </w14:textFill>
        </w:rPr>
        <w:t>合同项下，招标人需要的</w:t>
      </w:r>
      <w:r>
        <w:rPr>
          <w:rFonts w:hint="eastAsia" w:ascii="宋体" w:hAnsi="宋体" w:eastAsia="宋体" w:cs="宋体"/>
          <w:b/>
          <w:bCs/>
          <w:color w:val="000000" w:themeColor="text1"/>
          <w:szCs w:val="21"/>
          <w:highlight w:val="none"/>
          <w:u w:val="single"/>
          <w14:textFill>
            <w14:solidFill>
              <w14:schemeClr w14:val="tx1"/>
            </w14:solidFill>
          </w14:textFill>
        </w:rPr>
        <w:t>相关</w:t>
      </w:r>
      <w:r>
        <w:rPr>
          <w:rFonts w:hint="eastAsia" w:ascii="宋体" w:hAnsi="宋体" w:eastAsia="宋体" w:cs="宋体"/>
          <w:b/>
          <w:bCs/>
          <w:color w:val="000000" w:themeColor="text1"/>
          <w:szCs w:val="21"/>
          <w:highlight w:val="none"/>
          <w:u w:val="single"/>
          <w:lang w:val="zh-CN"/>
          <w14:textFill>
            <w14:solidFill>
              <w14:schemeClr w14:val="tx1"/>
            </w14:solidFill>
          </w14:textFill>
        </w:rPr>
        <w:t>服务所需的费用，投标人都应计入投标报价</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12369226">
      <w:pPr>
        <w:autoSpaceDE w:val="0"/>
        <w:autoSpaceDN w:val="0"/>
        <w:adjustRightInd w:val="0"/>
        <w:spacing w:line="360" w:lineRule="auto"/>
        <w:ind w:left="357" w:leftChars="-100" w:hanging="567"/>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r>
        <w:rPr>
          <w:rFonts w:hint="eastAsia" w:ascii="宋体" w:hAnsi="宋体" w:eastAsia="宋体" w:cs="宋体"/>
          <w:b/>
          <w:bCs/>
          <w:color w:val="000000" w:themeColor="text1"/>
          <w:szCs w:val="21"/>
          <w:highlight w:val="none"/>
          <w:u w:val="none"/>
          <w14:textFill>
            <w14:solidFill>
              <w14:schemeClr w14:val="tx1"/>
            </w14:solidFill>
          </w14:textFill>
        </w:rPr>
        <w:t xml:space="preserve"> </w:t>
      </w:r>
      <w:r>
        <w:rPr>
          <w:rFonts w:hint="eastAsia" w:ascii="宋体" w:hAnsi="宋体" w:eastAsia="宋体" w:cs="宋体"/>
          <w:b/>
          <w:bCs/>
          <w:color w:val="000000" w:themeColor="text1"/>
          <w:szCs w:val="21"/>
          <w:highlight w:val="none"/>
          <w:u w:val="single"/>
          <w14:textFill>
            <w14:solidFill>
              <w14:schemeClr w14:val="tx1"/>
            </w14:solidFill>
          </w14:textFill>
        </w:rPr>
        <w:t>投标人的投标报价高于</w:t>
      </w:r>
      <w:r>
        <w:rPr>
          <w:rFonts w:hint="eastAsia" w:ascii="宋体" w:hAnsi="宋体" w:eastAsia="宋体" w:cs="宋体"/>
          <w:b/>
          <w:bCs/>
          <w:color w:val="000000" w:themeColor="text1"/>
          <w:szCs w:val="21"/>
          <w:highlight w:val="none"/>
          <w:u w:val="single"/>
          <w:lang w:eastAsia="zh-CN"/>
          <w14:textFill>
            <w14:solidFill>
              <w14:schemeClr w14:val="tx1"/>
            </w14:solidFill>
          </w14:textFill>
        </w:rPr>
        <w:t>不含税</w:t>
      </w:r>
      <w:r>
        <w:rPr>
          <w:rFonts w:hint="eastAsia" w:ascii="宋体" w:hAnsi="宋体" w:eastAsia="宋体" w:cs="Times New Roman"/>
          <w:b/>
          <w:bCs/>
          <w:color w:val="000000" w:themeColor="text1"/>
          <w:kern w:val="0"/>
          <w:szCs w:val="24"/>
          <w:highlight w:val="none"/>
          <w:u w:val="single"/>
          <w:lang w:val="zh-CN"/>
          <w14:textFill>
            <w14:solidFill>
              <w14:schemeClr w14:val="tx1"/>
            </w14:solidFill>
          </w14:textFill>
        </w:rPr>
        <w:t>综合单价</w:t>
      </w:r>
      <w:r>
        <w:rPr>
          <w:rFonts w:hint="eastAsia" w:ascii="宋体" w:hAnsi="宋体" w:eastAsia="宋体" w:cs="宋体"/>
          <w:b/>
          <w:bCs/>
          <w:color w:val="000000" w:themeColor="text1"/>
          <w:szCs w:val="21"/>
          <w:highlight w:val="none"/>
          <w:u w:val="single"/>
          <w14:textFill>
            <w14:solidFill>
              <w14:schemeClr w14:val="tx1"/>
            </w14:solidFill>
          </w14:textFill>
        </w:rPr>
        <w:t>最高投标限价的，该投标人的投标文件将被视为无效投标</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本项目的</w:t>
      </w:r>
      <w:r>
        <w:rPr>
          <w:rFonts w:hint="eastAsia" w:ascii="宋体" w:hAnsi="宋体" w:eastAsia="宋体" w:cs="宋体"/>
          <w:b/>
          <w:bCs/>
          <w:color w:val="000000" w:themeColor="text1"/>
          <w:szCs w:val="21"/>
          <w:highlight w:val="none"/>
          <w:u w:val="single"/>
          <w14:textFill>
            <w14:solidFill>
              <w14:schemeClr w14:val="tx1"/>
            </w14:solidFill>
          </w14:textFill>
        </w:rPr>
        <w:t>不含税综合单价最高投标限价为</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0.485</w:t>
      </w:r>
      <w:r>
        <w:rPr>
          <w:rFonts w:hint="eastAsia" w:ascii="宋体" w:hAnsi="宋体" w:eastAsia="宋体" w:cs="宋体"/>
          <w:b/>
          <w:bCs/>
          <w:color w:val="000000" w:themeColor="text1"/>
          <w:szCs w:val="21"/>
          <w:highlight w:val="none"/>
          <w:u w:val="single"/>
          <w14:textFill>
            <w14:solidFill>
              <w14:schemeClr w14:val="tx1"/>
            </w14:solidFill>
          </w14:textFill>
        </w:rPr>
        <w:t>元/</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kWh</w:t>
      </w:r>
      <w:r>
        <w:rPr>
          <w:rFonts w:hint="eastAsia" w:ascii="宋体" w:hAnsi="宋体" w:eastAsia="宋体" w:cs="宋体"/>
          <w:b/>
          <w:bCs/>
          <w:color w:val="000000" w:themeColor="text1"/>
          <w:szCs w:val="21"/>
          <w:highlight w:val="none"/>
          <w:u w:val="single"/>
          <w14:textFill>
            <w14:solidFill>
              <w14:schemeClr w14:val="tx1"/>
            </w14:solidFill>
          </w14:textFill>
        </w:rPr>
        <w:t>。</w:t>
      </w:r>
    </w:p>
    <w:p w14:paraId="52938F44">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p>
    <w:p w14:paraId="03719485">
      <w:pPr>
        <w:autoSpaceDE w:val="0"/>
        <w:autoSpaceDN w:val="0"/>
        <w:adjustRightInd w:val="0"/>
        <w:spacing w:line="360" w:lineRule="auto"/>
        <w:ind w:left="357" w:leftChars="-100" w:hanging="567"/>
        <w:jc w:val="left"/>
        <w:outlineLvl w:val="2"/>
        <w:rPr>
          <w:rFonts w:hint="eastAsia" w:ascii="宋体" w:hAnsi="宋体" w:eastAsia="宋体" w:cs="宋体"/>
          <w:b/>
          <w:color w:val="000000" w:themeColor="text1"/>
          <w:szCs w:val="21"/>
          <w:highlight w:val="none"/>
          <w:lang w:val="zh-CN"/>
          <w14:textFill>
            <w14:solidFill>
              <w14:schemeClr w14:val="tx1"/>
            </w14:solidFill>
          </w14:textFill>
        </w:rPr>
      </w:pPr>
      <w:bookmarkStart w:id="149" w:name="_Toc142508326"/>
      <w:bookmarkStart w:id="150" w:name="_Toc30208"/>
      <w:bookmarkStart w:id="151" w:name="_Toc3469"/>
      <w:bookmarkStart w:id="152" w:name="_Toc30042_WPSOffice_Level3"/>
      <w:bookmarkStart w:id="153" w:name="_Toc20312"/>
      <w:bookmarkStart w:id="154" w:name="_Toc450662862"/>
      <w:bookmarkStart w:id="155" w:name="_Toc486167676"/>
      <w:bookmarkStart w:id="156" w:name="_Toc8937"/>
      <w:r>
        <w:rPr>
          <w:rFonts w:hint="eastAsia" w:ascii="宋体" w:hAnsi="宋体" w:eastAsia="宋体" w:cs="宋体"/>
          <w:b/>
          <w:color w:val="000000" w:themeColor="text1"/>
          <w:szCs w:val="21"/>
          <w:highlight w:val="none"/>
          <w:lang w:val="zh-CN"/>
          <w14:textFill>
            <w14:solidFill>
              <w14:schemeClr w14:val="tx1"/>
            </w14:solidFill>
          </w14:textFill>
        </w:rPr>
        <w:t>12 投标报价货币</w:t>
      </w:r>
      <w:bookmarkEnd w:id="149"/>
      <w:bookmarkEnd w:id="150"/>
      <w:bookmarkEnd w:id="151"/>
      <w:bookmarkEnd w:id="152"/>
      <w:bookmarkEnd w:id="153"/>
      <w:bookmarkEnd w:id="154"/>
      <w:bookmarkEnd w:id="155"/>
      <w:bookmarkEnd w:id="156"/>
    </w:p>
    <w:p w14:paraId="2E225891">
      <w:pPr>
        <w:autoSpaceDE w:val="0"/>
        <w:autoSpaceDN w:val="0"/>
        <w:adjustRightInd w:val="0"/>
        <w:spacing w:line="360" w:lineRule="auto"/>
        <w:ind w:left="265" w:leftChars="119" w:hanging="15"/>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u w:val="single"/>
          <w:lang w:val="zh-CN"/>
          <w14:textFill>
            <w14:solidFill>
              <w14:schemeClr w14:val="tx1"/>
            </w14:solidFill>
          </w14:textFill>
        </w:rPr>
        <w:t>投标报价表上的价格须以人民币报价，以其</w:t>
      </w:r>
      <w:r>
        <w:rPr>
          <w:rFonts w:hint="eastAsia" w:ascii="宋体" w:hAnsi="宋体" w:eastAsia="宋体" w:cs="宋体"/>
          <w:b/>
          <w:color w:val="000000" w:themeColor="text1"/>
          <w:szCs w:val="21"/>
          <w:highlight w:val="none"/>
          <w:u w:val="single"/>
          <w14:textFill>
            <w14:solidFill>
              <w14:schemeClr w14:val="tx1"/>
            </w14:solidFill>
          </w14:textFill>
        </w:rPr>
        <w:t>他</w:t>
      </w:r>
      <w:r>
        <w:rPr>
          <w:rFonts w:hint="eastAsia" w:ascii="宋体" w:hAnsi="宋体" w:eastAsia="宋体" w:cs="宋体"/>
          <w:b/>
          <w:color w:val="000000" w:themeColor="text1"/>
          <w:szCs w:val="21"/>
          <w:highlight w:val="none"/>
          <w:u w:val="singl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4E32B317">
      <w:pPr>
        <w:autoSpaceDE w:val="0"/>
        <w:autoSpaceDN w:val="0"/>
        <w:adjustRightInd w:val="0"/>
        <w:spacing w:line="360" w:lineRule="auto"/>
        <w:ind w:left="265" w:leftChars="119" w:hanging="15"/>
        <w:rPr>
          <w:rFonts w:hint="eastAsia" w:ascii="宋体" w:hAnsi="宋体" w:eastAsia="宋体" w:cs="宋体"/>
          <w:color w:val="000000" w:themeColor="text1"/>
          <w:szCs w:val="21"/>
          <w:highlight w:val="none"/>
          <w14:textFill>
            <w14:solidFill>
              <w14:schemeClr w14:val="tx1"/>
            </w14:solidFill>
          </w14:textFill>
        </w:rPr>
      </w:pPr>
    </w:p>
    <w:p w14:paraId="40054A45">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57" w:name="_Toc16043"/>
      <w:bookmarkStart w:id="158" w:name="_Toc450662863"/>
      <w:bookmarkStart w:id="159" w:name="_Toc1091"/>
      <w:bookmarkStart w:id="160" w:name="_Toc486167677"/>
      <w:bookmarkStart w:id="161" w:name="_Toc142508327"/>
      <w:bookmarkStart w:id="162" w:name="_Toc9411_WPSOffice_Level3"/>
      <w:bookmarkStart w:id="163" w:name="_Toc20031"/>
      <w:bookmarkStart w:id="164" w:name="_Toc3961"/>
      <w:r>
        <w:rPr>
          <w:rFonts w:hint="eastAsia" w:ascii="宋体" w:hAnsi="宋体" w:eastAsia="宋体" w:cs="宋体"/>
          <w:color w:val="000000" w:themeColor="text1"/>
          <w:szCs w:val="21"/>
          <w:highlight w:val="none"/>
          <w:lang w:val="zh-CN"/>
          <w14:textFill>
            <w14:solidFill>
              <w14:schemeClr w14:val="tx1"/>
            </w14:solidFill>
          </w14:textFill>
        </w:rPr>
        <w:t>13 证明投标人的合格性和资格的声明文件</w:t>
      </w:r>
      <w:bookmarkEnd w:id="157"/>
      <w:bookmarkEnd w:id="158"/>
      <w:bookmarkEnd w:id="159"/>
      <w:bookmarkEnd w:id="160"/>
      <w:bookmarkEnd w:id="161"/>
      <w:bookmarkEnd w:id="162"/>
      <w:bookmarkEnd w:id="163"/>
      <w:bookmarkEnd w:id="164"/>
    </w:p>
    <w:p w14:paraId="4EDB2D54">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147C8FCF">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1A2E9436">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7C2EB4D7">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337C8DE2">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（3）投标人证明其相应资格符合或优于招标文件要求的其它文件。</w:t>
      </w:r>
    </w:p>
    <w:p w14:paraId="74AC08E3">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 投标人根据招标文件载明的相关服务要求的实际情况，拟在中标后将中标项目的非主体、非关键性专业工作交由他人完成的，应当在投标文件中载明，并提供他人的资质、能力证明材料。</w:t>
      </w:r>
    </w:p>
    <w:p w14:paraId="56E36177">
      <w:pPr>
        <w:autoSpaceDE w:val="0"/>
        <w:autoSpaceDN w:val="0"/>
        <w:adjustRightInd w:val="0"/>
        <w:spacing w:line="360" w:lineRule="auto"/>
        <w:ind w:left="560" w:leftChars="128" w:hanging="291" w:hangingChars="139"/>
        <w:rPr>
          <w:rFonts w:hint="eastAsia" w:ascii="宋体" w:hAnsi="宋体" w:eastAsia="宋体" w:cs="宋体"/>
          <w:color w:val="000000" w:themeColor="text1"/>
          <w:szCs w:val="21"/>
          <w:highlight w:val="none"/>
          <w14:textFill>
            <w14:solidFill>
              <w14:schemeClr w14:val="tx1"/>
            </w14:solidFill>
          </w14:textFill>
        </w:rPr>
      </w:pPr>
    </w:p>
    <w:p w14:paraId="1A2A25C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65" w:name="_Toc19111"/>
      <w:bookmarkStart w:id="166" w:name="_Toc27771_WPSOffice_Level3"/>
      <w:bookmarkStart w:id="167" w:name="_Toc450662864"/>
      <w:bookmarkStart w:id="168" w:name="_Toc142508328"/>
      <w:bookmarkStart w:id="169" w:name="_Toc486167678"/>
      <w:bookmarkStart w:id="170" w:name="_Toc16467"/>
      <w:bookmarkStart w:id="171" w:name="_Toc8615"/>
      <w:bookmarkStart w:id="172" w:name="_Toc29754"/>
      <w:r>
        <w:rPr>
          <w:rFonts w:hint="eastAsia" w:ascii="宋体" w:hAnsi="宋体" w:eastAsia="宋体" w:cs="宋体"/>
          <w:color w:val="000000" w:themeColor="text1"/>
          <w:szCs w:val="21"/>
          <w:highlight w:val="none"/>
          <w:lang w:val="zh-CN"/>
          <w14:textFill>
            <w14:solidFill>
              <w14:schemeClr w14:val="tx1"/>
            </w14:solidFill>
          </w14:textFill>
        </w:rPr>
        <w:t>14 证明服务的合格性并符合招标文件规定的声明文件</w:t>
      </w:r>
      <w:bookmarkEnd w:id="165"/>
      <w:bookmarkEnd w:id="166"/>
      <w:bookmarkEnd w:id="167"/>
      <w:bookmarkEnd w:id="168"/>
      <w:bookmarkEnd w:id="169"/>
      <w:bookmarkEnd w:id="170"/>
      <w:bookmarkEnd w:id="171"/>
      <w:bookmarkEnd w:id="172"/>
    </w:p>
    <w:p w14:paraId="0EA84A32">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w:t>
      </w: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的合格性并符合招标文件规定的声明文件，作为投标文件的一部分。</w:t>
      </w:r>
    </w:p>
    <w:p w14:paraId="3FB4541F">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相关服务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37B198E6">
      <w:pPr>
        <w:autoSpaceDE w:val="0"/>
        <w:autoSpaceDN w:val="0"/>
        <w:adjustRightInd w:val="0"/>
        <w:spacing w:line="360" w:lineRule="auto"/>
        <w:ind w:left="317" w:leftChars="-100" w:hanging="527" w:hangingChars="251"/>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u w:val="single"/>
          <w:lang w:val="zh-CN"/>
          <w14:textFill>
            <w14:solidFill>
              <w14:schemeClr w14:val="tx1"/>
            </w14:solidFill>
          </w14:textFill>
        </w:rPr>
        <w:t>为说明第14.2款的规定，投标人应注意本招标文件在《用户需求书》中对服务要求</w:t>
      </w:r>
      <w:r>
        <w:rPr>
          <w:rFonts w:hint="eastAsia" w:ascii="宋体" w:hAnsi="宋体" w:eastAsia="宋体" w:cs="宋体"/>
          <w:b/>
          <w:color w:val="000000" w:themeColor="text1"/>
          <w:szCs w:val="21"/>
          <w:highlight w:val="none"/>
          <w:u w:val="single"/>
          <w14:textFill>
            <w14:solidFill>
              <w14:schemeClr w14:val="tx1"/>
            </w14:solidFill>
          </w14:textFill>
        </w:rPr>
        <w:t>的</w:t>
      </w:r>
      <w:r>
        <w:rPr>
          <w:rFonts w:hint="eastAsia" w:ascii="宋体" w:hAnsi="宋体" w:eastAsia="宋体" w:cs="宋体"/>
          <w:b/>
          <w:color w:val="000000" w:themeColor="text1"/>
          <w:szCs w:val="21"/>
          <w:highlight w:val="none"/>
          <w:u w:val="single"/>
          <w:lang w:val="zh-CN"/>
          <w14:textFill>
            <w14:solidFill>
              <w14:schemeClr w14:val="tx1"/>
            </w14:solidFill>
          </w14:textFill>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000000" w:themeColor="text1"/>
          <w:szCs w:val="21"/>
          <w:highlight w:val="none"/>
          <w:lang w:val="zh-CN"/>
          <w14:textFill>
            <w14:solidFill>
              <w14:schemeClr w14:val="tx1"/>
            </w14:solidFill>
          </w14:textFill>
        </w:rPr>
        <w:t>。</w:t>
      </w:r>
    </w:p>
    <w:p w14:paraId="6B4813D7">
      <w:pPr>
        <w:autoSpaceDE w:val="0"/>
        <w:autoSpaceDN w:val="0"/>
        <w:adjustRightIn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p>
    <w:p w14:paraId="28577C2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73" w:name="_Toc14444"/>
      <w:bookmarkStart w:id="174" w:name="_Toc30555"/>
      <w:bookmarkStart w:id="175" w:name="_Toc5356_WPSOffice_Level3"/>
      <w:bookmarkStart w:id="176" w:name="_Toc486167679"/>
      <w:bookmarkStart w:id="177" w:name="_Toc8644"/>
      <w:bookmarkStart w:id="178" w:name="_Toc142508329"/>
      <w:bookmarkStart w:id="179" w:name="_Toc16828"/>
      <w:r>
        <w:rPr>
          <w:rFonts w:hint="eastAsia" w:ascii="宋体" w:hAnsi="宋体" w:eastAsia="宋体" w:cs="宋体"/>
          <w:color w:val="000000" w:themeColor="text1"/>
          <w:szCs w:val="21"/>
          <w:highlight w:val="none"/>
          <w:lang w:val="zh-CN"/>
          <w14:textFill>
            <w14:solidFill>
              <w14:schemeClr w14:val="tx1"/>
            </w14:solidFill>
          </w14:textFill>
        </w:rPr>
        <w:t>15 投标保证金</w:t>
      </w:r>
      <w:bookmarkEnd w:id="173"/>
      <w:bookmarkEnd w:id="174"/>
      <w:bookmarkEnd w:id="175"/>
      <w:bookmarkEnd w:id="176"/>
      <w:bookmarkEnd w:id="177"/>
      <w:bookmarkEnd w:id="178"/>
      <w:bookmarkEnd w:id="179"/>
    </w:p>
    <w:p w14:paraId="142A70F4">
      <w:pPr>
        <w:tabs>
          <w:tab w:val="left" w:pos="567"/>
        </w:tabs>
        <w:autoSpaceDE w:val="0"/>
        <w:autoSpaceDN w:val="0"/>
        <w:adjustRightInd w:val="0"/>
        <w:spacing w:line="360" w:lineRule="auto"/>
        <w:ind w:left="357" w:leftChars="-100" w:hanging="56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hint="eastAsia"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投标人投标时须</w:t>
      </w:r>
      <w:r>
        <w:rPr>
          <w:rFonts w:hint="eastAsia" w:ascii="宋体" w:hAnsi="宋体" w:eastAsia="宋体" w:cs="宋体"/>
          <w:b/>
          <w:color w:val="000000" w:themeColor="text1"/>
          <w:kern w:val="0"/>
          <w:szCs w:val="21"/>
          <w:highlight w:val="none"/>
          <w:u w:val="single"/>
          <w14:textFill>
            <w14:solidFill>
              <w14:schemeClr w14:val="tx1"/>
            </w14:solidFill>
          </w14:textFill>
        </w:rPr>
        <w:t>附有</w:t>
      </w:r>
      <w:r>
        <w:rPr>
          <w:rFonts w:hint="eastAsia" w:ascii="宋体" w:hAnsi="宋体" w:eastAsia="宋体" w:cs="宋体"/>
          <w:b/>
          <w:color w:val="000000" w:themeColor="text1"/>
          <w:kern w:val="0"/>
          <w:szCs w:val="21"/>
          <w:highlight w:val="none"/>
          <w:u w:val="single"/>
          <w:lang w:val="en-US" w:eastAsia="zh-CN"/>
          <w14:textFill>
            <w14:solidFill>
              <w14:schemeClr w14:val="tx1"/>
            </w14:solidFill>
          </w14:textFill>
        </w:rPr>
        <w:t>¥150,000.00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w:t>
      </w:r>
      <w:r>
        <w:rPr>
          <w:rFonts w:hint="eastAsia" w:ascii="宋体" w:hAnsi="宋体" w:eastAsia="宋体" w:cs="宋体"/>
          <w:b/>
          <w:color w:val="000000" w:themeColor="text1"/>
          <w:kern w:val="0"/>
          <w:szCs w:val="21"/>
          <w:highlight w:val="none"/>
          <w:u w:val="single"/>
          <w:lang w:val="en-US" w:eastAsia="zh-CN"/>
          <w14:textFill>
            <w14:solidFill>
              <w14:schemeClr w14:val="tx1"/>
            </w14:solidFill>
          </w14:textFill>
        </w:rPr>
        <w:t>壹拾伍万元整</w:t>
      </w:r>
      <w:r>
        <w:rPr>
          <w:rFonts w:hint="eastAsia" w:ascii="宋体" w:hAnsi="宋体" w:eastAsia="宋体" w:cs="宋体"/>
          <w:b/>
          <w:color w:val="000000" w:themeColor="text1"/>
          <w:kern w:val="0"/>
          <w:szCs w:val="21"/>
          <w:highlight w:val="none"/>
          <w:u w:val="single"/>
          <w14:textFill>
            <w14:solidFill>
              <w14:schemeClr w14:val="tx1"/>
            </w14:solidFill>
          </w14:textFill>
        </w:rPr>
        <w:t>）</w:t>
      </w:r>
      <w:r>
        <w:rPr>
          <w:rFonts w:hint="eastAsia" w:ascii="宋体" w:hAnsi="宋体" w:eastAsia="宋体" w:cs="宋体"/>
          <w:b/>
          <w:color w:val="000000" w:themeColor="text1"/>
          <w:kern w:val="0"/>
          <w:szCs w:val="21"/>
          <w:highlight w:val="none"/>
          <w14:textFill>
            <w14:solidFill>
              <w14:schemeClr w14:val="tx1"/>
            </w14:solidFill>
          </w14:textFill>
        </w:rPr>
        <w:t>。</w:t>
      </w:r>
    </w:p>
    <w:p w14:paraId="27CD67EA">
      <w:pPr>
        <w:spacing w:line="360" w:lineRule="auto"/>
        <w:ind w:left="315" w:leftChars="-100" w:hanging="525" w:hangingChars="25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宋体"/>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73D3645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14:paraId="624129B8">
      <w:pPr>
        <w:spacing w:line="360" w:lineRule="auto"/>
        <w:ind w:firstLine="777" w:firstLineChars="37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必须通过本单位基本账户采用银行转账、电汇方式提交，且在递交投标文件截止时间前到达以下账户上</w:t>
      </w:r>
      <w:r>
        <w:rPr>
          <w:rFonts w:hint="eastAsia" w:ascii="宋体" w:hAnsi="宋体" w:eastAsia="宋体" w:cs="宋体"/>
          <w:b/>
          <w:bCs/>
          <w:color w:val="000000" w:themeColor="text1"/>
          <w:kern w:val="0"/>
          <w:szCs w:val="21"/>
          <w:highlight w:val="none"/>
          <w:u w:val="single"/>
          <w14:textFill>
            <w14:solidFill>
              <w14:schemeClr w14:val="tx1"/>
            </w14:solidFill>
          </w14:textFill>
        </w:rPr>
        <w:t>并注明招标编号</w:t>
      </w:r>
      <w:r>
        <w:rPr>
          <w:rFonts w:hint="eastAsia" w:ascii="宋体" w:hAnsi="宋体" w:eastAsia="宋体" w:cs="宋体"/>
          <w:color w:val="000000" w:themeColor="text1"/>
          <w:kern w:val="0"/>
          <w:szCs w:val="21"/>
          <w:highlight w:val="none"/>
          <w14:textFill>
            <w14:solidFill>
              <w14:schemeClr w14:val="tx1"/>
            </w14:solidFill>
          </w14:textFill>
        </w:rPr>
        <w:t>。</w:t>
      </w:r>
    </w:p>
    <w:p w14:paraId="67E3D7CF">
      <w:pPr>
        <w:autoSpaceDE w:val="0"/>
        <w:autoSpaceDN w:val="0"/>
        <w:adjustRightInd w:val="0"/>
        <w:spacing w:line="360" w:lineRule="auto"/>
        <w:ind w:left="225" w:leftChars="107" w:firstLine="489" w:firstLineChars="233"/>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开户名称：东莞市石鼓净水有限公司</w:t>
      </w:r>
    </w:p>
    <w:p w14:paraId="20477D27">
      <w:pPr>
        <w:autoSpaceDE w:val="0"/>
        <w:autoSpaceDN w:val="0"/>
        <w:adjustRightInd w:val="0"/>
        <w:spacing w:line="360" w:lineRule="auto"/>
        <w:ind w:left="225" w:leftChars="107" w:firstLine="489" w:firstLineChars="233"/>
        <w:jc w:val="left"/>
        <w:rPr>
          <w:rFonts w:hint="eastAsia"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开户银行：东莞银行东莞分行</w:t>
      </w:r>
    </w:p>
    <w:p w14:paraId="44D26E93">
      <w:pPr>
        <w:autoSpaceDE w:val="0"/>
        <w:autoSpaceDN w:val="0"/>
        <w:adjustRightInd w:val="0"/>
        <w:spacing w:line="360" w:lineRule="auto"/>
        <w:ind w:left="225" w:leftChars="107" w:firstLine="489" w:firstLineChars="233"/>
        <w:jc w:val="left"/>
        <w:rPr>
          <w:rFonts w:hint="eastAsia" w:ascii="宋体" w:hAnsi="宋体" w:eastAsia="宋体" w:cs="宋体"/>
          <w:b/>
          <w:bCs/>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银行账号：510008801002738</w:t>
      </w:r>
    </w:p>
    <w:p w14:paraId="298958B2">
      <w:pPr>
        <w:spacing w:line="360" w:lineRule="auto"/>
        <w:ind w:left="210" w:leftChars="100" w:firstLine="211" w:firstLineChars="1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47139498">
      <w:pPr>
        <w:autoSpaceDE w:val="0"/>
        <w:autoSpaceDN w:val="0"/>
        <w:adjustRightInd w:val="0"/>
        <w:spacing w:line="360" w:lineRule="auto"/>
        <w:ind w:left="357" w:leftChars="-100" w:hanging="567" w:hangingChars="270"/>
        <w:jc w:val="left"/>
        <w:rPr>
          <w:rFonts w:hint="eastAsia"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15.4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23D2A555">
      <w:pPr>
        <w:spacing w:line="360" w:lineRule="auto"/>
        <w:ind w:left="315" w:leftChars="-100" w:hanging="525" w:hanging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的投标人的投标保证金，最迟应</w:t>
      </w:r>
      <w:r>
        <w:rPr>
          <w:rFonts w:hint="eastAsia" w:ascii="宋体" w:hAnsi="宋体" w:eastAsia="宋体" w:cs="宋体"/>
          <w:color w:val="000000" w:themeColor="text1"/>
          <w:kern w:val="0"/>
          <w:szCs w:val="21"/>
          <w:highlight w:val="none"/>
          <w:lang w:eastAsia="zh-CN"/>
          <w14:textFill>
            <w14:solidFill>
              <w14:schemeClr w14:val="tx1"/>
            </w14:solidFill>
          </w14:textFill>
        </w:rPr>
        <w:t>在本项目的书面合同签订后5日内</w:t>
      </w:r>
      <w:r>
        <w:rPr>
          <w:rFonts w:hint="eastAsia" w:ascii="宋体" w:hAnsi="宋体" w:eastAsia="宋体" w:cs="宋体"/>
          <w:color w:val="000000" w:themeColor="text1"/>
          <w:kern w:val="0"/>
          <w:szCs w:val="21"/>
          <w:highlight w:val="none"/>
          <w14:textFill>
            <w14:solidFill>
              <w14:schemeClr w14:val="tx1"/>
            </w14:solidFill>
          </w14:textFill>
        </w:rPr>
        <w:t>，按照其投标保证金支付凭证上注明的收款人名称和账号予以退还，除非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499038A8">
      <w:pPr>
        <w:spacing w:line="360" w:lineRule="auto"/>
        <w:ind w:left="357" w:leftChars="-100"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中标人的投标保证金，满足下列要求，并最迟应在合同签订后的5日内退还。</w:t>
      </w:r>
    </w:p>
    <w:p w14:paraId="6731DB38">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7D2B4591">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6C1C50BC">
      <w:pPr>
        <w:spacing w:line="360" w:lineRule="auto"/>
        <w:ind w:left="315" w:leftChars="-100" w:hanging="525" w:hangingChars="250"/>
        <w:rPr>
          <w:rFonts w:hint="eastAsia"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14:paraId="6C12C10A">
      <w:pPr>
        <w:numPr>
          <w:ilvl w:val="2"/>
          <w:numId w:val="0"/>
        </w:numPr>
        <w:autoSpaceDE w:val="0"/>
        <w:autoSpaceDN w:val="0"/>
        <w:adjustRightInd w:val="0"/>
        <w:spacing w:line="360" w:lineRule="auto"/>
        <w:ind w:left="853" w:leftChars="136" w:hanging="567"/>
        <w:jc w:val="left"/>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45835BB5">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788F9CB0">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307DACDE">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6141BC5D">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（4）将中标项目转让给他人，或者在投标文件中未说明，且未经招标人同意，将中标项目的合同的权利义务转让给第三方的；</w:t>
      </w:r>
    </w:p>
    <w:p w14:paraId="084945C7">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6F0C116A">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000000" w:themeColor="text1"/>
          <w:kern w:val="0"/>
          <w:szCs w:val="21"/>
          <w:highlight w:val="none"/>
          <w14:textFill>
            <w14:solidFill>
              <w14:schemeClr w14:val="tx1"/>
            </w14:solidFill>
          </w14:textFill>
        </w:rPr>
      </w:pPr>
    </w:p>
    <w:p w14:paraId="2EB13BA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80" w:name="_Toc29607"/>
      <w:bookmarkStart w:id="181" w:name="_Toc450662865"/>
      <w:bookmarkStart w:id="182" w:name="_Toc486167680"/>
      <w:bookmarkStart w:id="183" w:name="_Toc12003"/>
      <w:bookmarkStart w:id="184" w:name="_Toc23267"/>
      <w:bookmarkStart w:id="185" w:name="_Toc142508330"/>
      <w:bookmarkStart w:id="186" w:name="_Toc1458"/>
      <w:bookmarkStart w:id="187" w:name="_Toc22649_WPSOffice_Level3"/>
      <w:r>
        <w:rPr>
          <w:rFonts w:hint="eastAsia" w:ascii="宋体" w:hAnsi="宋体" w:eastAsia="宋体" w:cs="宋体"/>
          <w:color w:val="000000" w:themeColor="text1"/>
          <w:szCs w:val="21"/>
          <w:highlight w:val="none"/>
          <w:lang w:val="zh-CN"/>
          <w14:textFill>
            <w14:solidFill>
              <w14:schemeClr w14:val="tx1"/>
            </w14:solidFill>
          </w14:textFill>
        </w:rPr>
        <w:t>16 投标有效期</w:t>
      </w:r>
      <w:bookmarkEnd w:id="180"/>
      <w:bookmarkEnd w:id="181"/>
      <w:bookmarkEnd w:id="182"/>
      <w:bookmarkEnd w:id="183"/>
      <w:bookmarkEnd w:id="184"/>
      <w:bookmarkEnd w:id="185"/>
      <w:bookmarkEnd w:id="186"/>
      <w:bookmarkEnd w:id="187"/>
    </w:p>
    <w:p w14:paraId="5D7F7B55">
      <w:pPr>
        <w:tabs>
          <w:tab w:val="left" w:pos="567"/>
        </w:tabs>
        <w:autoSpaceDE w:val="0"/>
        <w:autoSpaceDN w:val="0"/>
        <w:adjustRightInd w:val="0"/>
        <w:spacing w:line="360" w:lineRule="auto"/>
        <w:ind w:left="357" w:leftChars="-100" w:hanging="567"/>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0F2DFA08">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0089921D">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将退还其投标保证金。对于同意该要求的投标人，既不要求也不允许其修改投标文件，但将要求其相应延长投标保证金的有效期。第15条投标保证金的有关规定在投标保证金延长期内仍适用。</w:t>
      </w:r>
    </w:p>
    <w:p w14:paraId="1126BF27">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p>
    <w:p w14:paraId="0271326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88" w:name="_Toc20422"/>
      <w:bookmarkStart w:id="189" w:name="_Toc932"/>
      <w:bookmarkStart w:id="190" w:name="_Toc25637_WPSOffice_Level3"/>
      <w:bookmarkStart w:id="191" w:name="_Toc142508331"/>
      <w:bookmarkStart w:id="192" w:name="_Toc27995"/>
      <w:bookmarkStart w:id="193" w:name="_Toc15544"/>
      <w:bookmarkStart w:id="194" w:name="_Toc450662866"/>
      <w:bookmarkStart w:id="195" w:name="_Toc486167681"/>
      <w:r>
        <w:rPr>
          <w:rFonts w:hint="eastAsia" w:ascii="宋体" w:hAnsi="宋体" w:eastAsia="宋体" w:cs="宋体"/>
          <w:color w:val="000000" w:themeColor="text1"/>
          <w:szCs w:val="21"/>
          <w:highlight w:val="none"/>
          <w:lang w:val="zh-CN"/>
          <w14:textFill>
            <w14:solidFill>
              <w14:schemeClr w14:val="tx1"/>
            </w14:solidFill>
          </w14:textFill>
        </w:rPr>
        <w:t>17 投标文件的式样和签署</w:t>
      </w:r>
      <w:bookmarkEnd w:id="188"/>
      <w:bookmarkEnd w:id="189"/>
      <w:bookmarkEnd w:id="190"/>
      <w:bookmarkEnd w:id="191"/>
      <w:bookmarkEnd w:id="192"/>
      <w:bookmarkEnd w:id="193"/>
      <w:bookmarkEnd w:id="194"/>
      <w:bookmarkEnd w:id="195"/>
    </w:p>
    <w:p w14:paraId="7ED7BEAD">
      <w:pPr>
        <w:tabs>
          <w:tab w:val="left" w:pos="567"/>
        </w:tabs>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投标人应准备一份“唱标信封”、一份投标文件电子文件、一份正本和</w:t>
      </w:r>
      <w:r>
        <w:rPr>
          <w:rFonts w:hint="eastAsia" w:ascii="宋体" w:hAnsi="宋体" w:eastAsia="宋体" w:cs="宋体"/>
          <w:b/>
          <w:color w:val="000000" w:themeColor="text1"/>
          <w:szCs w:val="21"/>
          <w:highlight w:val="none"/>
          <w:u w:val="single"/>
          <w:lang w:eastAsia="zh-CN"/>
          <w14:textFill>
            <w14:solidFill>
              <w14:schemeClr w14:val="tx1"/>
            </w14:solidFill>
          </w14:textFill>
        </w:rPr>
        <w:t>七</w:t>
      </w:r>
      <w:r>
        <w:rPr>
          <w:rFonts w:hint="eastAsia" w:ascii="宋体" w:hAnsi="宋体" w:eastAsia="宋体" w:cs="宋体"/>
          <w:b/>
          <w:color w:val="000000" w:themeColor="text1"/>
          <w:szCs w:val="21"/>
          <w:highlight w:val="none"/>
          <w:u w:val="single"/>
          <w:lang w:val="zh-CN"/>
          <w14:textFill>
            <w14:solidFill>
              <w14:schemeClr w14:val="tx1"/>
            </w14:solidFill>
          </w14:textFill>
        </w:rPr>
        <w:t>份副本“投标文件”</w:t>
      </w:r>
      <w:r>
        <w:rPr>
          <w:rFonts w:hint="eastAsia" w:ascii="宋体" w:hAnsi="宋体" w:eastAsia="宋体" w:cs="宋体"/>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p>
    <w:p w14:paraId="1D9629A3">
      <w:pPr>
        <w:tabs>
          <w:tab w:val="left" w:pos="567"/>
        </w:tabs>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法人授权委托证明书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761362FC">
      <w:pPr>
        <w:autoSpaceDE w:val="0"/>
        <w:autoSpaceDN w:val="0"/>
        <w:adjustRightInd w:val="0"/>
        <w:spacing w:line="360" w:lineRule="auto"/>
        <w:ind w:left="357" w:leftChars="-100" w:hanging="567"/>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若有修改须由签署投标文件的人进行签字（或盖私章），并加盖投标人法人公章。</w:t>
      </w:r>
    </w:p>
    <w:p w14:paraId="0824B63A">
      <w:pPr>
        <w:autoSpaceDE w:val="0"/>
        <w:autoSpaceDN w:val="0"/>
        <w:adjustRightInd w:val="0"/>
        <w:spacing w:line="360" w:lineRule="auto"/>
        <w:ind w:left="357" w:leftChars="-100" w:hanging="567"/>
        <w:rPr>
          <w:rFonts w:hint="eastAsia"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17.4  投标文件的封面应注明“项目名称、招标编号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投标人名称、投标日期等”。</w:t>
      </w:r>
    </w:p>
    <w:p w14:paraId="464B02A2">
      <w:pPr>
        <w:autoSpaceDE w:val="0"/>
        <w:autoSpaceDN w:val="0"/>
        <w:adjustRightInd w:val="0"/>
        <w:spacing w:line="360" w:lineRule="auto"/>
        <w:ind w:left="357" w:leftChars="-100" w:hanging="567"/>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电子文件内容包括：电子文件不可设置密码，用DVD或CD-R光盘或U盘储存，可密封于“唱标信封”内（若电子文件单独密封，其包装封面需注明项目名称、招标编号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投标人单位名称，并加盖投标人法人公章）。</w:t>
      </w:r>
    </w:p>
    <w:p w14:paraId="7D15549B">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14:paraId="7FF683CB">
      <w:pPr>
        <w:autoSpaceDE w:val="0"/>
        <w:autoSpaceDN w:val="0"/>
        <w:adjustRightInd w:val="0"/>
        <w:jc w:val="left"/>
        <w:rPr>
          <w:rFonts w:hint="eastAsia" w:ascii="宋体" w:hAnsi="宋体" w:eastAsia="宋体" w:cs="宋体"/>
          <w:color w:val="000000" w:themeColor="text1"/>
          <w:kern w:val="0"/>
          <w:sz w:val="24"/>
          <w:szCs w:val="24"/>
          <w:highlight w:val="none"/>
          <w14:textFill>
            <w14:solidFill>
              <w14:schemeClr w14:val="tx1"/>
            </w14:solidFill>
          </w14:textFill>
        </w:rPr>
      </w:pPr>
      <w:bookmarkStart w:id="196" w:name="_Toc450662867"/>
    </w:p>
    <w:p w14:paraId="29D2534E">
      <w:pPr>
        <w:keepNext/>
        <w:keepLines/>
        <w:tabs>
          <w:tab w:val="left" w:pos="509"/>
        </w:tabs>
        <w:autoSpaceDE w:val="0"/>
        <w:autoSpaceDN w:val="0"/>
        <w:adjustRightInd w:val="0"/>
        <w:spacing w:line="360" w:lineRule="auto"/>
        <w:jc w:val="left"/>
        <w:outlineLvl w:val="1"/>
        <w:rPr>
          <w:rFonts w:hint="eastAsia" w:ascii="宋体" w:hAnsi="宋体" w:eastAsia="宋体" w:cs="宋体"/>
          <w:color w:val="000000" w:themeColor="text1"/>
          <w:kern w:val="0"/>
          <w:sz w:val="24"/>
          <w:szCs w:val="24"/>
          <w:highlight w:val="none"/>
          <w14:textFill>
            <w14:solidFill>
              <w14:schemeClr w14:val="tx1"/>
            </w14:solidFill>
          </w14:textFill>
        </w:rPr>
      </w:pPr>
      <w:bookmarkStart w:id="197" w:name="_Toc26829"/>
      <w:bookmarkStart w:id="198" w:name="_Toc142508332"/>
      <w:bookmarkStart w:id="199" w:name="_Toc140596891"/>
      <w:bookmarkStart w:id="200" w:name="_Toc486167682"/>
      <w:bookmarkStart w:id="201" w:name="_Toc26605"/>
      <w:bookmarkStart w:id="202" w:name="_Toc16145"/>
      <w:bookmarkStart w:id="203" w:name="_Toc22356_WPSOffice_Level2"/>
      <w:bookmarkStart w:id="204" w:name="_Toc17199"/>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196"/>
      <w:bookmarkEnd w:id="197"/>
      <w:bookmarkEnd w:id="198"/>
      <w:bookmarkEnd w:id="199"/>
      <w:bookmarkEnd w:id="200"/>
      <w:bookmarkEnd w:id="201"/>
      <w:bookmarkEnd w:id="202"/>
      <w:bookmarkEnd w:id="203"/>
      <w:bookmarkEnd w:id="204"/>
    </w:p>
    <w:p w14:paraId="730C46C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05" w:name="_Toc15510"/>
      <w:bookmarkStart w:id="206" w:name="_Toc29885"/>
      <w:bookmarkStart w:id="207" w:name="_Toc450662868"/>
      <w:bookmarkStart w:id="208" w:name="_Toc142508333"/>
      <w:bookmarkStart w:id="209" w:name="_Toc31551"/>
      <w:bookmarkStart w:id="210" w:name="_Toc12192_WPSOffice_Level3"/>
      <w:bookmarkStart w:id="211" w:name="_Toc486167683"/>
      <w:bookmarkStart w:id="212" w:name="_Toc29038"/>
      <w:r>
        <w:rPr>
          <w:rFonts w:hint="eastAsia" w:ascii="宋体" w:hAnsi="宋体" w:eastAsia="宋体" w:cs="宋体"/>
          <w:color w:val="000000" w:themeColor="text1"/>
          <w:szCs w:val="21"/>
          <w:highlight w:val="none"/>
          <w:lang w:val="zh-CN"/>
          <w14:textFill>
            <w14:solidFill>
              <w14:schemeClr w14:val="tx1"/>
            </w14:solidFill>
          </w14:textFill>
        </w:rPr>
        <w:t>18 投标文件的密封和标记</w:t>
      </w:r>
      <w:bookmarkEnd w:id="205"/>
      <w:bookmarkEnd w:id="206"/>
      <w:bookmarkEnd w:id="207"/>
      <w:bookmarkEnd w:id="208"/>
      <w:bookmarkEnd w:id="209"/>
      <w:bookmarkEnd w:id="210"/>
      <w:bookmarkEnd w:id="211"/>
      <w:bookmarkEnd w:id="212"/>
    </w:p>
    <w:p w14:paraId="2731607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投标人应将正本和副本投标文件（本处不含唱标信封、投标文件电子文件）密封在不透明的外层封装中。</w:t>
      </w:r>
    </w:p>
    <w:p w14:paraId="29F25A5A">
      <w:pPr>
        <w:autoSpaceDE w:val="0"/>
        <w:autoSpaceDN w:val="0"/>
        <w:adjustRightInd w:val="0"/>
        <w:spacing w:line="360" w:lineRule="auto"/>
        <w:ind w:left="357" w:leftChars="-100" w:hanging="567"/>
        <w:rPr>
          <w:rFonts w:hint="eastAsia"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single"/>
          <w:lang w:val="zh-CN"/>
          <w14:textFill>
            <w14:solidFill>
              <w14:schemeClr w14:val="tx1"/>
            </w14:solidFill>
          </w14:textFill>
        </w:rPr>
        <w:t>唱标信封应单独密封，与18.1款的投标文件一同提交</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01E485C6">
      <w:pPr>
        <w:autoSpaceDE w:val="0"/>
        <w:autoSpaceDN w:val="0"/>
        <w:adjustRightInd w:val="0"/>
        <w:spacing w:line="360" w:lineRule="auto"/>
        <w:ind w:left="357" w:leftChars="-100" w:right="15" w:rightChars="7"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14:paraId="2D89CF5A">
      <w:pPr>
        <w:autoSpaceDE w:val="0"/>
        <w:autoSpaceDN w:val="0"/>
        <w:adjustRightInd w:val="0"/>
        <w:spacing w:line="360" w:lineRule="auto"/>
        <w:ind w:left="319" w:leftChars="-118" w:hanging="567" w:hangingChars="27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19C39157">
      <w:pPr>
        <w:autoSpaceDE w:val="0"/>
        <w:autoSpaceDN w:val="0"/>
        <w:adjustRightInd w:val="0"/>
        <w:spacing w:line="360" w:lineRule="auto"/>
        <w:ind w:left="319" w:leftChars="-118" w:hanging="567" w:hangingChars="27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62C5599C">
      <w:pPr>
        <w:autoSpaceDE w:val="0"/>
        <w:autoSpaceDN w:val="0"/>
        <w:adjustRightInd w:val="0"/>
        <w:spacing w:line="360" w:lineRule="auto"/>
        <w:ind w:left="319" w:leftChars="-118" w:hanging="567" w:hangingChars="27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55D4DA1A">
      <w:pPr>
        <w:tabs>
          <w:tab w:val="left" w:pos="567"/>
        </w:tabs>
        <w:autoSpaceDE w:val="0"/>
        <w:autoSpaceDN w:val="0"/>
        <w:adjustRightInd w:val="0"/>
        <w:spacing w:line="360" w:lineRule="auto"/>
        <w:ind w:left="357" w:leftChars="-100" w:right="15" w:rightChars="7" w:hanging="567"/>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如果密封封装未按本款规定密封和标记，招标代理机构对投标文件的误投或提前拆封不负责任。对由此造成提前开封的投标文件，招标代理机构予以拒绝，并退回投标人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1E2DCE8B">
      <w:pPr>
        <w:autoSpaceDE w:val="0"/>
        <w:autoSpaceDN w:val="0"/>
        <w:adjustRightInd w:val="0"/>
        <w:spacing w:line="360" w:lineRule="auto"/>
        <w:ind w:left="355" w:leftChars="-101" w:right="15" w:rightChars="7" w:hanging="567" w:hangingChars="27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开标前，由投标人代表（第一位递交投标文件的投标人代表及主动自愿参与检查的投标人代表）和招标人代表</w:t>
      </w:r>
      <w:r>
        <w:rPr>
          <w:rFonts w:hint="eastAsia" w:ascii="宋体" w:hAnsi="宋体" w:eastAsia="宋体" w:cs="宋体"/>
          <w:color w:val="000000" w:themeColor="text1"/>
          <w:kern w:val="0"/>
          <w:szCs w:val="21"/>
          <w:highlight w:val="none"/>
          <w:lang w:val="zh-CN"/>
          <w14:textFill>
            <w14:solidFill>
              <w14:schemeClr w14:val="tx1"/>
            </w14:solidFill>
          </w14:textFill>
        </w:rPr>
        <w:t>将对所有的投标文件的密封性进行检查</w:t>
      </w:r>
      <w:r>
        <w:rPr>
          <w:rFonts w:hint="eastAsia" w:ascii="宋体" w:hAnsi="宋体" w:eastAsia="宋体" w:cs="宋体"/>
          <w:color w:val="000000" w:themeColor="text1"/>
          <w:szCs w:val="21"/>
          <w:highlight w:val="none"/>
          <w:lang w:val="zh-CN"/>
          <w14:textFill>
            <w14:solidFill>
              <w14:schemeClr w14:val="tx1"/>
            </w14:solidFill>
          </w14:textFill>
        </w:rPr>
        <w:t>，并签署进行确认。</w:t>
      </w:r>
    </w:p>
    <w:p w14:paraId="3F7C8CA7">
      <w:pPr>
        <w:tabs>
          <w:tab w:val="left" w:pos="567"/>
        </w:tabs>
        <w:autoSpaceDE w:val="0"/>
        <w:autoSpaceDN w:val="0"/>
        <w:adjustRightInd w:val="0"/>
        <w:spacing w:line="360" w:lineRule="auto"/>
        <w:ind w:right="15" w:rightChars="7" w:firstLine="525" w:firstLineChars="250"/>
        <w:rPr>
          <w:rFonts w:hint="eastAsia" w:ascii="宋体" w:hAnsi="宋体" w:eastAsia="宋体" w:cs="宋体"/>
          <w:color w:val="000000" w:themeColor="text1"/>
          <w:szCs w:val="21"/>
          <w:highlight w:val="none"/>
          <w:lang w:val="zh-CN"/>
          <w14:textFill>
            <w14:solidFill>
              <w14:schemeClr w14:val="tx1"/>
            </w14:solidFill>
          </w14:textFill>
        </w:rPr>
      </w:pPr>
    </w:p>
    <w:p w14:paraId="7C72F7B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13" w:name="_Toc450662869"/>
      <w:bookmarkStart w:id="214" w:name="_Toc4979"/>
      <w:bookmarkStart w:id="215" w:name="_Toc29665_WPSOffice_Level3"/>
      <w:bookmarkStart w:id="216" w:name="_Toc486167684"/>
      <w:bookmarkStart w:id="217" w:name="_Toc12582"/>
      <w:bookmarkStart w:id="218" w:name="_Toc28366"/>
      <w:bookmarkStart w:id="219" w:name="_Toc23369"/>
      <w:bookmarkStart w:id="220" w:name="_Toc142508334"/>
      <w:r>
        <w:rPr>
          <w:rFonts w:hint="eastAsia" w:ascii="宋体" w:hAnsi="宋体" w:eastAsia="宋体" w:cs="宋体"/>
          <w:color w:val="000000" w:themeColor="text1"/>
          <w:szCs w:val="21"/>
          <w:highlight w:val="none"/>
          <w:lang w:val="zh-CN"/>
          <w14:textFill>
            <w14:solidFill>
              <w14:schemeClr w14:val="tx1"/>
            </w14:solidFill>
          </w14:textFill>
        </w:rPr>
        <w:t>19 递交投标文件的截止日期</w:t>
      </w:r>
      <w:bookmarkEnd w:id="213"/>
      <w:bookmarkEnd w:id="214"/>
      <w:bookmarkEnd w:id="215"/>
      <w:bookmarkEnd w:id="216"/>
      <w:bookmarkEnd w:id="217"/>
      <w:bookmarkEnd w:id="218"/>
      <w:bookmarkEnd w:id="219"/>
      <w:bookmarkEnd w:id="220"/>
    </w:p>
    <w:p w14:paraId="5DC50180">
      <w:pPr>
        <w:tabs>
          <w:tab w:val="left" w:pos="567"/>
        </w:tabs>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招标代理机构收到投标文件的时间不得迟于第一篇“招标公告”中规定的截止时间。</w:t>
      </w:r>
    </w:p>
    <w:p w14:paraId="483654FA">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招标代理机构可按照第7条的规定修改招标文件并酌情延长递交投标文件的截止时间，因此，已规定的招标代理机构和投标人的一切权利和义务将按延期后的递交投标文件截止时间履行。</w:t>
      </w:r>
    </w:p>
    <w:p w14:paraId="470D2630">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p>
    <w:p w14:paraId="243CC82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kern w:val="0"/>
          <w:sz w:val="24"/>
          <w:szCs w:val="24"/>
          <w:highlight w:val="none"/>
          <w14:textFill>
            <w14:solidFill>
              <w14:schemeClr w14:val="tx1"/>
            </w14:solidFill>
          </w14:textFill>
        </w:rPr>
      </w:pPr>
      <w:bookmarkStart w:id="221" w:name="_Toc30287"/>
      <w:bookmarkStart w:id="222" w:name="_Toc21327"/>
      <w:bookmarkStart w:id="223" w:name="_Toc3999"/>
      <w:bookmarkStart w:id="224" w:name="_Toc20835"/>
      <w:bookmarkStart w:id="225" w:name="_Toc450662870"/>
      <w:bookmarkStart w:id="226" w:name="_Toc486167685"/>
      <w:bookmarkStart w:id="227" w:name="_Toc22431_WPSOffice_Level3"/>
      <w:bookmarkStart w:id="228" w:name="_Toc142508335"/>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221"/>
      <w:bookmarkEnd w:id="222"/>
      <w:bookmarkEnd w:id="223"/>
      <w:bookmarkEnd w:id="224"/>
      <w:bookmarkEnd w:id="225"/>
      <w:bookmarkEnd w:id="226"/>
      <w:bookmarkEnd w:id="227"/>
      <w:bookmarkEnd w:id="228"/>
    </w:p>
    <w:p w14:paraId="597759C2">
      <w:pPr>
        <w:autoSpaceDE w:val="0"/>
        <w:autoSpaceDN w:val="0"/>
        <w:adjustRightInd w:val="0"/>
        <w:spacing w:line="360" w:lineRule="auto"/>
        <w:ind w:firstLine="315" w:firstLineChars="150"/>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4D8E1D79">
      <w:pPr>
        <w:autoSpaceDE w:val="0"/>
        <w:autoSpaceDN w:val="0"/>
        <w:adjustRightInd w:val="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05C77F5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29" w:name="_Toc24876"/>
      <w:bookmarkStart w:id="230" w:name="_Toc3814"/>
      <w:bookmarkStart w:id="231" w:name="_Toc4883_WPSOffice_Level3"/>
      <w:bookmarkStart w:id="232" w:name="_Toc142508336"/>
      <w:bookmarkStart w:id="233" w:name="_Toc1584"/>
      <w:bookmarkStart w:id="234" w:name="_Toc27851"/>
      <w:bookmarkStart w:id="235" w:name="_Toc450662871"/>
      <w:bookmarkStart w:id="236" w:name="_Toc486167686"/>
      <w:r>
        <w:rPr>
          <w:rFonts w:hint="eastAsia" w:ascii="宋体" w:hAnsi="宋体" w:eastAsia="宋体" w:cs="宋体"/>
          <w:color w:val="000000" w:themeColor="text1"/>
          <w:szCs w:val="21"/>
          <w:highlight w:val="none"/>
          <w:lang w:val="zh-CN"/>
          <w14:textFill>
            <w14:solidFill>
              <w14:schemeClr w14:val="tx1"/>
            </w14:solidFill>
          </w14:textFill>
        </w:rPr>
        <w:t>21 投标文件的修改和撤回</w:t>
      </w:r>
      <w:bookmarkEnd w:id="229"/>
      <w:bookmarkEnd w:id="230"/>
      <w:bookmarkEnd w:id="231"/>
      <w:bookmarkEnd w:id="232"/>
      <w:bookmarkEnd w:id="233"/>
      <w:bookmarkEnd w:id="234"/>
      <w:bookmarkEnd w:id="235"/>
      <w:bookmarkEnd w:id="236"/>
    </w:p>
    <w:p w14:paraId="2C134E77">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4828C533">
      <w:pPr>
        <w:autoSpaceDE w:val="0"/>
        <w:autoSpaceDN w:val="0"/>
        <w:adjustRightInd w:val="0"/>
        <w:spacing w:line="360" w:lineRule="auto"/>
        <w:ind w:left="357" w:leftChars="-100" w:right="15" w:rightChars="7"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投标人对投标文件的修改或撤回的通知应按第17条和第18条规定进行准备、密封、标注和递送。</w:t>
      </w:r>
    </w:p>
    <w:p w14:paraId="6A14635F">
      <w:pPr>
        <w:autoSpaceDE w:val="0"/>
        <w:autoSpaceDN w:val="0"/>
        <w:adjustRightInd w:val="0"/>
        <w:spacing w:line="360" w:lineRule="auto"/>
        <w:ind w:left="357" w:leftChars="-100" w:right="15" w:rightChars="7"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14:paraId="367C2BE5">
      <w:pPr>
        <w:autoSpaceDE w:val="0"/>
        <w:autoSpaceDN w:val="0"/>
        <w:adjustRightInd w:val="0"/>
        <w:spacing w:line="360" w:lineRule="auto"/>
        <w:ind w:left="357" w:leftChars="-100" w:right="15" w:rightChars="7"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0BB93CA5">
      <w:pPr>
        <w:autoSpaceDE w:val="0"/>
        <w:autoSpaceDN w:val="0"/>
        <w:adjustRightInd w:val="0"/>
        <w:spacing w:line="360" w:lineRule="auto"/>
        <w:ind w:left="357" w:leftChars="-100" w:right="15" w:rightChars="7" w:hanging="567"/>
        <w:rPr>
          <w:rFonts w:hint="eastAsia" w:ascii="宋体" w:hAnsi="宋体" w:eastAsia="宋体" w:cs="宋体"/>
          <w:color w:val="000000" w:themeColor="text1"/>
          <w:szCs w:val="21"/>
          <w:highlight w:val="none"/>
          <w:lang w:val="zh-CN"/>
          <w14:textFill>
            <w14:solidFill>
              <w14:schemeClr w14:val="tx1"/>
            </w14:solidFill>
          </w14:textFill>
        </w:rPr>
      </w:pPr>
    </w:p>
    <w:p w14:paraId="18447259">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000000" w:themeColor="text1"/>
          <w:kern w:val="44"/>
          <w:szCs w:val="21"/>
          <w:highlight w:val="none"/>
          <w:lang w:val="zh-CN"/>
          <w14:textFill>
            <w14:solidFill>
              <w14:schemeClr w14:val="tx1"/>
            </w14:solidFill>
          </w14:textFill>
        </w:rPr>
      </w:pPr>
      <w:bookmarkStart w:id="237" w:name="_Toc142508337"/>
      <w:bookmarkStart w:id="238" w:name="_Toc28824"/>
      <w:bookmarkStart w:id="239" w:name="_Toc22815"/>
      <w:bookmarkStart w:id="240" w:name="_Toc140596896"/>
      <w:bookmarkStart w:id="241" w:name="_Toc30428"/>
      <w:bookmarkStart w:id="242" w:name="_Toc486167687"/>
      <w:bookmarkStart w:id="243" w:name="_Toc450662872"/>
      <w:bookmarkStart w:id="244" w:name="_Toc20923"/>
      <w:bookmarkStart w:id="245" w:name="_Toc1049_WPSOffice_Level2"/>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37"/>
      <w:bookmarkEnd w:id="238"/>
      <w:bookmarkEnd w:id="239"/>
      <w:bookmarkEnd w:id="240"/>
      <w:bookmarkEnd w:id="241"/>
      <w:bookmarkEnd w:id="242"/>
      <w:bookmarkEnd w:id="243"/>
      <w:bookmarkEnd w:id="244"/>
      <w:bookmarkEnd w:id="245"/>
    </w:p>
    <w:p w14:paraId="53961AAF">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46" w:name="_Toc450662873"/>
      <w:bookmarkStart w:id="247" w:name="_Toc486167688"/>
      <w:bookmarkStart w:id="248" w:name="_Toc14172"/>
      <w:bookmarkStart w:id="249" w:name="_Toc11256"/>
      <w:bookmarkStart w:id="250" w:name="_Toc8728"/>
      <w:bookmarkStart w:id="251" w:name="_Toc32206"/>
      <w:bookmarkStart w:id="252" w:name="_Toc142508338"/>
      <w:bookmarkStart w:id="253" w:name="_Toc144_WPSOffice_Level3"/>
      <w:r>
        <w:rPr>
          <w:rFonts w:hint="eastAsia" w:ascii="宋体" w:hAnsi="宋体" w:eastAsia="宋体" w:cs="宋体"/>
          <w:color w:val="000000" w:themeColor="text1"/>
          <w:szCs w:val="21"/>
          <w:highlight w:val="none"/>
          <w:lang w:val="zh-CN"/>
          <w14:textFill>
            <w14:solidFill>
              <w14:schemeClr w14:val="tx1"/>
            </w14:solidFill>
          </w14:textFill>
        </w:rPr>
        <w:t>22 开标</w:t>
      </w:r>
      <w:bookmarkEnd w:id="246"/>
      <w:bookmarkEnd w:id="247"/>
      <w:bookmarkEnd w:id="248"/>
      <w:bookmarkEnd w:id="249"/>
      <w:bookmarkEnd w:id="250"/>
      <w:bookmarkEnd w:id="251"/>
      <w:bookmarkEnd w:id="252"/>
      <w:bookmarkEnd w:id="253"/>
    </w:p>
    <w:p w14:paraId="519BF39C">
      <w:pPr>
        <w:keepNext w:val="0"/>
        <w:keepLines w:val="0"/>
        <w:pageBreakBefore w:val="0"/>
        <w:widowControl/>
        <w:tabs>
          <w:tab w:val="left" w:pos="567"/>
        </w:tabs>
        <w:kinsoku/>
        <w:wordWrap/>
        <w:overflowPunct/>
        <w:topLinePunct w:val="0"/>
        <w:autoSpaceDE w:val="0"/>
        <w:autoSpaceDN w:val="0"/>
        <w:bidi w:val="0"/>
        <w:adjustRightInd w:val="0"/>
        <w:snapToGrid/>
        <w:spacing w:line="360" w:lineRule="auto"/>
        <w:ind w:left="357" w:leftChars="-100" w:right="15" w:rightChars="7" w:hanging="567"/>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14:paraId="164E45F2">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1589FD5D">
      <w:pPr>
        <w:keepNext w:val="0"/>
        <w:keepLines w:val="0"/>
        <w:pageBreakBefore w:val="0"/>
        <w:widowControl/>
        <w:tabs>
          <w:tab w:val="left" w:pos="567"/>
        </w:tabs>
        <w:kinsoku/>
        <w:wordWrap/>
        <w:overflowPunct/>
        <w:topLinePunct w:val="0"/>
        <w:autoSpaceDE w:val="0"/>
        <w:autoSpaceDN w:val="0"/>
        <w:bidi w:val="0"/>
        <w:adjustRightInd w:val="0"/>
        <w:snapToGrid/>
        <w:spacing w:line="360" w:lineRule="auto"/>
        <w:ind w:left="357" w:leftChars="-100" w:right="15" w:rightChars="7" w:hanging="567"/>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7CDE60AD">
      <w:pPr>
        <w:keepNext w:val="0"/>
        <w:keepLines w:val="0"/>
        <w:pageBreakBefore w:val="0"/>
        <w:widowControl/>
        <w:tabs>
          <w:tab w:val="left" w:pos="567"/>
        </w:tabs>
        <w:kinsoku/>
        <w:wordWrap/>
        <w:overflowPunct/>
        <w:topLinePunct w:val="0"/>
        <w:autoSpaceDE w:val="0"/>
        <w:autoSpaceDN w:val="0"/>
        <w:bidi w:val="0"/>
        <w:adjustRightInd w:val="0"/>
        <w:snapToGrid/>
        <w:spacing w:line="360" w:lineRule="auto"/>
        <w:ind w:left="357" w:leftChars="-100" w:right="15" w:rightChars="7" w:hanging="567"/>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投标文件的投标报价数字表示的金额与以文字表示的金额不一致时，以文字表示的金额为准。对不同文字文本投标文件的解释发生异议的，以中文文本为准。</w:t>
      </w:r>
    </w:p>
    <w:p w14:paraId="3F14D4F7">
      <w:pPr>
        <w:keepNext w:val="0"/>
        <w:keepLines w:val="0"/>
        <w:pageBreakBefore w:val="0"/>
        <w:widowControl/>
        <w:tabs>
          <w:tab w:val="left" w:pos="567"/>
        </w:tabs>
        <w:kinsoku/>
        <w:wordWrap/>
        <w:overflowPunct/>
        <w:topLinePunct w:val="0"/>
        <w:autoSpaceDE w:val="0"/>
        <w:autoSpaceDN w:val="0"/>
        <w:bidi w:val="0"/>
        <w:adjustRightInd w:val="0"/>
        <w:snapToGrid/>
        <w:spacing w:line="360" w:lineRule="auto"/>
        <w:ind w:left="357" w:leftChars="-100" w:right="15" w:rightChars="7" w:hanging="567"/>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59951A35">
      <w:pPr>
        <w:keepNext w:val="0"/>
        <w:keepLines w:val="0"/>
        <w:pageBreakBefore w:val="0"/>
        <w:widowControl/>
        <w:tabs>
          <w:tab w:val="left" w:pos="567"/>
        </w:tabs>
        <w:kinsoku/>
        <w:wordWrap/>
        <w:overflowPunct/>
        <w:topLinePunct w:val="0"/>
        <w:autoSpaceDE w:val="0"/>
        <w:autoSpaceDN w:val="0"/>
        <w:bidi w:val="0"/>
        <w:adjustRightInd w:val="0"/>
        <w:snapToGrid/>
        <w:spacing w:line="360" w:lineRule="auto"/>
        <w:ind w:left="357" w:leftChars="-100" w:right="15" w:rightChars="7" w:hanging="567"/>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516A1555">
      <w:pPr>
        <w:autoSpaceDE w:val="0"/>
        <w:autoSpaceDN w:val="0"/>
        <w:adjustRightInd w:val="0"/>
        <w:spacing w:line="360" w:lineRule="auto"/>
        <w:ind w:left="357" w:leftChars="-100" w:right="15" w:rightChars="7" w:hanging="567"/>
        <w:rPr>
          <w:rFonts w:hint="eastAsia" w:ascii="宋体" w:hAnsi="宋体" w:eastAsia="宋体" w:cs="宋体"/>
          <w:color w:val="000000" w:themeColor="text1"/>
          <w:kern w:val="0"/>
          <w:szCs w:val="21"/>
          <w:highlight w:val="none"/>
          <w14:textFill>
            <w14:solidFill>
              <w14:schemeClr w14:val="tx1"/>
            </w14:solidFill>
          </w14:textFill>
        </w:rPr>
      </w:pPr>
    </w:p>
    <w:p w14:paraId="6A86AE3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54" w:name="_Toc450662874"/>
      <w:bookmarkStart w:id="255" w:name="_Toc12165_WPSOffice_Level3"/>
      <w:bookmarkStart w:id="256" w:name="_Toc26297"/>
      <w:bookmarkStart w:id="257" w:name="_Toc486167689"/>
      <w:bookmarkStart w:id="258" w:name="_Toc142508339"/>
      <w:bookmarkStart w:id="259" w:name="_Toc32534"/>
      <w:bookmarkStart w:id="260" w:name="_Toc23059"/>
      <w:bookmarkStart w:id="261" w:name="_Toc23491"/>
      <w:r>
        <w:rPr>
          <w:rFonts w:hint="eastAsia" w:ascii="宋体" w:hAnsi="宋体" w:eastAsia="宋体" w:cs="宋体"/>
          <w:color w:val="000000" w:themeColor="text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54"/>
      <w:bookmarkEnd w:id="255"/>
      <w:bookmarkEnd w:id="256"/>
      <w:bookmarkEnd w:id="257"/>
      <w:bookmarkEnd w:id="258"/>
      <w:bookmarkEnd w:id="259"/>
      <w:bookmarkEnd w:id="260"/>
      <w:bookmarkEnd w:id="261"/>
    </w:p>
    <w:p w14:paraId="7C32649B">
      <w:pPr>
        <w:keepNext w:val="0"/>
        <w:keepLines w:val="0"/>
        <w:pageBreakBefore w:val="0"/>
        <w:widowControl/>
        <w:tabs>
          <w:tab w:val="left" w:pos="567"/>
        </w:tabs>
        <w:kinsoku/>
        <w:wordWrap/>
        <w:overflowPunct/>
        <w:topLinePunct w:val="0"/>
        <w:autoSpaceDE w:val="0"/>
        <w:autoSpaceDN w:val="0"/>
        <w:bidi w:val="0"/>
        <w:adjustRightInd w:val="0"/>
        <w:snapToGrid/>
        <w:spacing w:line="360" w:lineRule="auto"/>
        <w:ind w:left="357" w:leftChars="-100" w:right="15" w:rightChars="7" w:hanging="567"/>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递交投标文件后，直至向中标人授予合同期间，凡与审查、澄清、评估和比较投标报价的有关资料以及意见等，均不得向投标人及与评审无关的其他人透露，否则追究有关当事人的法律责任。</w:t>
      </w:r>
    </w:p>
    <w:p w14:paraId="257C3F36">
      <w:pPr>
        <w:keepNext w:val="0"/>
        <w:keepLines w:val="0"/>
        <w:pageBreakBefore w:val="0"/>
        <w:widowControl/>
        <w:tabs>
          <w:tab w:val="left" w:pos="567"/>
        </w:tabs>
        <w:kinsoku/>
        <w:wordWrap/>
        <w:overflowPunct/>
        <w:topLinePunct w:val="0"/>
        <w:autoSpaceDE w:val="0"/>
        <w:autoSpaceDN w:val="0"/>
        <w:bidi w:val="0"/>
        <w:adjustRightInd w:val="0"/>
        <w:snapToGrid/>
        <w:spacing w:line="360" w:lineRule="auto"/>
        <w:ind w:left="357" w:leftChars="-100" w:right="15" w:rightChars="7" w:hanging="567"/>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3FB6C11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000000" w:themeColor="text1"/>
          <w:szCs w:val="21"/>
          <w:highlight w:val="none"/>
          <w:lang w:val="zh-CN"/>
          <w14:textFill>
            <w14:solidFill>
              <w14:schemeClr w14:val="tx1"/>
            </w14:solidFill>
          </w14:textFill>
        </w:rPr>
      </w:pPr>
    </w:p>
    <w:p w14:paraId="6D30651F">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62" w:name="_Toc19676"/>
      <w:bookmarkStart w:id="263" w:name="_Toc15565_WPSOffice_Level3"/>
      <w:bookmarkStart w:id="264" w:name="_Toc18693"/>
      <w:bookmarkStart w:id="265" w:name="_Toc16920"/>
      <w:bookmarkStart w:id="266" w:name="_Toc142508340"/>
      <w:bookmarkStart w:id="267" w:name="_Toc486167690"/>
      <w:bookmarkStart w:id="268" w:name="_Toc800"/>
      <w:bookmarkStart w:id="269" w:name="_Toc450662875"/>
      <w:r>
        <w:rPr>
          <w:rFonts w:hint="eastAsia" w:ascii="宋体" w:hAnsi="宋体" w:eastAsia="宋体" w:cs="宋体"/>
          <w:color w:val="000000" w:themeColor="text1"/>
          <w:szCs w:val="21"/>
          <w:highlight w:val="none"/>
          <w:lang w:val="zh-CN"/>
          <w14:textFill>
            <w14:solidFill>
              <w14:schemeClr w14:val="tx1"/>
            </w14:solidFill>
          </w14:textFill>
        </w:rPr>
        <w:t>24 评标委员会</w:t>
      </w:r>
      <w:bookmarkEnd w:id="262"/>
      <w:bookmarkEnd w:id="263"/>
      <w:bookmarkEnd w:id="264"/>
      <w:bookmarkEnd w:id="265"/>
      <w:bookmarkEnd w:id="266"/>
      <w:bookmarkEnd w:id="267"/>
      <w:bookmarkEnd w:id="268"/>
      <w:bookmarkEnd w:id="269"/>
    </w:p>
    <w:p w14:paraId="69562D53">
      <w:pPr>
        <w:tabs>
          <w:tab w:val="left" w:pos="567"/>
        </w:tabs>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00D01A05">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4B5FC59A">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p>
    <w:p w14:paraId="6B942D6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000000" w:themeColor="text1"/>
          <w:szCs w:val="21"/>
          <w:highlight w:val="none"/>
          <w:lang w:val="zh-CN"/>
          <w14:textFill>
            <w14:solidFill>
              <w14:schemeClr w14:val="tx1"/>
            </w14:solidFill>
          </w14:textFill>
        </w:rPr>
      </w:pPr>
      <w:bookmarkStart w:id="270" w:name="_Toc18668"/>
      <w:bookmarkStart w:id="271" w:name="_Toc142508341"/>
      <w:bookmarkStart w:id="272" w:name="_Toc450662876"/>
      <w:bookmarkStart w:id="273" w:name="_Toc12715"/>
      <w:bookmarkStart w:id="274" w:name="_Toc1651"/>
      <w:bookmarkStart w:id="275" w:name="_Toc486167691"/>
      <w:bookmarkStart w:id="276" w:name="_Toc28910_WPSOffice_Level3"/>
      <w:bookmarkStart w:id="277" w:name="_Toc8908"/>
      <w:r>
        <w:rPr>
          <w:rFonts w:hint="eastAsia" w:ascii="宋体" w:hAnsi="宋体" w:eastAsia="宋体" w:cs="宋体"/>
          <w:b/>
          <w:color w:val="000000" w:themeColor="text1"/>
          <w:szCs w:val="21"/>
          <w:highlight w:val="none"/>
          <w:lang w:val="zh-CN"/>
          <w14:textFill>
            <w14:solidFill>
              <w14:schemeClr w14:val="tx1"/>
            </w14:solidFill>
          </w14:textFill>
        </w:rPr>
        <w:t>25 投标文件的初审</w:t>
      </w:r>
      <w:bookmarkEnd w:id="270"/>
      <w:bookmarkEnd w:id="271"/>
      <w:bookmarkEnd w:id="272"/>
      <w:bookmarkEnd w:id="273"/>
      <w:bookmarkEnd w:id="274"/>
      <w:bookmarkEnd w:id="275"/>
      <w:bookmarkEnd w:id="276"/>
      <w:bookmarkEnd w:id="277"/>
    </w:p>
    <w:p w14:paraId="15D0F9B3">
      <w:pPr>
        <w:keepNext w:val="0"/>
        <w:keepLines w:val="0"/>
        <w:pageBreakBefore w:val="0"/>
        <w:widowControl/>
        <w:kinsoku/>
        <w:wordWrap/>
        <w:overflowPunct/>
        <w:topLinePunct w:val="0"/>
        <w:autoSpaceDE w:val="0"/>
        <w:autoSpaceDN w:val="0"/>
        <w:bidi w:val="0"/>
        <w:adjustRightInd w:val="0"/>
        <w:snapToGrid/>
        <w:spacing w:line="360" w:lineRule="auto"/>
        <w:ind w:left="357" w:leftChars="-100" w:hanging="567"/>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资格性检查：依据法律法规和招标文件的规定，对投标文件中的资格证明、投标保证金等进行审查，以确定投标人是否具备投标资格</w:t>
      </w:r>
      <w:r>
        <w:rPr>
          <w:rFonts w:hint="eastAsia" w:ascii="宋体" w:hAnsi="宋体" w:eastAsia="宋体" w:cs="宋体"/>
          <w:b/>
          <w:color w:val="000000" w:themeColor="text1"/>
          <w:szCs w:val="21"/>
          <w:highlight w:val="none"/>
          <w:lang w:val="zh-CN"/>
          <w14:textFill>
            <w14:solidFill>
              <w14:schemeClr w14:val="tx1"/>
            </w14:solidFill>
          </w14:textFill>
        </w:rPr>
        <w:t>。</w:t>
      </w:r>
    </w:p>
    <w:p w14:paraId="4FF07D33">
      <w:pPr>
        <w:keepNext w:val="0"/>
        <w:keepLines w:val="0"/>
        <w:pageBreakBefore w:val="0"/>
        <w:widowControl/>
        <w:kinsoku/>
        <w:wordWrap/>
        <w:overflowPunct/>
        <w:topLinePunct w:val="0"/>
        <w:autoSpaceDE w:val="0"/>
        <w:autoSpaceDN w:val="0"/>
        <w:bidi w:val="0"/>
        <w:adjustRightInd w:val="0"/>
        <w:snapToGrid/>
        <w:spacing w:line="360" w:lineRule="auto"/>
        <w:ind w:left="330" w:leftChars="-100" w:hanging="540"/>
        <w:textAlignment w:val="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符合性检查：依据招标文件的规定，从投标文件的有效性、完整性和对招标文件的响应程度进行审查，以确定是否对招标文件的实质性要求作出响应</w:t>
      </w:r>
      <w:r>
        <w:rPr>
          <w:rFonts w:hint="eastAsia" w:ascii="宋体" w:hAnsi="宋体" w:eastAsia="宋体" w:cs="宋体"/>
          <w:b/>
          <w:color w:val="000000" w:themeColor="text1"/>
          <w:szCs w:val="21"/>
          <w:highlight w:val="none"/>
          <w:lang w:val="zh-CN"/>
          <w14:textFill>
            <w14:solidFill>
              <w14:schemeClr w14:val="tx1"/>
            </w14:solidFill>
          </w14:textFill>
        </w:rPr>
        <w:t>。</w:t>
      </w:r>
    </w:p>
    <w:p w14:paraId="66647804">
      <w:pPr>
        <w:autoSpaceDE w:val="0"/>
        <w:autoSpaceDN w:val="0"/>
        <w:adjustRightInd w:val="0"/>
        <w:spacing w:line="360" w:lineRule="auto"/>
        <w:ind w:left="330" w:leftChars="-100" w:hanging="540"/>
        <w:rPr>
          <w:rFonts w:hint="eastAsia" w:ascii="宋体" w:hAnsi="宋体" w:eastAsia="宋体" w:cs="宋体"/>
          <w:b/>
          <w:color w:val="000000" w:themeColor="text1"/>
          <w:szCs w:val="21"/>
          <w:highlight w:val="none"/>
          <w:lang w:val="zh-CN"/>
          <w14:textFill>
            <w14:solidFill>
              <w14:schemeClr w14:val="tx1"/>
            </w14:solidFill>
          </w14:textFill>
        </w:rPr>
      </w:pPr>
    </w:p>
    <w:p w14:paraId="16540792">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78" w:name="_Toc450662877"/>
      <w:bookmarkStart w:id="279" w:name="_Toc4837"/>
      <w:bookmarkStart w:id="280" w:name="_Toc486167692"/>
      <w:bookmarkStart w:id="281" w:name="_Toc19456"/>
      <w:bookmarkStart w:id="282" w:name="_Toc142508342"/>
      <w:bookmarkStart w:id="283" w:name="_Toc31643"/>
      <w:bookmarkStart w:id="284" w:name="_Toc338_WPSOffice_Level3"/>
      <w:bookmarkStart w:id="285" w:name="_Toc30225"/>
      <w:r>
        <w:rPr>
          <w:rFonts w:hint="eastAsia" w:ascii="宋体" w:hAnsi="宋体" w:eastAsia="宋体" w:cs="宋体"/>
          <w:color w:val="000000" w:themeColor="text1"/>
          <w:szCs w:val="21"/>
          <w:highlight w:val="none"/>
          <w:lang w:val="zh-CN"/>
          <w14:textFill>
            <w14:solidFill>
              <w14:schemeClr w14:val="tx1"/>
            </w14:solidFill>
          </w14:textFill>
        </w:rPr>
        <w:t>26 投标文件的澄清</w:t>
      </w:r>
      <w:bookmarkEnd w:id="278"/>
      <w:bookmarkEnd w:id="279"/>
      <w:bookmarkEnd w:id="280"/>
      <w:bookmarkEnd w:id="281"/>
      <w:bookmarkEnd w:id="282"/>
      <w:bookmarkEnd w:id="283"/>
      <w:bookmarkEnd w:id="284"/>
      <w:bookmarkEnd w:id="285"/>
    </w:p>
    <w:p w14:paraId="47955E41">
      <w:pPr>
        <w:autoSpaceDE w:val="0"/>
        <w:autoSpaceDN w:val="0"/>
        <w:adjustRightInd w:val="0"/>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590FCE88">
      <w:pPr>
        <w:autoSpaceDE w:val="0"/>
        <w:autoSpaceDN w:val="0"/>
        <w:adjustRightInd w:val="0"/>
        <w:spacing w:line="360" w:lineRule="auto"/>
        <w:ind w:left="330" w:leftChars="-100" w:right="15" w:rightChars="7" w:hanging="540"/>
        <w:rPr>
          <w:rFonts w:hint="eastAsia" w:ascii="宋体" w:hAnsi="宋体" w:eastAsia="宋体" w:cs="宋体"/>
          <w:color w:val="000000" w:themeColor="text1"/>
          <w:szCs w:val="21"/>
          <w:highlight w:val="none"/>
          <w:lang w:val="zh-CN"/>
          <w14:textFill>
            <w14:solidFill>
              <w14:schemeClr w14:val="tx1"/>
            </w14:solidFill>
          </w14:textFill>
        </w:rPr>
      </w:pPr>
      <w:bookmarkStart w:id="286" w:name="_Toc450662879"/>
      <w:r>
        <w:rPr>
          <w:rFonts w:hint="eastAsia" w:ascii="宋体" w:hAnsi="宋体" w:eastAsia="宋体" w:cs="宋体"/>
          <w:color w:val="000000" w:themeColor="text1"/>
          <w:szCs w:val="21"/>
          <w:highlight w:val="none"/>
          <w:lang w:val="zh-CN"/>
          <w14:textFill>
            <w14:solidFill>
              <w14:schemeClr w14:val="tx1"/>
            </w14:solidFill>
          </w14:textFill>
        </w:rPr>
        <w:t>26.2</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74694842">
      <w:pPr>
        <w:autoSpaceDE w:val="0"/>
        <w:autoSpaceDN w:val="0"/>
        <w:adjustRightInd w:val="0"/>
        <w:spacing w:line="360" w:lineRule="auto"/>
        <w:ind w:left="330" w:leftChars="-100" w:right="15" w:rightChars="7" w:hanging="540"/>
        <w:rPr>
          <w:rFonts w:hint="eastAsia" w:ascii="宋体" w:hAnsi="宋体" w:eastAsia="宋体" w:cs="宋体"/>
          <w:color w:val="000000" w:themeColor="text1"/>
          <w:szCs w:val="21"/>
          <w:highlight w:val="none"/>
          <w:lang w:val="zh-CN"/>
          <w14:textFill>
            <w14:solidFill>
              <w14:schemeClr w14:val="tx1"/>
            </w14:solidFill>
          </w14:textFill>
        </w:rPr>
      </w:pPr>
    </w:p>
    <w:bookmarkEnd w:id="286"/>
    <w:p w14:paraId="7B36AA04">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87" w:name="_Toc142508343"/>
      <w:bookmarkStart w:id="288" w:name="_Toc17545"/>
      <w:bookmarkStart w:id="289" w:name="_Toc18368_WPSOffice_Level3"/>
      <w:bookmarkStart w:id="290" w:name="_Toc6970"/>
      <w:bookmarkStart w:id="291" w:name="_Toc10967"/>
      <w:bookmarkStart w:id="292" w:name="_Toc22065"/>
      <w:bookmarkStart w:id="293" w:name="_Toc521918096"/>
      <w:bookmarkStart w:id="294" w:name="_Toc522047355"/>
      <w:r>
        <w:rPr>
          <w:rFonts w:hint="eastAsia" w:ascii="宋体" w:hAnsi="宋体" w:eastAsia="宋体" w:cs="宋体"/>
          <w:color w:val="000000" w:themeColor="text1"/>
          <w:szCs w:val="21"/>
          <w:highlight w:val="none"/>
          <w:lang w:val="zh-CN"/>
          <w14:textFill>
            <w14:solidFill>
              <w14:schemeClr w14:val="tx1"/>
            </w14:solidFill>
          </w14:textFill>
        </w:rPr>
        <w:t>27 对投标文件的比较和评价</w:t>
      </w:r>
      <w:bookmarkEnd w:id="287"/>
      <w:bookmarkEnd w:id="288"/>
      <w:bookmarkEnd w:id="289"/>
      <w:bookmarkEnd w:id="290"/>
      <w:bookmarkEnd w:id="291"/>
      <w:bookmarkEnd w:id="292"/>
      <w:bookmarkEnd w:id="293"/>
      <w:bookmarkEnd w:id="294"/>
    </w:p>
    <w:p w14:paraId="3936A7CC">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14:paraId="7F4A9A24">
      <w:pPr>
        <w:autoSpaceDE w:val="0"/>
        <w:autoSpaceDN w:val="0"/>
        <w:adjustRightInd w:val="0"/>
        <w:spacing w:line="360" w:lineRule="auto"/>
        <w:ind w:left="330" w:leftChars="-100" w:right="15" w:rightChars="7"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472113CF">
      <w:pPr>
        <w:autoSpaceDE w:val="0"/>
        <w:autoSpaceDN w:val="0"/>
        <w:adjustRightInd w:val="0"/>
        <w:spacing w:line="360" w:lineRule="auto"/>
        <w:ind w:left="330" w:leftChars="-100" w:right="15" w:rightChars="7"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35D2CF16">
      <w:pPr>
        <w:autoSpaceDE w:val="0"/>
        <w:autoSpaceDN w:val="0"/>
        <w:adjustRightInd w:val="0"/>
        <w:spacing w:line="360" w:lineRule="auto"/>
        <w:ind w:left="330" w:leftChars="-100" w:right="15" w:rightChars="7"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14:paraId="38DF24B7">
      <w:pPr>
        <w:autoSpaceDE w:val="0"/>
        <w:autoSpaceDN w:val="0"/>
        <w:adjustRightInd w:val="0"/>
        <w:spacing w:line="360" w:lineRule="auto"/>
        <w:ind w:left="330" w:leftChars="-100" w:right="15" w:rightChars="7"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757C7A70">
      <w:pPr>
        <w:autoSpaceDE w:val="0"/>
        <w:autoSpaceDN w:val="0"/>
        <w:adjustRightInd w:val="0"/>
        <w:spacing w:line="360" w:lineRule="auto"/>
        <w:ind w:left="330" w:leftChars="-100" w:right="15" w:rightChars="7"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14:paraId="03C94991">
      <w:pPr>
        <w:tabs>
          <w:tab w:val="left" w:pos="567"/>
        </w:tabs>
        <w:autoSpaceDE w:val="0"/>
        <w:autoSpaceDN w:val="0"/>
        <w:adjustRightInd w:val="0"/>
        <w:spacing w:line="360" w:lineRule="auto"/>
        <w:ind w:left="357" w:leftChars="-100" w:hanging="567"/>
        <w:jc w:val="left"/>
        <w:rPr>
          <w:rFonts w:hint="eastAsia" w:ascii="宋体" w:hAnsi="宋体" w:eastAsia="宋体" w:cs="宋体"/>
          <w:color w:val="000000" w:themeColor="text1"/>
          <w:szCs w:val="21"/>
          <w:highlight w:val="none"/>
          <w:lang w:val="zh-CN"/>
          <w14:textFill>
            <w14:solidFill>
              <w14:schemeClr w14:val="tx1"/>
            </w14:solidFill>
          </w14:textFill>
        </w:rPr>
      </w:pPr>
      <w:bookmarkStart w:id="295" w:name="_Toc521918097"/>
      <w:bookmarkStart w:id="296" w:name="_Toc522047356"/>
    </w:p>
    <w:p w14:paraId="5AF54C3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297" w:name="_Toc14804"/>
      <w:bookmarkStart w:id="298" w:name="_Toc1532"/>
      <w:bookmarkStart w:id="299" w:name="_Toc16829"/>
      <w:bookmarkStart w:id="300" w:name="_Toc21460_WPSOffice_Level3"/>
      <w:bookmarkStart w:id="301" w:name="_Toc142508344"/>
      <w:bookmarkStart w:id="302" w:name="_Toc27026"/>
      <w:r>
        <w:rPr>
          <w:rFonts w:hint="eastAsia" w:ascii="宋体" w:hAnsi="宋体" w:eastAsia="宋体" w:cs="宋体"/>
          <w:color w:val="000000" w:themeColor="text1"/>
          <w:szCs w:val="21"/>
          <w:highlight w:val="none"/>
          <w:lang w:val="zh-CN"/>
          <w14:textFill>
            <w14:solidFill>
              <w14:schemeClr w14:val="tx1"/>
            </w14:solidFill>
          </w14:textFill>
        </w:rPr>
        <w:t>28 评标原则及方法</w:t>
      </w:r>
      <w:bookmarkEnd w:id="295"/>
      <w:bookmarkEnd w:id="296"/>
      <w:bookmarkEnd w:id="297"/>
      <w:bookmarkEnd w:id="298"/>
      <w:bookmarkEnd w:id="299"/>
      <w:bookmarkEnd w:id="300"/>
      <w:bookmarkEnd w:id="301"/>
      <w:bookmarkEnd w:id="302"/>
    </w:p>
    <w:p w14:paraId="5A56FCEA">
      <w:pPr>
        <w:tabs>
          <w:tab w:val="left" w:pos="567"/>
        </w:tabs>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14:paraId="4C1F1163">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14:paraId="711CA252">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在评标时将根据第27条，采用综合评分法的评审方法，对所有实质响应性投标文件进行综合打分。</w:t>
      </w:r>
    </w:p>
    <w:p w14:paraId="5A5877FD">
      <w:pPr>
        <w:autoSpaceDE w:val="0"/>
        <w:autoSpaceDN w:val="0"/>
        <w:adjustRightInd w:val="0"/>
        <w:spacing w:line="360" w:lineRule="auto"/>
        <w:ind w:left="441" w:leftChars="-60" w:hanging="567" w:hangingChars="27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u w:val="single"/>
          <w:lang w:val="zh-CN"/>
          <w14:textFill>
            <w14:solidFill>
              <w14:schemeClr w14:val="tx1"/>
            </w14:solidFill>
          </w14:textFill>
        </w:rPr>
        <w:t>若</w:t>
      </w:r>
      <w:r>
        <w:rPr>
          <w:rFonts w:hint="eastAsia" w:ascii="宋体" w:hAnsi="宋体" w:eastAsia="宋体" w:cs="宋体"/>
          <w:b/>
          <w:bCs/>
          <w:color w:val="000000" w:themeColor="text1"/>
          <w:szCs w:val="21"/>
          <w:highlight w:val="none"/>
          <w:u w:val="single"/>
          <w14:textFill>
            <w14:solidFill>
              <w14:schemeClr w14:val="tx1"/>
            </w14:solidFill>
          </w14:textFill>
        </w:rPr>
        <w:t>本次招标过程中有效投标人不足三个时，公开招标失败</w:t>
      </w:r>
      <w:r>
        <w:rPr>
          <w:rFonts w:hint="eastAsia" w:ascii="宋体" w:hAnsi="宋体" w:eastAsia="宋体" w:cs="宋体"/>
          <w:b/>
          <w:bCs/>
          <w:color w:val="000000" w:themeColor="text1"/>
          <w:szCs w:val="21"/>
          <w:highlight w:val="none"/>
          <w14:textFill>
            <w14:solidFill>
              <w14:schemeClr w14:val="tx1"/>
            </w14:solidFill>
          </w14:textFill>
        </w:rPr>
        <w:t>。</w:t>
      </w:r>
    </w:p>
    <w:p w14:paraId="54FF0610">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000000" w:themeColor="text1"/>
          <w:szCs w:val="21"/>
          <w:highlight w:val="none"/>
          <w:lang w:val="zh-CN"/>
          <w14:textFill>
            <w14:solidFill>
              <w14:schemeClr w14:val="tx1"/>
            </w14:solidFill>
          </w14:textFill>
        </w:rPr>
      </w:pPr>
    </w:p>
    <w:p w14:paraId="54888CEB">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303" w:name="_Toc11615"/>
      <w:bookmarkStart w:id="304" w:name="_Toc29588"/>
      <w:bookmarkStart w:id="305" w:name="_Toc27806"/>
      <w:bookmarkStart w:id="306" w:name="_Toc4819"/>
      <w:bookmarkStart w:id="307" w:name="_Toc486167694"/>
      <w:bookmarkStart w:id="308" w:name="_Toc32498_WPSOffice_Level3"/>
      <w:bookmarkStart w:id="309" w:name="_Toc465358969"/>
      <w:bookmarkStart w:id="310" w:name="_Toc466882017"/>
      <w:bookmarkStart w:id="311" w:name="_Toc142508345"/>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评标结果公示及异议、投诉</w:t>
      </w:r>
      <w:bookmarkEnd w:id="303"/>
      <w:bookmarkEnd w:id="304"/>
      <w:bookmarkEnd w:id="305"/>
      <w:bookmarkEnd w:id="306"/>
      <w:bookmarkEnd w:id="307"/>
      <w:bookmarkEnd w:id="308"/>
      <w:bookmarkEnd w:id="309"/>
      <w:bookmarkEnd w:id="310"/>
      <w:bookmarkEnd w:id="311"/>
    </w:p>
    <w:p w14:paraId="50F1F677">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 招标代理机构在招标公告发布媒介公示中标候选人，公示期为3日。投标人或者其他利害关系人对评标结果有异议的，应当在</w:t>
      </w:r>
      <w:r>
        <w:rPr>
          <w:rFonts w:hint="eastAsia" w:ascii="宋体" w:hAnsi="宋体" w:eastAsia="宋体" w:cs="宋体"/>
          <w:color w:val="000000" w:themeColor="text1"/>
          <w:szCs w:val="21"/>
          <w:highlight w:val="none"/>
          <w14:textFill>
            <w14:solidFill>
              <w14:schemeClr w14:val="tx1"/>
            </w14:solidFill>
          </w14:textFill>
        </w:rPr>
        <w:t>评标结果</w:t>
      </w:r>
      <w:r>
        <w:rPr>
          <w:rFonts w:hint="eastAsia" w:ascii="宋体" w:hAnsi="宋体" w:eastAsia="宋体" w:cs="宋体"/>
          <w:color w:val="000000" w:themeColor="text1"/>
          <w:szCs w:val="21"/>
          <w:highlight w:val="none"/>
          <w:lang w:val="zh-CN"/>
          <w14:textFill>
            <w14:solidFill>
              <w14:schemeClr w14:val="tx1"/>
            </w14:solidFill>
          </w14:textFill>
        </w:rPr>
        <w:t>公示期间向招标代理机构以书面的形式提出，并将完整的异议书面材料原件送达招标代理机构，逾期则视为对评标结果无异议。超出提交异议截止时间而提出的任何疑问，招标代理机构可不予答复。</w:t>
      </w:r>
    </w:p>
    <w:p w14:paraId="548049C3">
      <w:pPr>
        <w:keepNext w:val="0"/>
        <w:keepLines w:val="0"/>
        <w:pageBreakBefore w:val="0"/>
        <w:widowControl/>
        <w:kinsoku/>
        <w:wordWrap/>
        <w:overflowPunct/>
        <w:topLinePunct w:val="0"/>
        <w:autoSpaceDE w:val="0"/>
        <w:autoSpaceDN w:val="0"/>
        <w:bidi w:val="0"/>
        <w:adjustRightInd w:val="0"/>
        <w:snapToGrid w:val="0"/>
        <w:spacing w:line="360" w:lineRule="auto"/>
        <w:ind w:left="210" w:leftChars="100" w:firstLine="525" w:firstLineChars="250"/>
        <w:jc w:val="left"/>
        <w:textAlignment w:val="auto"/>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5A2E80A3">
      <w:pPr>
        <w:autoSpaceDE w:val="0"/>
        <w:autoSpaceDN w:val="0"/>
        <w:adjustRightInd w:val="0"/>
        <w:spacing w:line="360" w:lineRule="auto"/>
        <w:ind w:left="284" w:hanging="568"/>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29.2</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2CA22FA2">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1E50271A">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E109326">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0545751A">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753B3287">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78F6DF15">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7148CC73">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2454EDCD">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76E9B54A">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72C88C55">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投诉人投诉的事项不得超出已异议事项的范围，但基于异议答复内容提出的投诉事项除外。</w:t>
      </w:r>
    </w:p>
    <w:p w14:paraId="66EF686E">
      <w:pPr>
        <w:autoSpaceDE w:val="0"/>
        <w:autoSpaceDN w:val="0"/>
        <w:adjustRightInd w:val="0"/>
        <w:snapToGrid w:val="0"/>
        <w:spacing w:line="360" w:lineRule="auto"/>
        <w:ind w:left="319" w:leftChars="-100" w:hanging="529" w:hangingChars="252"/>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监督部门：东莞市水务集团有限公司，联系人：莫先生，联系电话：0769-28823251。</w:t>
      </w:r>
    </w:p>
    <w:p w14:paraId="7A38F02D">
      <w:pPr>
        <w:autoSpaceDE w:val="0"/>
        <w:autoSpaceDN w:val="0"/>
        <w:adjustRightInd w:val="0"/>
        <w:snapToGrid w:val="0"/>
        <w:spacing w:line="360" w:lineRule="auto"/>
        <w:ind w:left="296" w:leftChars="100" w:hanging="86" w:hangingChars="41"/>
        <w:jc w:val="left"/>
        <w:rPr>
          <w:rFonts w:hint="eastAsia" w:ascii="宋体" w:hAnsi="宋体" w:eastAsia="宋体" w:cs="宋体"/>
          <w:color w:val="000000" w:themeColor="text1"/>
          <w:szCs w:val="21"/>
          <w:highlight w:val="none"/>
          <w:lang w:val="zh-CN"/>
          <w14:textFill>
            <w14:solidFill>
              <w14:schemeClr w14:val="tx1"/>
            </w14:solidFill>
          </w14:textFill>
        </w:rPr>
      </w:pPr>
    </w:p>
    <w:p w14:paraId="5A7EF9FE">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color w:val="000000" w:themeColor="text1"/>
          <w:szCs w:val="21"/>
          <w:highlight w:val="none"/>
          <w:lang w:val="zh-CN"/>
          <w14:textFill>
            <w14:solidFill>
              <w14:schemeClr w14:val="tx1"/>
            </w14:solidFill>
          </w14:textFill>
        </w:rPr>
      </w:pPr>
      <w:bookmarkStart w:id="312" w:name="_Toc3154"/>
      <w:bookmarkStart w:id="313" w:name="_Toc142508346"/>
      <w:bookmarkStart w:id="314" w:name="_Toc465358970"/>
      <w:bookmarkStart w:id="315" w:name="_Toc1848_WPSOffice_Level3"/>
      <w:bookmarkStart w:id="316" w:name="_Toc486167695"/>
      <w:bookmarkStart w:id="317" w:name="_Toc2077"/>
      <w:bookmarkStart w:id="318" w:name="_Toc26354"/>
      <w:bookmarkStart w:id="319" w:name="_Toc30902"/>
      <w:bookmarkStart w:id="320" w:name="_Toc466882018"/>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312"/>
      <w:bookmarkEnd w:id="313"/>
      <w:bookmarkEnd w:id="314"/>
      <w:bookmarkEnd w:id="315"/>
      <w:bookmarkEnd w:id="316"/>
      <w:bookmarkEnd w:id="317"/>
      <w:bookmarkEnd w:id="318"/>
      <w:bookmarkEnd w:id="319"/>
      <w:bookmarkEnd w:id="320"/>
    </w:p>
    <w:p w14:paraId="50793649">
      <w:pPr>
        <w:autoSpaceDE w:val="0"/>
        <w:autoSpaceDN w:val="0"/>
        <w:adjustRightInd w:val="0"/>
        <w:snapToGrid w:val="0"/>
        <w:spacing w:line="360" w:lineRule="auto"/>
        <w:ind w:left="321" w:leftChars="-100" w:hanging="531" w:hangingChars="252"/>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30.1 </w:t>
      </w:r>
      <w:r>
        <w:rPr>
          <w:rFonts w:hint="eastAsia" w:ascii="宋体" w:hAnsi="宋体" w:eastAsia="宋体" w:cs="宋体"/>
          <w:b/>
          <w:color w:val="000000" w:themeColor="text1"/>
          <w:szCs w:val="21"/>
          <w:highlight w:val="none"/>
          <w:u w:val="single"/>
          <w14:textFill>
            <w14:solidFill>
              <w14:schemeClr w14:val="tx1"/>
            </w14:solidFill>
          </w14:textFill>
        </w:rPr>
        <w:t>在</w:t>
      </w:r>
      <w:r>
        <w:rPr>
          <w:rFonts w:hint="eastAsia" w:ascii="宋体" w:hAnsi="宋体" w:eastAsia="宋体" w:cs="宋体"/>
          <w:b/>
          <w:color w:val="000000" w:themeColor="text1"/>
          <w:kern w:val="0"/>
          <w:szCs w:val="21"/>
          <w:highlight w:val="none"/>
          <w:u w:val="singl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000000" w:themeColor="text1"/>
          <w:szCs w:val="21"/>
          <w:highlight w:val="none"/>
          <w:u w:val="singl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宋体"/>
          <w:b/>
          <w:color w:val="000000" w:themeColor="text1"/>
          <w:kern w:val="0"/>
          <w:szCs w:val="21"/>
          <w:highlight w:val="none"/>
          <w:u w:val="singl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3F2CB7C9">
      <w:pPr>
        <w:autoSpaceDE w:val="0"/>
        <w:autoSpaceDN w:val="0"/>
        <w:adjustRightInd w:val="0"/>
        <w:snapToGrid w:val="0"/>
        <w:spacing w:line="360" w:lineRule="auto"/>
        <w:ind w:left="321" w:leftChars="-100" w:hanging="531" w:hangingChars="252"/>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30.2 </w:t>
      </w:r>
      <w:r>
        <w:rPr>
          <w:rFonts w:hint="eastAsia" w:ascii="宋体" w:hAnsi="宋体" w:eastAsia="宋体" w:cs="宋体"/>
          <w:b/>
          <w:color w:val="000000" w:themeColor="text1"/>
          <w:szCs w:val="21"/>
          <w:highlight w:val="none"/>
          <w:u w:val="single"/>
          <w14:textFill>
            <w14:solidFill>
              <w14:schemeClr w14:val="tx1"/>
            </w14:solidFill>
          </w14:textFill>
        </w:rPr>
        <w:t>投标人</w:t>
      </w:r>
      <w:r>
        <w:rPr>
          <w:rFonts w:hint="eastAsia" w:ascii="宋体" w:hAnsi="宋体" w:eastAsia="宋体" w:cs="宋体"/>
          <w:b/>
          <w:color w:val="000000" w:themeColor="text1"/>
          <w:kern w:val="0"/>
          <w:szCs w:val="21"/>
          <w:highlight w:val="none"/>
          <w:u w:val="single"/>
          <w14:textFill>
            <w14:solidFill>
              <w14:schemeClr w14:val="tx1"/>
            </w14:solidFill>
          </w14:textFill>
        </w:rPr>
        <w:t>在招标人（或其委托的招标代理机构）、或评标委员会通知其提供</w:t>
      </w:r>
      <w:r>
        <w:rPr>
          <w:rFonts w:hint="eastAsia" w:ascii="宋体" w:hAnsi="宋体" w:eastAsia="宋体" w:cs="宋体"/>
          <w:b/>
          <w:color w:val="000000" w:themeColor="text1"/>
          <w:szCs w:val="21"/>
          <w:highlight w:val="none"/>
          <w:u w:val="singl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宋体"/>
          <w:b/>
          <w:color w:val="000000" w:themeColor="text1"/>
          <w:kern w:val="0"/>
          <w:szCs w:val="21"/>
          <w:highlight w:val="none"/>
          <w:u w:val="singl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1E1EB4EE">
      <w:pPr>
        <w:autoSpaceDE w:val="0"/>
        <w:autoSpaceDN w:val="0"/>
        <w:adjustRightInd w:val="0"/>
        <w:snapToGrid w:val="0"/>
        <w:spacing w:line="360" w:lineRule="auto"/>
        <w:ind w:left="321" w:leftChars="-100" w:hanging="531" w:hangingChars="252"/>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30.3 </w:t>
      </w:r>
      <w:r>
        <w:rPr>
          <w:rFonts w:hint="eastAsia" w:ascii="宋体" w:hAnsi="宋体" w:eastAsia="宋体" w:cs="宋体"/>
          <w:b/>
          <w:color w:val="000000" w:themeColor="text1"/>
          <w:szCs w:val="21"/>
          <w:highlight w:val="none"/>
          <w:u w:val="single"/>
          <w14:textFill>
            <w14:solidFill>
              <w14:schemeClr w14:val="tx1"/>
            </w14:solidFill>
          </w14:textFill>
        </w:rPr>
        <w:t>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r>
        <w:rPr>
          <w:rFonts w:hint="eastAsia" w:ascii="宋体" w:hAnsi="宋体" w:eastAsia="宋体" w:cs="宋体"/>
          <w:b/>
          <w:color w:val="000000" w:themeColor="text1"/>
          <w:szCs w:val="21"/>
          <w:highlight w:val="none"/>
          <w14:textFill>
            <w14:solidFill>
              <w14:schemeClr w14:val="tx1"/>
            </w14:solidFill>
          </w14:textFill>
        </w:rPr>
        <w:t>。</w:t>
      </w:r>
    </w:p>
    <w:p w14:paraId="763AFF2A">
      <w:pPr>
        <w:autoSpaceDE w:val="0"/>
        <w:autoSpaceDN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bookmarkStart w:id="321" w:name="_Toc466882019"/>
      <w:bookmarkStart w:id="322" w:name="_Toc465358971"/>
    </w:p>
    <w:p w14:paraId="5020BDA9">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323" w:name="_Toc486167696"/>
      <w:bookmarkStart w:id="324" w:name="_Toc4518"/>
      <w:bookmarkStart w:id="325" w:name="_Toc142508347"/>
      <w:bookmarkStart w:id="326" w:name="_Toc10867_WPSOffice_Level3"/>
      <w:bookmarkStart w:id="327" w:name="_Toc15815"/>
      <w:bookmarkStart w:id="328" w:name="_Toc23672"/>
      <w:bookmarkStart w:id="329" w:name="_Toc8654"/>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321"/>
      <w:bookmarkEnd w:id="322"/>
      <w:bookmarkEnd w:id="323"/>
      <w:bookmarkEnd w:id="324"/>
      <w:bookmarkEnd w:id="325"/>
      <w:bookmarkEnd w:id="326"/>
      <w:bookmarkEnd w:id="327"/>
      <w:bookmarkEnd w:id="328"/>
      <w:bookmarkEnd w:id="329"/>
    </w:p>
    <w:p w14:paraId="32672E2C">
      <w:pPr>
        <w:autoSpaceDE w:val="0"/>
        <w:autoSpaceDN w:val="0"/>
        <w:adjustRightInd w:val="0"/>
        <w:spacing w:line="360" w:lineRule="auto"/>
        <w:ind w:left="248" w:leftChars="118" w:firstLine="1"/>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4D6654D3">
      <w:pPr>
        <w:autoSpaceDE w:val="0"/>
        <w:autoSpaceDN w:val="0"/>
        <w:adjustRightInd w:val="0"/>
        <w:snapToGrid w:val="0"/>
        <w:spacing w:line="360" w:lineRule="auto"/>
        <w:ind w:left="436" w:leftChars="-158" w:hanging="768" w:hangingChars="320"/>
        <w:jc w:val="left"/>
        <w:rPr>
          <w:rFonts w:hint="eastAsia" w:ascii="宋体" w:hAnsi="宋体" w:eastAsia="宋体" w:cs="宋体"/>
          <w:color w:val="000000" w:themeColor="text1"/>
          <w:kern w:val="44"/>
          <w:sz w:val="24"/>
          <w:szCs w:val="24"/>
          <w:highlight w:val="none"/>
          <w:lang w:val="zh-CN"/>
          <w14:textFill>
            <w14:solidFill>
              <w14:schemeClr w14:val="tx1"/>
            </w14:solidFill>
          </w14:textFill>
        </w:rPr>
      </w:pPr>
      <w:bookmarkStart w:id="330" w:name="_Toc450662880"/>
    </w:p>
    <w:p w14:paraId="5253B257">
      <w:pPr>
        <w:keepNext/>
        <w:keepLines/>
        <w:autoSpaceDE w:val="0"/>
        <w:autoSpaceDN w:val="0"/>
        <w:adjustRightInd w:val="0"/>
        <w:spacing w:line="360" w:lineRule="auto"/>
        <w:jc w:val="left"/>
        <w:outlineLvl w:val="1"/>
        <w:rPr>
          <w:rFonts w:hint="eastAsia" w:ascii="宋体" w:hAnsi="宋体" w:eastAsia="宋体" w:cs="宋体"/>
          <w:b/>
          <w:bCs/>
          <w:color w:val="000000" w:themeColor="text1"/>
          <w:kern w:val="44"/>
          <w:szCs w:val="21"/>
          <w:highlight w:val="none"/>
          <w:lang w:val="zh-CN"/>
          <w14:textFill>
            <w14:solidFill>
              <w14:schemeClr w14:val="tx1"/>
            </w14:solidFill>
          </w14:textFill>
        </w:rPr>
      </w:pPr>
      <w:bookmarkStart w:id="331" w:name="_Toc16789"/>
      <w:bookmarkStart w:id="332" w:name="_Toc11941"/>
      <w:bookmarkStart w:id="333" w:name="_Toc142508348"/>
      <w:bookmarkStart w:id="334" w:name="_Toc16848_WPSOffice_Level2"/>
      <w:bookmarkStart w:id="335" w:name="_Toc27936"/>
      <w:bookmarkStart w:id="336" w:name="_Toc140596907"/>
      <w:bookmarkStart w:id="337" w:name="_Toc486167697"/>
      <w:bookmarkStart w:id="338" w:name="_Toc22432"/>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330"/>
      <w:bookmarkEnd w:id="331"/>
      <w:bookmarkEnd w:id="332"/>
      <w:bookmarkEnd w:id="333"/>
      <w:bookmarkEnd w:id="334"/>
      <w:bookmarkEnd w:id="335"/>
      <w:bookmarkEnd w:id="336"/>
      <w:bookmarkEnd w:id="337"/>
      <w:bookmarkEnd w:id="338"/>
    </w:p>
    <w:p w14:paraId="7C7FF06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339" w:name="_Toc14852"/>
      <w:bookmarkStart w:id="340" w:name="_Toc486167698"/>
      <w:bookmarkStart w:id="341" w:name="_Toc31713"/>
      <w:bookmarkStart w:id="342" w:name="_Toc6401_WPSOffice_Level3"/>
      <w:bookmarkStart w:id="343" w:name="_Toc450662881"/>
      <w:bookmarkStart w:id="344" w:name="_Toc142508349"/>
      <w:bookmarkStart w:id="345" w:name="_Toc29383"/>
      <w:bookmarkStart w:id="346" w:name="_Toc9067"/>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 xml:space="preserve"> 授予合同的准则</w:t>
      </w:r>
      <w:bookmarkEnd w:id="339"/>
      <w:bookmarkEnd w:id="340"/>
      <w:bookmarkEnd w:id="341"/>
      <w:bookmarkEnd w:id="342"/>
      <w:bookmarkEnd w:id="343"/>
      <w:bookmarkEnd w:id="344"/>
      <w:bookmarkEnd w:id="345"/>
      <w:bookmarkEnd w:id="346"/>
    </w:p>
    <w:p w14:paraId="20D3AE6D">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599E5C6B">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52DC5B74">
      <w:pPr>
        <w:autoSpaceDE w:val="0"/>
        <w:autoSpaceDN w:val="0"/>
        <w:adjustRightInd w:val="0"/>
        <w:snapToGrid w:val="0"/>
        <w:spacing w:line="360" w:lineRule="auto"/>
        <w:ind w:left="315" w:leftChars="-100" w:hanging="525" w:hangingChars="25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40CAC33B">
      <w:pPr>
        <w:autoSpaceDE w:val="0"/>
        <w:autoSpaceDN w:val="0"/>
        <w:adjustRightInd w:val="0"/>
        <w:snapToGrid w:val="0"/>
        <w:spacing w:line="360" w:lineRule="auto"/>
        <w:ind w:left="315" w:leftChars="-100" w:hanging="525" w:hangingChars="250"/>
        <w:jc w:val="left"/>
        <w:rPr>
          <w:rFonts w:hint="eastAsia" w:ascii="宋体" w:hAnsi="宋体" w:eastAsia="宋体" w:cs="宋体"/>
          <w:color w:val="000000" w:themeColor="text1"/>
          <w:szCs w:val="21"/>
          <w:highlight w:val="none"/>
          <w:lang w:val="zh-CN"/>
          <w14:textFill>
            <w14:solidFill>
              <w14:schemeClr w14:val="tx1"/>
            </w14:solidFill>
          </w14:textFill>
        </w:rPr>
      </w:pPr>
      <w:bookmarkStart w:id="347" w:name="_Toc450662885"/>
    </w:p>
    <w:p w14:paraId="3F6C5452">
      <w:pPr>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348" w:name="_Toc465"/>
      <w:bookmarkStart w:id="349" w:name="_Toc8196"/>
      <w:bookmarkStart w:id="350" w:name="_Toc6726_WPSOffice_Level3"/>
      <w:bookmarkStart w:id="351" w:name="_Toc142508350"/>
      <w:bookmarkStart w:id="352" w:name="_Toc18984"/>
      <w:bookmarkStart w:id="353" w:name="_Toc14377"/>
      <w:bookmarkStart w:id="354" w:name="_Toc486167699"/>
      <w:r>
        <w:rPr>
          <w:rFonts w:hint="eastAsia" w:ascii="宋体" w:hAnsi="宋体" w:eastAsia="宋体" w:cs="宋体"/>
          <w:color w:val="000000" w:themeColor="text1"/>
          <w:szCs w:val="21"/>
          <w:highlight w:val="none"/>
          <w:lang w:val="zh-CN"/>
          <w14:textFill>
            <w14:solidFill>
              <w14:schemeClr w14:val="tx1"/>
            </w14:solidFill>
          </w14:textFill>
        </w:rPr>
        <w:t>33 中标通知</w:t>
      </w:r>
      <w:bookmarkEnd w:id="347"/>
      <w:bookmarkEnd w:id="348"/>
      <w:bookmarkEnd w:id="349"/>
      <w:bookmarkEnd w:id="350"/>
      <w:bookmarkEnd w:id="351"/>
      <w:bookmarkEnd w:id="352"/>
      <w:bookmarkEnd w:id="353"/>
      <w:bookmarkEnd w:id="354"/>
    </w:p>
    <w:p w14:paraId="0A3CD8CF">
      <w:pPr>
        <w:autoSpaceDE w:val="0"/>
        <w:autoSpaceDN w:val="0"/>
        <w:adjustRightInd w:val="0"/>
        <w:snapToGrid w:val="0"/>
        <w:spacing w:line="360" w:lineRule="auto"/>
        <w:ind w:left="315" w:leftChars="-100" w:hanging="525" w:hangingChars="250"/>
        <w:jc w:val="left"/>
        <w:rPr>
          <w:rFonts w:hint="eastAsia" w:ascii="宋体" w:hAnsi="宋体" w:eastAsia="宋体" w:cs="宋体"/>
          <w:color w:val="000000" w:themeColor="text1"/>
          <w:szCs w:val="21"/>
          <w:highlight w:val="none"/>
          <w:lang w:val="zh-CN"/>
          <w14:textFill>
            <w14:solidFill>
              <w14:schemeClr w14:val="tx1"/>
            </w14:solidFill>
          </w14:textFill>
        </w:rPr>
      </w:pPr>
      <w:bookmarkStart w:id="355"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497E870A">
      <w:pPr>
        <w:autoSpaceDE w:val="0"/>
        <w:autoSpaceDN w:val="0"/>
        <w:adjustRightInd w:val="0"/>
        <w:snapToGrid w:val="0"/>
        <w:spacing w:line="360" w:lineRule="auto"/>
        <w:ind w:left="315" w:leftChars="-100" w:hanging="525" w:hangingChars="250"/>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6B42ED8D">
      <w:pPr>
        <w:autoSpaceDE w:val="0"/>
        <w:autoSpaceDN w:val="0"/>
        <w:adjustRightInd w:val="0"/>
        <w:snapToGrid w:val="0"/>
        <w:spacing w:line="360" w:lineRule="auto"/>
        <w:ind w:left="315" w:leftChars="-100" w:hanging="525" w:hangingChars="250"/>
        <w:jc w:val="left"/>
        <w:rPr>
          <w:rFonts w:hint="eastAsia" w:ascii="宋体" w:hAnsi="宋体" w:eastAsia="宋体" w:cs="宋体"/>
          <w:color w:val="000000" w:themeColor="text1"/>
          <w:szCs w:val="21"/>
          <w:highlight w:val="none"/>
          <w:lang w:val="zh-CN"/>
          <w14:textFill>
            <w14:solidFill>
              <w14:schemeClr w14:val="tx1"/>
            </w14:solidFill>
          </w14:textFill>
        </w:rPr>
      </w:pPr>
    </w:p>
    <w:p w14:paraId="7B697C5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356" w:name="_Toc31149"/>
      <w:bookmarkStart w:id="357" w:name="_Toc486167700"/>
      <w:bookmarkStart w:id="358" w:name="_Toc28020"/>
      <w:bookmarkStart w:id="359" w:name="_Toc142508351"/>
      <w:bookmarkStart w:id="360" w:name="_Toc9694_WPSOffice_Level3"/>
      <w:bookmarkStart w:id="361" w:name="_Toc19127"/>
      <w:bookmarkStart w:id="362" w:name="_Toc1331"/>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 xml:space="preserve"> 签署合同</w:t>
      </w:r>
      <w:bookmarkEnd w:id="355"/>
      <w:bookmarkEnd w:id="356"/>
      <w:bookmarkEnd w:id="357"/>
      <w:bookmarkEnd w:id="358"/>
      <w:bookmarkEnd w:id="359"/>
      <w:bookmarkEnd w:id="360"/>
      <w:bookmarkEnd w:id="361"/>
      <w:bookmarkEnd w:id="362"/>
    </w:p>
    <w:p w14:paraId="061F2EA5">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032ABEE8">
      <w:pPr>
        <w:autoSpaceDE w:val="0"/>
        <w:autoSpaceDN w:val="0"/>
        <w:adjustRightInd w:val="0"/>
        <w:snapToGrid w:val="0"/>
        <w:spacing w:line="360" w:lineRule="auto"/>
        <w:ind w:left="315" w:leftChars="-100" w:hanging="525" w:hangingChars="250"/>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 xml:space="preserve"> 在签署合同前，招标人可对中标人</w:t>
      </w:r>
      <w:r>
        <w:rPr>
          <w:rFonts w:hint="eastAsia" w:ascii="宋体" w:hAnsi="宋体" w:eastAsia="宋体" w:cs="Times New Roman"/>
          <w:color w:val="000000" w:themeColor="text1"/>
          <w:szCs w:val="21"/>
          <w:highlight w:val="none"/>
          <w:lang w:val="zh-CN"/>
          <w14:textFill>
            <w14:solidFill>
              <w14:schemeClr w14:val="tx1"/>
            </w14:solidFill>
          </w14:textFill>
        </w:rPr>
        <w:t>投标报价的算术性错误进行修正</w:t>
      </w:r>
      <w:r>
        <w:rPr>
          <w:rFonts w:hint="eastAsia" w:ascii="宋体" w:hAnsi="宋体" w:eastAsia="宋体" w:cs="宋体"/>
          <w:color w:val="000000" w:themeColor="text1"/>
          <w:szCs w:val="21"/>
          <w:highlight w:val="none"/>
          <w:lang w:val="zh-CN"/>
          <w14:textFill>
            <w14:solidFill>
              <w14:schemeClr w14:val="tx1"/>
            </w14:solidFill>
          </w14:textFill>
        </w:rPr>
        <w:t>，修正原则为：</w:t>
      </w:r>
    </w:p>
    <w:p w14:paraId="038E9D4F">
      <w:pPr>
        <w:autoSpaceDE w:val="0"/>
        <w:autoSpaceDN w:val="0"/>
        <w:adjustRightInd w:val="0"/>
        <w:snapToGrid w:val="0"/>
        <w:spacing w:line="360" w:lineRule="auto"/>
        <w:ind w:left="0" w:leftChars="0" w:firstLine="420" w:firstLineChars="20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当以数字表示的金额与以文字表示的金额不一致时，以文字表示的金额为准。经双方确认后，作为合同文件的组成部分。</w:t>
      </w:r>
    </w:p>
    <w:p w14:paraId="3774B898">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655AD32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363" w:name="_Toc4029"/>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363"/>
    </w:p>
    <w:p w14:paraId="6FCFFAA8">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3</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00,000.00（大写人民币叁拾万元整），</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2047812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2FBBB4A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14:paraId="105FFB4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怠于履行合同义务，经招标人通知或要求承担违约金后仍拒不改正的，招标人可依法没收或适当扣除其履约担保。</w:t>
      </w:r>
    </w:p>
    <w:p w14:paraId="1E060F0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14:paraId="31ED0C7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17745F9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3895A1A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11DD6DE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14:paraId="75F4260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32A631E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履约担保书）形式提供履约担保的，投标前应当自行向其拟申请开具保函的银行（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或保险</w:t>
      </w:r>
      <w:r>
        <w:rPr>
          <w:rFonts w:hint="eastAsia" w:ascii="宋体" w:hAnsi="宋体" w:eastAsia="宋体" w:cs="Times New Roman"/>
          <w:color w:val="000000" w:themeColor="text1"/>
          <w:kern w:val="0"/>
          <w:szCs w:val="21"/>
          <w:highlight w:val="none"/>
          <w14:textFill>
            <w14:solidFill>
              <w14:schemeClr w14:val="tx1"/>
            </w14:solidFill>
          </w14:textFill>
        </w:rPr>
        <w:t>或担保）机构落实履约保函（或履约保证保险或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034290A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东莞</w:t>
      </w:r>
      <w:r>
        <w:rPr>
          <w:rFonts w:hint="eastAsia" w:ascii="宋体" w:hAnsi="宋体" w:eastAsia="宋体" w:cs="Times New Roman"/>
          <w:color w:val="000000" w:themeColor="text1"/>
          <w:kern w:val="0"/>
          <w:szCs w:val="21"/>
          <w:highlight w:val="none"/>
          <w14:textFill>
            <w14:solidFill>
              <w14:schemeClr w14:val="tx1"/>
            </w14:solidFill>
          </w14:textFill>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3770CEB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w:t>
      </w:r>
      <w:r>
        <w:rPr>
          <w:rFonts w:hint="eastAsia" w:ascii="宋体" w:hAnsi="宋体" w:eastAsia="宋体" w:cs="Times New Roman"/>
          <w:color w:val="000000" w:themeColor="text1"/>
          <w:kern w:val="0"/>
          <w:szCs w:val="21"/>
          <w:highlight w:val="none"/>
          <w14:textFill>
            <w14:solidFill>
              <w14:schemeClr w14:val="tx1"/>
            </w14:solidFill>
          </w14:textFill>
        </w:rPr>
        <w:t>担保公司履约担保书</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400A688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14:paraId="4AB80B7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自</w:t>
      </w:r>
      <w:r>
        <w:rPr>
          <w:rFonts w:hint="eastAsia" w:ascii="宋体" w:hAnsi="宋体" w:eastAsia="宋体" w:cs="Times New Roman"/>
          <w:color w:val="000000" w:themeColor="text1"/>
          <w:kern w:val="0"/>
          <w:szCs w:val="21"/>
          <w:highlight w:val="none"/>
          <w14:textFill>
            <w14:solidFill>
              <w14:schemeClr w14:val="tx1"/>
            </w14:solidFill>
          </w14:textFill>
        </w:rPr>
        <w:t>合同签订之日起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或签订合同前）</w:t>
      </w:r>
      <w:r>
        <w:rPr>
          <w:rFonts w:hint="eastAsia" w:ascii="宋体" w:hAnsi="宋体" w:eastAsia="宋体" w:cs="Times New Roman"/>
          <w:color w:val="000000" w:themeColor="text1"/>
          <w:kern w:val="0"/>
          <w:szCs w:val="21"/>
          <w:highlight w:val="none"/>
          <w14:textFill>
            <w14:solidFill>
              <w14:schemeClr w14:val="tx1"/>
            </w14:solidFill>
          </w14:textFill>
        </w:rPr>
        <w:t>至合同期限届满并完成合同及补充协议</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项下</w:t>
      </w:r>
      <w:r>
        <w:rPr>
          <w:rFonts w:hint="eastAsia" w:ascii="宋体" w:hAnsi="宋体" w:eastAsia="宋体" w:cs="Times New Roman"/>
          <w:color w:val="000000" w:themeColor="text1"/>
          <w:kern w:val="0"/>
          <w:szCs w:val="21"/>
          <w:highlight w:val="none"/>
          <w14:textFill>
            <w14:solidFill>
              <w14:schemeClr w14:val="tx1"/>
            </w14:solidFill>
          </w14:textFill>
        </w:rPr>
        <w:t>全部服务义务，招标人向中标人支付全部款项后二十八（28）日内保持有效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49D247C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35.4  履约保证金应用本合同货币。</w:t>
      </w:r>
    </w:p>
    <w:p w14:paraId="405EEA5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5339922B">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14:paraId="055C3817">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开户名称：东莞市石鼓净水有限公司</w:t>
      </w:r>
    </w:p>
    <w:p w14:paraId="20EA54F7">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银行账号：944004010000157127</w:t>
      </w:r>
    </w:p>
    <w:p w14:paraId="79EE2ACC">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开户银行：邮政储蓄东莞分行</w:t>
      </w:r>
    </w:p>
    <w:p w14:paraId="0B0AB2AE">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交给招标人，由招标人在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668EF53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中标人以履约保证金（银行转账形式）提供履约担保的在依法完成本项目的所有合同义务，</w:t>
      </w:r>
      <w:r>
        <w:rPr>
          <w:rFonts w:hint="eastAsia" w:ascii="宋体" w:hAnsi="宋体" w:eastAsia="宋体" w:cs="Times New Roman"/>
          <w:color w:val="000000" w:themeColor="text1"/>
          <w:kern w:val="0"/>
          <w:szCs w:val="21"/>
          <w:highlight w:val="none"/>
          <w14:textFill>
            <w14:solidFill>
              <w14:schemeClr w14:val="tx1"/>
            </w14:solidFill>
          </w14:textFill>
        </w:rPr>
        <w:t>且招标人向中标人支付全部款项二十八（28）日后，</w:t>
      </w:r>
      <w:r>
        <w:rPr>
          <w:rFonts w:hint="eastAsia" w:ascii="宋体" w:hAnsi="宋体" w:eastAsia="宋体" w:cs="宋体"/>
          <w:color w:val="000000" w:themeColor="text1"/>
          <w:kern w:val="0"/>
          <w:szCs w:val="21"/>
          <w:highlight w:val="none"/>
          <w14:textFill>
            <w14:solidFill>
              <w14:schemeClr w14:val="tx1"/>
            </w14:solidFill>
          </w14:textFill>
        </w:rPr>
        <w:t>经招标人确认，中标人可向招标人提交退回履约担保的申请。招标人审核无异议后，办理履约担保退还手续，退回时一律以银行转账的形式无息退回到中标人的帐户。</w:t>
      </w:r>
    </w:p>
    <w:p w14:paraId="13B68979">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4453F5B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364" w:name="_Toc21074"/>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364"/>
    </w:p>
    <w:p w14:paraId="2BD81884">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14:paraId="228112C5">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1C6A9093">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365" w:name="_Toc17205"/>
      <w:r>
        <w:rPr>
          <w:rFonts w:hint="eastAsia" w:ascii="宋体" w:hAnsi="宋体" w:eastAsia="宋体" w:cs="宋体"/>
          <w:color w:val="000000" w:themeColor="text1"/>
          <w:szCs w:val="21"/>
          <w:highlight w:val="none"/>
          <w14:textFill>
            <w14:solidFill>
              <w14:schemeClr w14:val="tx1"/>
            </w14:solidFill>
          </w14:textFill>
        </w:rPr>
        <w:t>37</w:t>
      </w:r>
      <w:r>
        <w:rPr>
          <w:rFonts w:hint="eastAsia" w:ascii="宋体" w:hAnsi="宋体" w:eastAsia="宋体" w:cs="宋体"/>
          <w:color w:val="000000" w:themeColor="text1"/>
          <w:szCs w:val="21"/>
          <w:highlight w:val="none"/>
          <w:lang w:val="zh-CN"/>
          <w14:textFill>
            <w14:solidFill>
              <w14:schemeClr w14:val="tx1"/>
            </w14:solidFill>
          </w14:textFill>
        </w:rPr>
        <w:t xml:space="preserve"> 中标服务费</w:t>
      </w:r>
      <w:bookmarkEnd w:id="365"/>
    </w:p>
    <w:p w14:paraId="797D3046">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p>
    <w:p w14:paraId="638C51AC">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0394852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366" w:name="_Toc12761"/>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366"/>
    </w:p>
    <w:p w14:paraId="53F53A3B">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该项目获得中标的中标人在执行合同过程中，向招标人出具的发票必须是由中标人开具，不得以其他单位或个人名义出具，本项目中标人向招标人出具的发票类型为增值税专用发票。</w:t>
      </w:r>
    </w:p>
    <w:p w14:paraId="76551274">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40BDA15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14:textFill>
            <w14:solidFill>
              <w14:schemeClr w14:val="tx1"/>
            </w14:solidFill>
          </w14:textFill>
        </w:rPr>
      </w:pPr>
      <w:bookmarkStart w:id="367" w:name="_Toc8309"/>
      <w:r>
        <w:rPr>
          <w:rFonts w:hint="eastAsia" w:ascii="宋体" w:hAnsi="宋体" w:eastAsia="宋体" w:cs="宋体"/>
          <w:color w:val="000000" w:themeColor="text1"/>
          <w:szCs w:val="21"/>
          <w:highlight w:val="none"/>
          <w14:textFill>
            <w14:solidFill>
              <w14:schemeClr w14:val="tx1"/>
            </w14:solidFill>
          </w14:textFill>
        </w:rPr>
        <w:t>39 招标相关补充约定</w:t>
      </w:r>
      <w:bookmarkEnd w:id="367"/>
    </w:p>
    <w:p w14:paraId="0336F1C0">
      <w:pPr>
        <w:keepNext w:val="0"/>
        <w:keepLines w:val="0"/>
        <w:pageBreakBefore w:val="0"/>
        <w:widowControl w:val="0"/>
        <w:kinsoku/>
        <w:wordWrap w:val="0"/>
        <w:overflowPunct/>
        <w:topLinePunct w:val="0"/>
        <w:autoSpaceDE w:val="0"/>
        <w:autoSpaceDN w:val="0"/>
        <w:bidi w:val="0"/>
        <w:adjustRightInd w:val="0"/>
        <w:snapToGrid w:val="0"/>
        <w:spacing w:line="360" w:lineRule="auto"/>
        <w:ind w:left="317" w:leftChars="-100" w:hanging="527" w:hangingChars="250"/>
        <w:jc w:val="left"/>
        <w:textAlignment w:val="auto"/>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lang w:val="en-US" w:eastAsia="zh-CN"/>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lang w:val="en-US" w:eastAsia="zh-CN"/>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5FA197EA">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7DCFAF7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000000" w:themeColor="text1"/>
          <w:szCs w:val="21"/>
          <w:highlight w:val="none"/>
          <w14:textFill>
            <w14:solidFill>
              <w14:schemeClr w14:val="tx1"/>
            </w14:solidFill>
          </w14:textFill>
        </w:rPr>
      </w:pPr>
      <w:bookmarkStart w:id="368" w:name="_Toc27060"/>
      <w:r>
        <w:rPr>
          <w:rFonts w:hint="eastAsia" w:ascii="宋体" w:hAnsi="宋体" w:eastAsia="宋体" w:cs="宋体"/>
          <w:color w:val="000000" w:themeColor="text1"/>
          <w:szCs w:val="21"/>
          <w:highlight w:val="none"/>
          <w14:textFill>
            <w14:solidFill>
              <w14:schemeClr w14:val="tx1"/>
            </w14:solidFill>
          </w14:textFill>
        </w:rPr>
        <w:t>40 本次招标活动的最终解释权归招标代理机构及招标人所有。</w:t>
      </w:r>
      <w:bookmarkEnd w:id="368"/>
    </w:p>
    <w:p w14:paraId="6410E609">
      <w:pPr>
        <w:autoSpaceDE w:val="0"/>
        <w:autoSpaceDN w:val="0"/>
        <w:adjustRightInd w:val="0"/>
        <w:snapToGrid w:val="0"/>
        <w:spacing w:line="360" w:lineRule="auto"/>
        <w:ind w:left="315" w:leftChars="-100" w:hanging="525" w:hangingChars="250"/>
        <w:jc w:val="left"/>
        <w:rPr>
          <w:rFonts w:hint="eastAsia" w:ascii="宋体" w:hAnsi="宋体" w:eastAsia="宋体" w:cs="宋体"/>
          <w:color w:val="000000" w:themeColor="text1"/>
          <w:szCs w:val="21"/>
          <w:highlight w:val="none"/>
          <w14:textFill>
            <w14:solidFill>
              <w14:schemeClr w14:val="tx1"/>
            </w14:solidFill>
          </w14:textFill>
        </w:rPr>
      </w:pPr>
    </w:p>
    <w:p w14:paraId="7ECADE05">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000000" w:themeColor="text1"/>
          <w:kern w:val="44"/>
          <w:sz w:val="32"/>
          <w:szCs w:val="32"/>
          <w:highlight w:val="none"/>
          <w:lang w:val="zh-CN"/>
          <w14:textFill>
            <w14:solidFill>
              <w14:schemeClr w14:val="tx1"/>
            </w14:solidFill>
          </w14:textFill>
        </w:rPr>
      </w:pPr>
      <w:bookmarkStart w:id="369" w:name="_Toc16557"/>
      <w:bookmarkStart w:id="370" w:name="_Toc486167708"/>
      <w:bookmarkStart w:id="371" w:name="_Toc450662895"/>
      <w:bookmarkStart w:id="372" w:name="_Toc142508361"/>
      <w:bookmarkStart w:id="373" w:name="_Toc15817"/>
      <w:bookmarkStart w:id="374" w:name="_Toc32761_WPSOffice_Level1"/>
      <w:bookmarkStart w:id="375" w:name="_Toc14958"/>
      <w:bookmarkStart w:id="376" w:name="_Toc9840"/>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 用户需求书</w:t>
      </w:r>
      <w:bookmarkEnd w:id="369"/>
    </w:p>
    <w:p w14:paraId="59CA3461">
      <w:pPr>
        <w:pageBreakBefore w:val="0"/>
        <w:kinsoku/>
        <w:wordWrap/>
        <w:overflowPunct/>
        <w:topLinePunct w:val="0"/>
        <w:bidi w:val="0"/>
        <w:spacing w:line="400" w:lineRule="exact"/>
        <w:ind w:left="0" w:leftChars="0" w:firstLine="422" w:firstLineChars="200"/>
        <w:jc w:val="center"/>
        <w:outlineLvl w:val="0"/>
        <w:rPr>
          <w:rFonts w:ascii="Times New Roman" w:hAnsi="Times New Roman" w:eastAsia="宋体" w:cs="Times New Roman"/>
          <w:b/>
          <w:color w:val="000000" w:themeColor="text1"/>
          <w:sz w:val="21"/>
          <w:szCs w:val="21"/>
          <w:highlight w:val="none"/>
          <w14:textFill>
            <w14:solidFill>
              <w14:schemeClr w14:val="tx1"/>
            </w14:solidFill>
          </w14:textFill>
        </w:rPr>
      </w:pPr>
      <w:bookmarkStart w:id="377" w:name="_Toc3540"/>
      <w:r>
        <w:rPr>
          <w:rFonts w:hint="default" w:ascii="Times New Roman" w:hAnsi="Times New Roman" w:eastAsia="宋体" w:cs="Times New Roman"/>
          <w:b/>
          <w:color w:val="000000" w:themeColor="text1"/>
          <w:sz w:val="21"/>
          <w:szCs w:val="21"/>
          <w:highlight w:val="none"/>
          <w14:textFill>
            <w14:solidFill>
              <w14:schemeClr w14:val="tx1"/>
            </w14:solidFill>
          </w14:textFill>
        </w:rPr>
        <w:t>第一节 用户需求概况</w:t>
      </w:r>
      <w:bookmarkEnd w:id="377"/>
    </w:p>
    <w:p w14:paraId="61FB067D">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378" w:name="_Toc12697"/>
      <w:r>
        <w:rPr>
          <w:rFonts w:hint="default" w:ascii="Times New Roman" w:hAnsi="Times New Roman" w:eastAsia="宋体" w:cs="Times New Roman"/>
          <w:b/>
          <w:color w:val="000000" w:themeColor="text1"/>
          <w:sz w:val="21"/>
          <w:szCs w:val="21"/>
          <w:highlight w:val="none"/>
          <w14:textFill>
            <w14:solidFill>
              <w14:schemeClr w14:val="tx1"/>
            </w14:solidFill>
          </w14:textFill>
        </w:rPr>
        <w:t>1</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14:textFill>
            <w14:solidFill>
              <w14:schemeClr w14:val="tx1"/>
            </w14:solidFill>
          </w14:textFill>
        </w:rPr>
        <w:t>项目概况</w:t>
      </w:r>
      <w:bookmarkEnd w:id="378"/>
    </w:p>
    <w:p w14:paraId="069BCA15">
      <w:pPr>
        <w:pageBreakBefore w:val="0"/>
        <w:widowControl/>
        <w:kinsoku/>
        <w:wordWrap/>
        <w:overflowPunct/>
        <w:topLinePunct w:val="0"/>
        <w:autoSpaceDE w:val="0"/>
        <w:autoSpaceDN w:val="0"/>
        <w:bidi w:val="0"/>
        <w:adjustRightInd w:val="0"/>
        <w:spacing w:line="400" w:lineRule="exact"/>
        <w:ind w:left="0" w:leftChars="0" w:firstLine="420" w:firstLineChars="200"/>
        <w:rPr>
          <w:rFonts w:hint="default" w:ascii="Times New Roman" w:hAnsi="Times New Roman" w:eastAsia="宋体" w:cs="Times New Roman"/>
          <w:color w:val="000000" w:themeColor="text1"/>
          <w:kern w:val="0"/>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en-US"/>
          <w14:textFill>
            <w14:solidFill>
              <w14:schemeClr w14:val="tx1"/>
            </w14:solidFill>
          </w14:textFill>
        </w:rPr>
        <w:t>东莞市水务集团下属</w:t>
      </w:r>
      <w:r>
        <w:rPr>
          <w:rFonts w:hint="default"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东莞市石鼓净水</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有限公司</w:t>
      </w:r>
      <w:r>
        <w:rPr>
          <w:rFonts w:hint="default" w:ascii="Times New Roman" w:hAnsi="Times New Roman" w:eastAsia="宋体" w:cs="Times New Roman"/>
          <w:color w:val="000000" w:themeColor="text1"/>
          <w:kern w:val="0"/>
          <w:sz w:val="21"/>
          <w:szCs w:val="21"/>
          <w:highlight w:val="none"/>
          <w:lang w:bidi="en-US"/>
          <w14:textFill>
            <w14:solidFill>
              <w14:schemeClr w14:val="tx1"/>
            </w14:solidFill>
          </w14:textFill>
        </w:rPr>
        <w:t>开展污水处理厂分布式光伏发电项目，拟在</w:t>
      </w:r>
      <w:r>
        <w:rPr>
          <w:rFonts w:hint="default"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招标人运营管理的</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虎门宁洲</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污水处理厂</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二期及一期提标工程</w:t>
      </w:r>
      <w:r>
        <w:rPr>
          <w:rFonts w:hint="default" w:ascii="Times New Roman" w:hAnsi="Times New Roman" w:eastAsia="宋体" w:cs="Times New Roman"/>
          <w:color w:val="000000" w:themeColor="text1"/>
          <w:szCs w:val="24"/>
          <w:highlight w:val="none"/>
          <w:lang w:val="zh-CN"/>
          <w14:textFill>
            <w14:solidFill>
              <w14:schemeClr w14:val="tx1"/>
            </w14:solidFill>
          </w14:textFill>
        </w:rPr>
        <w:t>、</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东城温塘</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污水处理厂</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一期工程</w:t>
      </w:r>
      <w:r>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t>可利用的</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构筑物</w:t>
      </w:r>
      <w:r>
        <w:rPr>
          <w:rFonts w:hint="default" w:ascii="Times New Roman" w:hAnsi="Times New Roman" w:eastAsia="宋体" w:cs="Times New Roman"/>
          <w:color w:val="000000" w:themeColor="text1"/>
          <w:szCs w:val="24"/>
          <w:highlight w:val="none"/>
          <w14:textFill>
            <w14:solidFill>
              <w14:schemeClr w14:val="tx1"/>
            </w14:solidFill>
          </w14:textFill>
        </w:rPr>
        <w:t>池面及建筑物</w:t>
      </w:r>
      <w:r>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t>屋面（详见附件：光伏组件总平面布置图）</w:t>
      </w:r>
      <w:r>
        <w:rPr>
          <w:rFonts w:hint="default" w:ascii="Times New Roman" w:hAnsi="Times New Roman" w:eastAsia="宋体" w:cs="Times New Roman"/>
          <w:color w:val="000000" w:themeColor="text1"/>
          <w:szCs w:val="24"/>
          <w:highlight w:val="none"/>
          <w14:textFill>
            <w14:solidFill>
              <w14:schemeClr w14:val="tx1"/>
            </w14:solidFill>
          </w14:textFill>
        </w:rPr>
        <w:t>上盖</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分别</w:t>
      </w:r>
      <w:r>
        <w:rPr>
          <w:rFonts w:hint="default" w:ascii="Times New Roman" w:hAnsi="Times New Roman" w:eastAsia="宋体" w:cs="Times New Roman"/>
          <w:color w:val="000000" w:themeColor="text1"/>
          <w:szCs w:val="24"/>
          <w:highlight w:val="none"/>
          <w14:textFill>
            <w14:solidFill>
              <w14:schemeClr w14:val="tx1"/>
            </w14:solidFill>
          </w14:textFill>
        </w:rPr>
        <w:t>建设安装约3.8512MWp、1.398</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Cs w:val="24"/>
          <w:highlight w:val="none"/>
          <w14:textFill>
            <w14:solidFill>
              <w14:schemeClr w14:val="tx1"/>
            </w14:solidFill>
          </w14:textFill>
        </w:rPr>
        <w:t>MWp</w:t>
      </w:r>
      <w:r>
        <w:rPr>
          <w:rFonts w:hint="default" w:ascii="Times New Roman" w:hAnsi="Times New Roman" w:eastAsia="宋体" w:cs="Times New Roman"/>
          <w:color w:val="000000" w:themeColor="text1"/>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4"/>
          <w:highlight w:val="none"/>
          <w14:textFill>
            <w14:solidFill>
              <w14:schemeClr w14:val="tx1"/>
            </w14:solidFill>
          </w14:textFill>
        </w:rPr>
        <w:t>最终</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装机</w:t>
      </w:r>
      <w:r>
        <w:rPr>
          <w:rFonts w:hint="default" w:ascii="Times New Roman" w:hAnsi="Times New Roman" w:eastAsia="宋体" w:cs="Times New Roman"/>
          <w:color w:val="000000" w:themeColor="text1"/>
          <w:szCs w:val="24"/>
          <w:highlight w:val="none"/>
          <w14:textFill>
            <w14:solidFill>
              <w14:schemeClr w14:val="tx1"/>
            </w14:solidFill>
          </w14:textFill>
        </w:rPr>
        <w:t>容量以实际并网容量为准</w:t>
      </w:r>
      <w:r>
        <w:rPr>
          <w:rFonts w:hint="default" w:ascii="Times New Roman" w:hAnsi="Times New Roman" w:eastAsia="宋体" w:cs="Times New Roman"/>
          <w:color w:val="000000" w:themeColor="text1"/>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4"/>
          <w:highlight w:val="none"/>
          <w14:textFill>
            <w14:solidFill>
              <w14:schemeClr w14:val="tx1"/>
            </w14:solidFill>
          </w14:textFill>
        </w:rPr>
        <w:t>光伏发电系统</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以及配套设施</w:t>
      </w:r>
      <w:r>
        <w:rPr>
          <w:rFonts w:hint="default" w:ascii="Times New Roman" w:hAnsi="Times New Roman" w:eastAsia="宋体" w:cs="Times New Roman"/>
          <w:color w:val="000000" w:themeColor="text1"/>
          <w:kern w:val="0"/>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建成后</w:t>
      </w:r>
      <w:r>
        <w:rPr>
          <w:rFonts w:hint="default" w:ascii="Times New Roman" w:hAnsi="Times New Roman" w:eastAsia="宋体" w:cs="Times New Roman"/>
          <w:color w:val="000000" w:themeColor="text1"/>
          <w:kern w:val="0"/>
          <w:sz w:val="21"/>
          <w:szCs w:val="21"/>
          <w:highlight w:val="none"/>
          <w:lang w:bidi="en-US"/>
          <w14:textFill>
            <w14:solidFill>
              <w14:schemeClr w14:val="tx1"/>
            </w14:solidFill>
          </w14:textFill>
        </w:rPr>
        <w:t>采用</w:t>
      </w:r>
      <w:r>
        <w:rPr>
          <w:rFonts w:hint="default" w:ascii="Times New Roman" w:hAnsi="Times New Roman" w:eastAsia="宋体" w:cs="Times New Roman"/>
          <w:color w:val="000000" w:themeColor="text1"/>
          <w:kern w:val="0"/>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bidi="en-US"/>
          <w14:textFill>
            <w14:solidFill>
              <w14:schemeClr w14:val="tx1"/>
            </w14:solidFill>
          </w14:textFill>
        </w:rPr>
        <w:t>自发自用、余电上网</w:t>
      </w:r>
      <w:r>
        <w:rPr>
          <w:rFonts w:hint="default" w:ascii="Times New Roman" w:hAnsi="Times New Roman" w:eastAsia="宋体" w:cs="Times New Roman"/>
          <w:color w:val="000000" w:themeColor="text1"/>
          <w:kern w:val="0"/>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运行方式</w:t>
      </w:r>
      <w:r>
        <w:rPr>
          <w:rFonts w:hint="default" w:ascii="Times New Roman" w:hAnsi="Times New Roman" w:eastAsia="宋体" w:cs="Times New Roman"/>
          <w:color w:val="000000" w:themeColor="text1"/>
          <w:kern w:val="0"/>
          <w:sz w:val="21"/>
          <w:szCs w:val="21"/>
          <w:highlight w:val="none"/>
          <w:lang w:bidi="en-US"/>
          <w14:textFill>
            <w14:solidFill>
              <w14:schemeClr w14:val="tx1"/>
            </w14:solidFill>
          </w14:textFill>
        </w:rPr>
        <w:t>，并网电压根据项目容量和现场情况选择0.4kV或10</w:t>
      </w:r>
      <w:r>
        <w:rPr>
          <w:rFonts w:hint="eastAsia"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k</w:t>
      </w:r>
      <w:r>
        <w:rPr>
          <w:rFonts w:hint="default" w:ascii="Times New Roman" w:hAnsi="Times New Roman" w:eastAsia="宋体" w:cs="Times New Roman"/>
          <w:color w:val="000000" w:themeColor="text1"/>
          <w:kern w:val="0"/>
          <w:sz w:val="21"/>
          <w:szCs w:val="21"/>
          <w:highlight w:val="none"/>
          <w:lang w:bidi="en-US"/>
          <w14:textFill>
            <w14:solidFill>
              <w14:schemeClr w14:val="tx1"/>
            </w14:solidFill>
          </w14:textFill>
        </w:rPr>
        <w:t>V就近并网。</w:t>
      </w:r>
    </w:p>
    <w:p w14:paraId="069C2988">
      <w:pPr>
        <w:pageBreakBefore w:val="0"/>
        <w:widowControl/>
        <w:kinsoku/>
        <w:wordWrap/>
        <w:overflowPunct/>
        <w:topLinePunct w:val="0"/>
        <w:autoSpaceDE w:val="0"/>
        <w:autoSpaceDN w:val="0"/>
        <w:bidi w:val="0"/>
        <w:adjustRightInd w:val="0"/>
        <w:spacing w:line="400" w:lineRule="exact"/>
        <w:ind w:left="0" w:leftChars="0" w:firstLine="420" w:firstLineChars="200"/>
        <w:rPr>
          <w:rFonts w:hint="default" w:ascii="Times New Roman" w:hAnsi="Times New Roman" w:eastAsia="宋体" w:cs="Times New Roman"/>
          <w:color w:val="000000" w:themeColor="text1"/>
          <w:kern w:val="0"/>
          <w:sz w:val="21"/>
          <w:szCs w:val="21"/>
          <w:highlight w:val="none"/>
          <w:lang w:val="en-US" w:bidi="en-US"/>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本项目采用EMC合作模式，项目所有投资费用及项目</w:t>
      </w:r>
      <w:r>
        <w:rPr>
          <w:rFonts w:hint="eastAsia"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服务期</w:t>
      </w:r>
      <w:r>
        <w:rPr>
          <w:rFonts w:hint="default"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内的运维费用由中标人负责，招标人从中标人处购电，</w:t>
      </w:r>
      <w:r>
        <w:rPr>
          <w:rFonts w:hint="eastAsia"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服务期</w:t>
      </w:r>
      <w:r>
        <w:rPr>
          <w:rFonts w:hint="default"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为25年（不含建设期），服务期到期后，本项目资产无偿转让给招标人所有。</w:t>
      </w:r>
    </w:p>
    <w:p w14:paraId="0841A4C2">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379" w:name="_Toc24649"/>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14:textFill>
            <w14:solidFill>
              <w14:schemeClr w14:val="tx1"/>
            </w14:solidFill>
          </w14:textFill>
        </w:rPr>
        <w:t>采购内容</w:t>
      </w:r>
      <w:bookmarkEnd w:id="379"/>
    </w:p>
    <w:p w14:paraId="18572AF2">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380" w:name="_Toc4911"/>
      <w:r>
        <w:rPr>
          <w:rFonts w:ascii="Times New Roman" w:hAnsi="Times New Roman" w:eastAsia="宋体" w:cs="Times New Roman"/>
          <w:b/>
          <w:color w:val="000000" w:themeColor="text1"/>
          <w:sz w:val="21"/>
          <w:szCs w:val="21"/>
          <w:highlight w:val="none"/>
          <w14:textFill>
            <w14:solidFill>
              <w14:schemeClr w14:val="tx1"/>
            </w14:solidFill>
          </w14:textFill>
        </w:rPr>
        <w:t xml:space="preserve">2.1 </w:t>
      </w:r>
      <w:r>
        <w:rPr>
          <w:rFonts w:hint="default" w:ascii="Times New Roman" w:hAnsi="Times New Roman" w:eastAsia="宋体" w:cs="Times New Roman"/>
          <w:b/>
          <w:color w:val="000000" w:themeColor="text1"/>
          <w:sz w:val="21"/>
          <w:szCs w:val="21"/>
          <w:highlight w:val="none"/>
          <w14:textFill>
            <w14:solidFill>
              <w14:schemeClr w14:val="tx1"/>
            </w14:solidFill>
          </w14:textFill>
        </w:rPr>
        <w:t>项目名称</w:t>
      </w:r>
      <w:bookmarkEnd w:id="380"/>
    </w:p>
    <w:p w14:paraId="69074E38">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eastAsia" w:ascii="Times New Roman" w:hAnsi="Times New Roman" w:eastAsia="宋体" w:cs="Times New Roman"/>
          <w:color w:val="000000" w:themeColor="text1"/>
          <w:szCs w:val="24"/>
          <w:highlight w:val="none"/>
          <w14:textFill>
            <w14:solidFill>
              <w14:schemeClr w14:val="tx1"/>
            </w14:solidFill>
          </w14:textFill>
        </w:rPr>
        <w:t>东莞市石鼓净水有限公司污水处理厂分布式光伏发电项目</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w:t>
      </w:r>
    </w:p>
    <w:p w14:paraId="78E5CE25">
      <w:pPr>
        <w:pageBreakBefore w:val="0"/>
        <w:kinsoku/>
        <w:wordWrap/>
        <w:overflowPunct/>
        <w:topLinePunct w:val="0"/>
        <w:bidi w:val="0"/>
        <w:spacing w:line="400" w:lineRule="exact"/>
        <w:ind w:left="0" w:leftChars="0" w:firstLine="422" w:firstLineChars="200"/>
        <w:outlineLvl w:val="2"/>
        <w:rPr>
          <w:rFonts w:hint="default" w:ascii="Times New Roman" w:hAnsi="Times New Roman" w:eastAsia="宋体" w:cs="Times New Roman"/>
          <w:b/>
          <w:color w:val="000000" w:themeColor="text1"/>
          <w:sz w:val="21"/>
          <w:szCs w:val="21"/>
          <w:highlight w:val="none"/>
          <w:lang w:eastAsia="zh-CN"/>
          <w14:textFill>
            <w14:solidFill>
              <w14:schemeClr w14:val="tx1"/>
            </w14:solidFill>
          </w14:textFill>
        </w:rPr>
      </w:pPr>
      <w:bookmarkStart w:id="381" w:name="_Toc22221"/>
      <w:r>
        <w:rPr>
          <w:rFonts w:ascii="Times New Roman" w:hAnsi="Times New Roman" w:eastAsia="宋体" w:cs="Times New Roman"/>
          <w:b/>
          <w:color w:val="000000" w:themeColor="text1"/>
          <w:sz w:val="21"/>
          <w:szCs w:val="21"/>
          <w:highlight w:val="none"/>
          <w14:textFill>
            <w14:solidFill>
              <w14:schemeClr w14:val="tx1"/>
            </w14:solidFill>
          </w14:textFill>
        </w:rPr>
        <w:t xml:space="preserve">2.2 </w:t>
      </w:r>
      <w:r>
        <w:rPr>
          <w:rFonts w:hint="default" w:ascii="Times New Roman" w:hAnsi="Times New Roman" w:eastAsia="宋体" w:cs="Times New Roman"/>
          <w:b/>
          <w:color w:val="000000" w:themeColor="text1"/>
          <w:sz w:val="21"/>
          <w:szCs w:val="21"/>
          <w:highlight w:val="none"/>
          <w:lang w:eastAsia="zh-CN"/>
          <w14:textFill>
            <w14:solidFill>
              <w14:schemeClr w14:val="tx1"/>
            </w14:solidFill>
          </w14:textFill>
        </w:rPr>
        <w:t>招标人</w:t>
      </w:r>
      <w:bookmarkEnd w:id="381"/>
    </w:p>
    <w:p w14:paraId="1950FDC7">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东莞市</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石鼓净水</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有限公司。</w:t>
      </w:r>
    </w:p>
    <w:p w14:paraId="2507B56E">
      <w:pPr>
        <w:pageBreakBefore w:val="0"/>
        <w:kinsoku/>
        <w:wordWrap/>
        <w:overflowPunct/>
        <w:topLinePunct w:val="0"/>
        <w:bidi w:val="0"/>
        <w:spacing w:line="400" w:lineRule="exact"/>
        <w:ind w:left="0" w:leftChars="0" w:firstLine="422" w:firstLineChars="200"/>
        <w:outlineLvl w:val="2"/>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bookmarkStart w:id="382" w:name="_Toc27501"/>
      <w:r>
        <w:rPr>
          <w:rFonts w:ascii="Times New Roman" w:hAnsi="Times New Roman" w:eastAsia="宋体" w:cs="Times New Roman"/>
          <w:b/>
          <w:color w:val="000000" w:themeColor="text1"/>
          <w:sz w:val="21"/>
          <w:szCs w:val="21"/>
          <w:highlight w:val="none"/>
          <w14:textFill>
            <w14:solidFill>
              <w14:schemeClr w14:val="tx1"/>
            </w14:solidFill>
          </w14:textFill>
        </w:rPr>
        <w:t xml:space="preserve">2.3 </w:t>
      </w:r>
      <w:r>
        <w:rPr>
          <w:rFonts w:hint="default" w:ascii="Times New Roman" w:hAnsi="Times New Roman" w:eastAsia="宋体" w:cs="Times New Roman"/>
          <w:b/>
          <w:color w:val="000000" w:themeColor="text1"/>
          <w:sz w:val="21"/>
          <w:szCs w:val="21"/>
          <w:highlight w:val="none"/>
          <w14:textFill>
            <w14:solidFill>
              <w14:schemeClr w14:val="tx1"/>
            </w14:solidFill>
          </w14:textFill>
        </w:rPr>
        <w:t>项目</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位置及基本信息</w:t>
      </w:r>
      <w:bookmarkEnd w:id="382"/>
    </w:p>
    <w:p w14:paraId="4E5B28E6">
      <w:pPr>
        <w:pageBreakBefore w:val="0"/>
        <w:kinsoku/>
        <w:wordWrap/>
        <w:overflowPunct/>
        <w:topLinePunct w:val="0"/>
        <w:bidi w:val="0"/>
        <w:spacing w:line="400" w:lineRule="exact"/>
        <w:ind w:left="0" w:leftChars="0" w:firstLine="420" w:firstLineChars="200"/>
        <w:rPr>
          <w:rFonts w:hint="eastAsia" w:ascii="宋体" w:hAnsi="宋体" w:eastAsia="宋体" w:cs="宋体"/>
          <w:color w:val="000000" w:themeColor="text1"/>
          <w:sz w:val="21"/>
          <w:szCs w:val="21"/>
          <w:highlight w:val="none"/>
          <w:lang w:bidi="en-US"/>
          <w14:textFill>
            <w14:solidFill>
              <w14:schemeClr w14:val="tx1"/>
            </w14:solidFill>
          </w14:textFill>
        </w:rPr>
      </w:pP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（1）</w:t>
      </w:r>
      <w:r>
        <w:rPr>
          <w:rFonts w:hint="eastAsia" w:ascii="宋体" w:hAnsi="宋体" w:eastAsia="宋体" w:cs="宋体"/>
          <w:color w:val="000000" w:themeColor="text1"/>
          <w:sz w:val="21"/>
          <w:szCs w:val="21"/>
          <w:highlight w:val="none"/>
          <w:lang w:bidi="en-US"/>
          <w14:textFill>
            <w14:solidFill>
              <w14:schemeClr w14:val="tx1"/>
            </w14:solidFill>
          </w14:textFill>
        </w:rPr>
        <w:t>东城温塘污水处理厂一期</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工程，位于东莞市东城街道温塘社区，设计处理规模为5万吨/日，</w:t>
      </w:r>
      <w:r>
        <w:rPr>
          <w:rFonts w:hint="eastAsia" w:ascii="宋体" w:hAnsi="宋体" w:eastAsia="宋体" w:cs="宋体"/>
          <w:color w:val="000000" w:themeColor="text1"/>
          <w:kern w:val="0"/>
          <w:szCs w:val="21"/>
          <w:highlight w:val="none"/>
          <w:lang w:bidi="ar"/>
          <w14:textFill>
            <w14:solidFill>
              <w14:schemeClr w14:val="tx1"/>
            </w14:solidFill>
          </w14:textFill>
        </w:rPr>
        <w:t>污水处理</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工艺</w:t>
      </w:r>
      <w:r>
        <w:rPr>
          <w:rFonts w:hint="eastAsia" w:ascii="宋体" w:hAnsi="宋体" w:eastAsia="宋体" w:cs="宋体"/>
          <w:color w:val="000000" w:themeColor="text1"/>
          <w:kern w:val="0"/>
          <w:szCs w:val="21"/>
          <w:highlight w:val="none"/>
          <w:lang w:bidi="ar"/>
          <w14:textFill>
            <w14:solidFill>
              <w14:schemeClr w14:val="tx1"/>
            </w14:solidFill>
          </w14:textFill>
        </w:rPr>
        <w:t>为“预处理（粗格栅+细格栅+</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旋流</w:t>
      </w:r>
      <w:r>
        <w:rPr>
          <w:rFonts w:hint="eastAsia" w:ascii="宋体" w:hAnsi="宋体" w:eastAsia="宋体" w:cs="宋体"/>
          <w:color w:val="000000" w:themeColor="text1"/>
          <w:kern w:val="0"/>
          <w:szCs w:val="21"/>
          <w:highlight w:val="none"/>
          <w:lang w:bidi="ar"/>
          <w14:textFill>
            <w14:solidFill>
              <w14:schemeClr w14:val="tx1"/>
            </w14:solidFill>
          </w14:textFill>
        </w:rPr>
        <w:t>沉砂池）→</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改良AAO生化池</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圆形</w:t>
      </w:r>
      <w:r>
        <w:rPr>
          <w:rFonts w:hint="eastAsia" w:ascii="宋体" w:hAnsi="宋体" w:eastAsia="宋体" w:cs="宋体"/>
          <w:color w:val="000000" w:themeColor="text1"/>
          <w:kern w:val="0"/>
          <w:szCs w:val="21"/>
          <w:highlight w:val="none"/>
          <w:lang w:bidi="ar"/>
          <w14:textFill>
            <w14:solidFill>
              <w14:schemeClr w14:val="tx1"/>
            </w14:solidFill>
          </w14:textFill>
        </w:rPr>
        <w:t>二沉池→</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硝化池</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滤布</w:t>
      </w:r>
      <w:r>
        <w:rPr>
          <w:rFonts w:hint="eastAsia" w:ascii="宋体" w:hAnsi="宋体" w:eastAsia="宋体" w:cs="宋体"/>
          <w:color w:val="000000" w:themeColor="text1"/>
          <w:kern w:val="0"/>
          <w:szCs w:val="21"/>
          <w:highlight w:val="none"/>
          <w:lang w:bidi="ar"/>
          <w14:textFill>
            <w14:solidFill>
              <w14:schemeClr w14:val="tx1"/>
            </w14:solidFill>
          </w14:textFill>
        </w:rPr>
        <w:t>滤池→</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紫外</w:t>
      </w:r>
      <w:r>
        <w:rPr>
          <w:rFonts w:hint="eastAsia" w:ascii="宋体" w:hAnsi="宋体" w:eastAsia="宋体" w:cs="宋体"/>
          <w:color w:val="000000" w:themeColor="text1"/>
          <w:kern w:val="0"/>
          <w:szCs w:val="21"/>
          <w:highlight w:val="none"/>
          <w:lang w:bidi="ar"/>
          <w14:textFill>
            <w14:solidFill>
              <w14:schemeClr w14:val="tx1"/>
            </w14:solidFill>
          </w14:textFill>
        </w:rPr>
        <w:t>消毒</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池</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出水</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lang w:eastAsia="zh-CN" w:bidi="ar"/>
          <w14:textFill>
            <w14:solidFill>
              <w14:schemeClr w14:val="tx1"/>
            </w14:solidFill>
          </w14:textFill>
        </w:rPr>
        <w:t>，</w:t>
      </w:r>
      <w:r>
        <w:rPr>
          <w:rFonts w:hint="eastAsia" w:ascii="宋体" w:hAnsi="宋体" w:eastAsia="宋体" w:cs="宋体"/>
          <w:color w:val="000000" w:themeColor="text1"/>
          <w:szCs w:val="24"/>
          <w:highlight w:val="none"/>
          <w:lang w:val="en-US" w:eastAsia="zh-CN"/>
          <w14:textFill>
            <w14:solidFill>
              <w14:schemeClr w14:val="tx1"/>
            </w14:solidFill>
          </w14:textFill>
        </w:rPr>
        <w:t>构筑物</w:t>
      </w:r>
      <w:r>
        <w:rPr>
          <w:rFonts w:hint="eastAsia" w:ascii="宋体" w:hAnsi="宋体" w:eastAsia="宋体" w:cs="宋体"/>
          <w:color w:val="000000" w:themeColor="text1"/>
          <w:szCs w:val="24"/>
          <w:highlight w:val="none"/>
          <w14:textFill>
            <w14:solidFill>
              <w14:schemeClr w14:val="tx1"/>
            </w14:solidFill>
          </w14:textFill>
        </w:rPr>
        <w:t>池面及建筑物屋顶</w:t>
      </w:r>
      <w:r>
        <w:rPr>
          <w:rFonts w:hint="eastAsia" w:ascii="宋体" w:hAnsi="宋体" w:eastAsia="宋体" w:cs="宋体"/>
          <w:color w:val="000000" w:themeColor="text1"/>
          <w:szCs w:val="24"/>
          <w:highlight w:val="none"/>
          <w:lang w:val="en-US" w:eastAsia="zh-CN"/>
          <w14:textFill>
            <w14:solidFill>
              <w14:schemeClr w14:val="tx1"/>
            </w14:solidFill>
          </w14:textFill>
        </w:rPr>
        <w:t>可利用设置光伏区</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面积约为11306平方米，配电房设有2台1000kVA变压器。</w:t>
      </w:r>
    </w:p>
    <w:p w14:paraId="162FAB18">
      <w:pPr>
        <w:pageBreakBefore w:val="0"/>
        <w:kinsoku/>
        <w:wordWrap/>
        <w:overflowPunct/>
        <w:topLinePunct w:val="0"/>
        <w:bidi w:val="0"/>
        <w:spacing w:line="400" w:lineRule="exact"/>
        <w:ind w:left="0" w:leftChars="0" w:firstLine="420" w:firstLineChars="200"/>
        <w:rPr>
          <w:rFonts w:hint="eastAsia" w:ascii="宋体" w:hAnsi="宋体" w:eastAsia="宋体" w:cs="宋体"/>
          <w:color w:val="000000" w:themeColor="text1"/>
          <w:sz w:val="21"/>
          <w:szCs w:val="21"/>
          <w:highlight w:val="none"/>
          <w:lang w:bidi="en-US"/>
          <w14:textFill>
            <w14:solidFill>
              <w14:schemeClr w14:val="tx1"/>
            </w14:solidFill>
          </w14:textFill>
        </w:rPr>
      </w:pPr>
      <w:r>
        <w:rPr>
          <w:rFonts w:hint="eastAsia" w:ascii="宋体" w:hAnsi="宋体" w:eastAsia="宋体" w:cs="宋体"/>
          <w:color w:val="000000" w:themeColor="text1"/>
          <w:sz w:val="21"/>
          <w:szCs w:val="21"/>
          <w:highlight w:val="none"/>
          <w:lang w:eastAsia="zh-CN" w:bidi="en-US"/>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2</w:t>
      </w:r>
      <w:r>
        <w:rPr>
          <w:rFonts w:hint="eastAsia" w:ascii="宋体" w:hAnsi="宋体" w:eastAsia="宋体" w:cs="宋体"/>
          <w:color w:val="000000" w:themeColor="text1"/>
          <w:sz w:val="21"/>
          <w:szCs w:val="21"/>
          <w:highlight w:val="none"/>
          <w:lang w:eastAsia="zh-CN" w:bidi="en-US"/>
          <w14:textFill>
            <w14:solidFill>
              <w14:schemeClr w14:val="tx1"/>
            </w14:solidFill>
          </w14:textFill>
        </w:rPr>
        <w:t>）</w:t>
      </w:r>
      <w:r>
        <w:rPr>
          <w:rFonts w:hint="eastAsia" w:ascii="宋体" w:hAnsi="宋体" w:eastAsia="宋体" w:cs="宋体"/>
          <w:color w:val="000000" w:themeColor="text1"/>
          <w:sz w:val="21"/>
          <w:szCs w:val="21"/>
          <w:highlight w:val="none"/>
          <w:lang w:bidi="en-US"/>
          <w14:textFill>
            <w14:solidFill>
              <w14:schemeClr w14:val="tx1"/>
            </w14:solidFill>
          </w14:textFill>
        </w:rPr>
        <w:t>虎门宁洲污水处理厂二期及一期提标</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工程，位于东莞市虎门镇南栅村，</w:t>
      </w:r>
      <w:r>
        <w:rPr>
          <w:rFonts w:hint="eastAsia" w:ascii="宋体" w:hAnsi="宋体" w:eastAsia="宋体" w:cs="宋体"/>
          <w:color w:val="000000" w:themeColor="text1"/>
          <w:sz w:val="21"/>
          <w:szCs w:val="21"/>
          <w:highlight w:val="none"/>
          <w:lang w:bidi="en-US"/>
          <w14:textFill>
            <w14:solidFill>
              <w14:schemeClr w14:val="tx1"/>
            </w14:solidFill>
          </w14:textFill>
        </w:rPr>
        <w:t>虎门宁洲污水处理厂二期</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设计处理规模为10万吨/日，</w:t>
      </w:r>
      <w:r>
        <w:rPr>
          <w:rFonts w:hint="eastAsia" w:ascii="宋体" w:hAnsi="宋体" w:eastAsia="宋体" w:cs="宋体"/>
          <w:color w:val="000000" w:themeColor="text1"/>
          <w:kern w:val="0"/>
          <w:szCs w:val="21"/>
          <w:highlight w:val="none"/>
          <w:lang w:bidi="ar"/>
          <w14:textFill>
            <w14:solidFill>
              <w14:schemeClr w14:val="tx1"/>
            </w14:solidFill>
          </w14:textFill>
        </w:rPr>
        <w:t>污水处理</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工艺</w:t>
      </w:r>
      <w:r>
        <w:rPr>
          <w:rFonts w:hint="eastAsia" w:ascii="宋体" w:hAnsi="宋体" w:eastAsia="宋体" w:cs="宋体"/>
          <w:color w:val="000000" w:themeColor="text1"/>
          <w:kern w:val="0"/>
          <w:szCs w:val="21"/>
          <w:highlight w:val="none"/>
          <w:lang w:bidi="ar"/>
          <w14:textFill>
            <w14:solidFill>
              <w14:schemeClr w14:val="tx1"/>
            </w14:solidFill>
          </w14:textFill>
        </w:rPr>
        <w:t>为“预处理（粗格栅+细格栅+</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旋流</w:t>
      </w:r>
      <w:r>
        <w:rPr>
          <w:rFonts w:hint="eastAsia" w:ascii="宋体" w:hAnsi="宋体" w:eastAsia="宋体" w:cs="宋体"/>
          <w:color w:val="000000" w:themeColor="text1"/>
          <w:kern w:val="0"/>
          <w:szCs w:val="21"/>
          <w:highlight w:val="none"/>
          <w:lang w:bidi="ar"/>
          <w14:textFill>
            <w14:solidFill>
              <w14:schemeClr w14:val="tx1"/>
            </w14:solidFill>
          </w14:textFill>
        </w:rPr>
        <w:t>沉砂池）→</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改良AAO生化池</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圆形</w:t>
      </w:r>
      <w:r>
        <w:rPr>
          <w:rFonts w:hint="eastAsia" w:ascii="宋体" w:hAnsi="宋体" w:eastAsia="宋体" w:cs="宋体"/>
          <w:color w:val="000000" w:themeColor="text1"/>
          <w:kern w:val="0"/>
          <w:szCs w:val="21"/>
          <w:highlight w:val="none"/>
          <w:lang w:bidi="ar"/>
          <w14:textFill>
            <w14:solidFill>
              <w14:schemeClr w14:val="tx1"/>
            </w14:solidFill>
          </w14:textFill>
        </w:rPr>
        <w:t>二沉池→</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磁混凝高效沉淀池</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滤布</w:t>
      </w:r>
      <w:r>
        <w:rPr>
          <w:rFonts w:hint="eastAsia" w:ascii="宋体" w:hAnsi="宋体" w:eastAsia="宋体" w:cs="宋体"/>
          <w:color w:val="000000" w:themeColor="text1"/>
          <w:kern w:val="0"/>
          <w:szCs w:val="21"/>
          <w:highlight w:val="none"/>
          <w:lang w:bidi="ar"/>
          <w14:textFill>
            <w14:solidFill>
              <w14:schemeClr w14:val="tx1"/>
            </w14:solidFill>
          </w14:textFill>
        </w:rPr>
        <w:t>滤池→</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紫外</w:t>
      </w:r>
      <w:r>
        <w:rPr>
          <w:rFonts w:hint="eastAsia" w:ascii="宋体" w:hAnsi="宋体" w:eastAsia="宋体" w:cs="宋体"/>
          <w:color w:val="000000" w:themeColor="text1"/>
          <w:kern w:val="0"/>
          <w:szCs w:val="21"/>
          <w:highlight w:val="none"/>
          <w:lang w:bidi="ar"/>
          <w14:textFill>
            <w14:solidFill>
              <w14:schemeClr w14:val="tx1"/>
            </w14:solidFill>
          </w14:textFill>
        </w:rPr>
        <w:t>消毒→</w:t>
      </w:r>
      <w:r>
        <w:rPr>
          <w:rFonts w:hint="eastAsia" w:ascii="宋体" w:hAnsi="宋体" w:eastAsia="宋体" w:cs="宋体"/>
          <w:color w:val="000000" w:themeColor="text1"/>
          <w:szCs w:val="21"/>
          <w:highlight w:val="none"/>
          <w14:textFill>
            <w14:solidFill>
              <w14:schemeClr w14:val="tx1"/>
            </w14:solidFill>
          </w14:textFill>
        </w:rPr>
        <w:t>出水</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bidi="en-US"/>
          <w14:textFill>
            <w14:solidFill>
              <w14:schemeClr w14:val="tx1"/>
            </w14:solidFill>
          </w14:textFill>
        </w:rPr>
        <w:t>一期提标</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工程设计处理规模为10万吨/日，</w:t>
      </w:r>
      <w:r>
        <w:rPr>
          <w:rFonts w:hint="eastAsia" w:ascii="宋体" w:hAnsi="宋体" w:eastAsia="宋体" w:cs="宋体"/>
          <w:color w:val="000000" w:themeColor="text1"/>
          <w:kern w:val="0"/>
          <w:szCs w:val="21"/>
          <w:highlight w:val="none"/>
          <w:lang w:bidi="ar"/>
          <w14:textFill>
            <w14:solidFill>
              <w14:schemeClr w14:val="tx1"/>
            </w14:solidFill>
          </w14:textFill>
        </w:rPr>
        <w:t>污水处理</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工艺</w:t>
      </w:r>
      <w:r>
        <w:rPr>
          <w:rFonts w:hint="eastAsia" w:ascii="宋体" w:hAnsi="宋体" w:eastAsia="宋体" w:cs="宋体"/>
          <w:color w:val="000000" w:themeColor="text1"/>
          <w:kern w:val="0"/>
          <w:szCs w:val="21"/>
          <w:highlight w:val="none"/>
          <w:lang w:bidi="ar"/>
          <w14:textFill>
            <w14:solidFill>
              <w14:schemeClr w14:val="tx1"/>
            </w14:solidFill>
          </w14:textFill>
        </w:rPr>
        <w:t>为“</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MBR膜池</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紫外</w:t>
      </w:r>
      <w:r>
        <w:rPr>
          <w:rFonts w:hint="eastAsia" w:ascii="宋体" w:hAnsi="宋体" w:eastAsia="宋体" w:cs="宋体"/>
          <w:color w:val="000000" w:themeColor="text1"/>
          <w:kern w:val="0"/>
          <w:szCs w:val="21"/>
          <w:highlight w:val="none"/>
          <w:lang w:bidi="ar"/>
          <w14:textFill>
            <w14:solidFill>
              <w14:schemeClr w14:val="tx1"/>
            </w14:solidFill>
          </w14:textFill>
        </w:rPr>
        <w:t>消毒</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池</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出水</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lang w:eastAsia="zh-CN" w:bidi="ar"/>
          <w14:textFill>
            <w14:solidFill>
              <w14:schemeClr w14:val="tx1"/>
            </w14:solidFill>
          </w14:textFill>
        </w:rPr>
        <w:t>，</w:t>
      </w:r>
      <w:r>
        <w:rPr>
          <w:rFonts w:hint="eastAsia" w:ascii="宋体" w:hAnsi="宋体" w:eastAsia="宋体" w:cs="宋体"/>
          <w:color w:val="000000" w:themeColor="text1"/>
          <w:szCs w:val="24"/>
          <w:highlight w:val="none"/>
          <w:lang w:val="en-US" w:eastAsia="zh-CN"/>
          <w14:textFill>
            <w14:solidFill>
              <w14:schemeClr w14:val="tx1"/>
            </w14:solidFill>
          </w14:textFill>
        </w:rPr>
        <w:t>构筑物</w:t>
      </w:r>
      <w:r>
        <w:rPr>
          <w:rFonts w:hint="eastAsia" w:ascii="宋体" w:hAnsi="宋体" w:eastAsia="宋体" w:cs="宋体"/>
          <w:color w:val="000000" w:themeColor="text1"/>
          <w:szCs w:val="24"/>
          <w:highlight w:val="none"/>
          <w14:textFill>
            <w14:solidFill>
              <w14:schemeClr w14:val="tx1"/>
            </w14:solidFill>
          </w14:textFill>
        </w:rPr>
        <w:t>池面及建筑物屋顶</w:t>
      </w:r>
      <w:r>
        <w:rPr>
          <w:rFonts w:hint="eastAsia" w:ascii="宋体" w:hAnsi="宋体" w:eastAsia="宋体" w:cs="宋体"/>
          <w:color w:val="000000" w:themeColor="text1"/>
          <w:szCs w:val="24"/>
          <w:highlight w:val="none"/>
          <w:lang w:val="en-US" w:eastAsia="zh-CN"/>
          <w14:textFill>
            <w14:solidFill>
              <w14:schemeClr w14:val="tx1"/>
            </w14:solidFill>
          </w14:textFill>
        </w:rPr>
        <w:t>可利用设置光伏区</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面积约为26721平方米，</w:t>
      </w:r>
      <w:r>
        <w:rPr>
          <w:rFonts w:hint="eastAsia" w:ascii="宋体" w:hAnsi="宋体" w:eastAsia="宋体" w:cs="宋体"/>
          <w:color w:val="000000" w:themeColor="text1"/>
          <w:sz w:val="21"/>
          <w:szCs w:val="21"/>
          <w:highlight w:val="none"/>
          <w:lang w:bidi="en-US"/>
          <w14:textFill>
            <w14:solidFill>
              <w14:schemeClr w14:val="tx1"/>
            </w14:solidFill>
          </w14:textFill>
        </w:rPr>
        <w:t>虎门宁洲污水处理厂二期</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配电房设有2台1250kVA变压器，一期提标工程配电房设有2台800kVA变压器</w:t>
      </w:r>
      <w:r>
        <w:rPr>
          <w:rFonts w:hint="eastAsia" w:ascii="宋体" w:hAnsi="宋体" w:eastAsia="宋体" w:cs="宋体"/>
          <w:color w:val="000000" w:themeColor="text1"/>
          <w:sz w:val="21"/>
          <w:szCs w:val="21"/>
          <w:highlight w:val="none"/>
          <w:lang w:bidi="en-US"/>
          <w14:textFill>
            <w14:solidFill>
              <w14:schemeClr w14:val="tx1"/>
            </w14:solidFill>
          </w14:textFill>
        </w:rPr>
        <w:t>。</w:t>
      </w:r>
    </w:p>
    <w:p w14:paraId="7EAB037D">
      <w:pPr>
        <w:pageBreakBefore w:val="0"/>
        <w:kinsoku/>
        <w:wordWrap/>
        <w:overflowPunct/>
        <w:topLinePunct w:val="0"/>
        <w:bidi w:val="0"/>
        <w:spacing w:line="400" w:lineRule="exact"/>
        <w:ind w:left="0" w:leftChars="0" w:firstLine="422" w:firstLineChars="200"/>
        <w:outlineLvl w:val="2"/>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bookmarkStart w:id="383" w:name="_Toc29140"/>
      <w:r>
        <w:rPr>
          <w:rFonts w:ascii="Times New Roman" w:hAnsi="Times New Roman" w:eastAsia="宋体" w:cs="Times New Roman"/>
          <w:b/>
          <w:color w:val="000000" w:themeColor="text1"/>
          <w:sz w:val="21"/>
          <w:szCs w:val="21"/>
          <w:highlight w:val="none"/>
          <w14:textFill>
            <w14:solidFill>
              <w14:schemeClr w14:val="tx1"/>
            </w14:solidFill>
          </w14:textFill>
        </w:rPr>
        <w:t xml:space="preserve">2.4 </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实施范围</w:t>
      </w:r>
      <w:bookmarkEnd w:id="383"/>
    </w:p>
    <w:p w14:paraId="3A90E929">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本次采购项目建设内容为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东城温塘污水处理厂一期和</w:t>
      </w:r>
      <w:r>
        <w:rPr>
          <w:rFonts w:hint="eastAsia" w:ascii="宋体" w:hAnsi="宋体" w:eastAsia="宋体" w:cs="宋体"/>
          <w:color w:val="000000" w:themeColor="text1"/>
          <w:sz w:val="21"/>
          <w:szCs w:val="21"/>
          <w:highlight w:val="none"/>
          <w:lang w:bidi="en-US"/>
          <w14:textFill>
            <w14:solidFill>
              <w14:schemeClr w14:val="tx1"/>
            </w14:solidFill>
          </w14:textFill>
        </w:rPr>
        <w:t>虎门宁洲污水处理厂二期及一期提标</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的光伏发电工程</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以下分别简称“东城工程、虎门工程”</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，包括但不限于光伏组件、支架及基础、逆变器、</w:t>
      </w:r>
      <w:r>
        <w:rPr>
          <w:rFonts w:hint="default" w:ascii="Times New Roman" w:hAnsi="Times New Roman" w:eastAsia="宋体" w:cs="Times New Roman"/>
          <w:color w:val="000000" w:themeColor="text1"/>
          <w:szCs w:val="21"/>
          <w:highlight w:val="none"/>
          <w:lang w:bidi="en-US"/>
          <w14:textFill>
            <w14:solidFill>
              <w14:schemeClr w14:val="tx1"/>
            </w14:solidFill>
          </w14:textFill>
        </w:rPr>
        <w:t>升压箱式变电站</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、电缆、终端等设施设备，及消防、给排水、安全等配套设施，及</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改造接入光伏系统的高低压房</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新建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中控室等工程。</w:t>
      </w:r>
    </w:p>
    <w:p w14:paraId="01A8B0CF">
      <w:pPr>
        <w:pageBreakBefore w:val="0"/>
        <w:kinsoku/>
        <w:wordWrap/>
        <w:overflowPunct/>
        <w:topLinePunct w:val="0"/>
        <w:bidi w:val="0"/>
        <w:spacing w:line="400" w:lineRule="exact"/>
        <w:ind w:left="0" w:leftChars="0" w:firstLine="422" w:firstLineChars="200"/>
        <w:outlineLvl w:val="2"/>
        <w:rPr>
          <w:rFonts w:hint="default" w:ascii="Times New Roman" w:hAnsi="Times New Roman" w:eastAsia="宋体" w:cs="Times New Roman"/>
          <w:b/>
          <w:color w:val="000000" w:themeColor="text1"/>
          <w:sz w:val="21"/>
          <w:szCs w:val="21"/>
          <w:highlight w:val="none"/>
          <w14:textFill>
            <w14:solidFill>
              <w14:schemeClr w14:val="tx1"/>
            </w14:solidFill>
          </w14:textFill>
        </w:rPr>
      </w:pPr>
      <w:bookmarkStart w:id="384" w:name="_Toc10687"/>
      <w:r>
        <w:rPr>
          <w:rFonts w:ascii="Times New Roman" w:hAnsi="Times New Roman" w:eastAsia="宋体" w:cs="Times New Roman"/>
          <w:b/>
          <w:color w:val="000000" w:themeColor="text1"/>
          <w:sz w:val="21"/>
          <w:szCs w:val="21"/>
          <w:highlight w:val="none"/>
          <w14:textFill>
            <w14:solidFill>
              <w14:schemeClr w14:val="tx1"/>
            </w14:solidFill>
          </w14:textFill>
        </w:rPr>
        <w:t xml:space="preserve">2.5 </w:t>
      </w:r>
      <w:r>
        <w:rPr>
          <w:rFonts w:hint="default" w:ascii="Times New Roman" w:hAnsi="Times New Roman" w:eastAsia="宋体" w:cs="Times New Roman"/>
          <w:b/>
          <w:color w:val="000000" w:themeColor="text1"/>
          <w:sz w:val="21"/>
          <w:szCs w:val="21"/>
          <w:highlight w:val="none"/>
          <w14:textFill>
            <w14:solidFill>
              <w14:schemeClr w14:val="tx1"/>
            </w14:solidFill>
          </w14:textFill>
        </w:rPr>
        <w:t>采购服务内容</w:t>
      </w:r>
      <w:bookmarkEnd w:id="384"/>
    </w:p>
    <w:p w14:paraId="3869583B">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东城工程、虎门工程涉及</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所有手续办理（电网接入手续、项目相关验收文件/证件/报告等）、工程勘测</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建构筑物鉴定、施工图</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设计、设备和材料的采购供应</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含运输、到场检验、污水厂内保管</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、建筑及安装工程施工（含设备基础）、项目管理、调试、</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并网、</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验收、培训、移交生产、性能质量保证、工程质量保修</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服务</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、项目服务期内全生命周期软硬件维护服务、</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运维管理</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等内容。主要工作内容如下：</w:t>
      </w:r>
    </w:p>
    <w:p w14:paraId="5C7A1A95">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（1）现场物探及检测鉴定</w:t>
      </w:r>
    </w:p>
    <w:p w14:paraId="67E42AFF">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开始施工图设计前，</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必须</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开展施工现场摸查及管线探测工作</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并</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委托第三方具备资质单位</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出具物探报告</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，以合理确定光伏板支架基础位置及埋地电缆位置；</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且必须</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委托第三方具备资质单位</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鉴定污水处理厂现状建构筑物的承载能力</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并出具</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建构筑物</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承载力检测报告</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包括但不限于</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布置</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光伏支架的建构筑物（支架与建构筑物发生连接关系）</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并且在建成后、</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并网</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验收前</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委托第三方具备资质单位</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对布置光伏支架的</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建构筑物</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进行安全（含防水性能）鉴定，并出具</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建构筑物</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安全鉴定报告。</w:t>
      </w:r>
    </w:p>
    <w:p w14:paraId="792B6F2A">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（2）施工图设计</w:t>
      </w:r>
    </w:p>
    <w:p w14:paraId="0957955C">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应基于污水处理厂竣工图</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可利用设置光伏区的区域</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物探报告、承载力检测报告等资料</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开展本项目分布式光伏电站至并网点的全部工程施工图设计深化、预算编制及竣工图编制工作，包括但不限于光伏组件阵列设计、光伏组件支架及基础（混凝土屋面、彩钢瓦轻钢屋面、光伏车棚、露天水池上方柔性或刚性支架）设计、逆变器选型及布置设计、连接电缆设计、并网接入</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系统</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设计</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远程红外抄表管理系统设计、</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视频监控及</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中控室</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设计等。最终施工图设计以通过第三方</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具备资质审图</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单位审查</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及</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招标人审核同意</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的</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为准</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w:t>
      </w:r>
    </w:p>
    <w:p w14:paraId="47D3AF07">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（3）采购</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施工</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至调试并网</w:t>
      </w:r>
    </w:p>
    <w:p w14:paraId="6E501381">
      <w:pPr>
        <w:pageBreakBefore w:val="0"/>
        <w:kinsoku/>
        <w:wordWrap/>
        <w:overflowPunct/>
        <w:topLinePunct w:val="0"/>
        <w:bidi w:val="0"/>
        <w:spacing w:line="400" w:lineRule="exact"/>
        <w:ind w:left="0" w:leftChars="0" w:firstLine="420" w:firstLineChars="200"/>
        <w:rPr>
          <w:rFonts w:ascii="Times New Roman" w:hAnsi="Times New Roman" w:eastAsia="宋体" w:cs="Times New Roman"/>
          <w:strike w:val="0"/>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strike w:val="0"/>
          <w:color w:val="000000" w:themeColor="text1"/>
          <w:sz w:val="21"/>
          <w:szCs w:val="21"/>
          <w:highlight w:val="none"/>
          <w:lang w:bidi="en-US"/>
          <w14:textFill>
            <w14:solidFill>
              <w14:schemeClr w14:val="tx1"/>
            </w14:solidFill>
          </w14:textFill>
        </w:rPr>
        <w:t>包括</w:t>
      </w:r>
      <w:r>
        <w:rPr>
          <w:rFonts w:hint="default" w:ascii="Times New Roman" w:hAnsi="Times New Roman" w:eastAsia="宋体" w:cs="Times New Roman"/>
          <w:strike w:val="0"/>
          <w:color w:val="000000" w:themeColor="text1"/>
          <w:sz w:val="21"/>
          <w:szCs w:val="21"/>
          <w:highlight w:val="none"/>
          <w:lang w:val="en-US" w:eastAsia="zh-CN" w:bidi="en-US"/>
          <w14:textFill>
            <w14:solidFill>
              <w14:schemeClr w14:val="tx1"/>
            </w14:solidFill>
          </w14:textFill>
        </w:rPr>
        <w:t>但不限于所有</w:t>
      </w:r>
      <w:r>
        <w:rPr>
          <w:rFonts w:hint="default" w:ascii="Times New Roman" w:hAnsi="Times New Roman" w:eastAsia="宋体" w:cs="Times New Roman"/>
          <w:strike w:val="0"/>
          <w:color w:val="000000" w:themeColor="text1"/>
          <w:sz w:val="21"/>
          <w:szCs w:val="21"/>
          <w:highlight w:val="none"/>
          <w:lang w:bidi="en-US"/>
          <w14:textFill>
            <w14:solidFill>
              <w14:schemeClr w14:val="tx1"/>
            </w14:solidFill>
          </w14:textFill>
        </w:rPr>
        <w:t>设备及材料等采购（含运输到现场、到场检验、到货验收等）、施工</w:t>
      </w:r>
      <w:r>
        <w:rPr>
          <w:rFonts w:hint="default" w:ascii="Times New Roman" w:hAnsi="Times New Roman" w:eastAsia="宋体" w:cs="Times New Roman"/>
          <w:strike w:val="0"/>
          <w:color w:val="000000" w:themeColor="text1"/>
          <w:sz w:val="21"/>
          <w:szCs w:val="21"/>
          <w:highlight w:val="none"/>
          <w:lang w:val="en-US" w:eastAsia="zh-CN" w:bidi="en-US"/>
          <w14:textFill>
            <w14:solidFill>
              <w14:schemeClr w14:val="tx1"/>
            </w14:solidFill>
          </w14:textFill>
        </w:rPr>
        <w:t>及</w:t>
      </w:r>
      <w:r>
        <w:rPr>
          <w:rFonts w:hint="default" w:ascii="Times New Roman" w:hAnsi="Times New Roman" w:eastAsia="宋体" w:cs="Times New Roman"/>
          <w:strike w:val="0"/>
          <w:color w:val="000000" w:themeColor="text1"/>
          <w:sz w:val="21"/>
          <w:szCs w:val="21"/>
          <w:highlight w:val="none"/>
          <w:lang w:bidi="en-US"/>
          <w14:textFill>
            <w14:solidFill>
              <w14:schemeClr w14:val="tx1"/>
            </w14:solidFill>
          </w14:textFill>
        </w:rPr>
        <w:t>安装、调试、并网通电及验收</w:t>
      </w:r>
      <w:r>
        <w:rPr>
          <w:rFonts w:hint="default" w:ascii="Times New Roman" w:hAnsi="Times New Roman" w:eastAsia="宋体" w:cs="Times New Roman"/>
          <w:strike w:val="0"/>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strike w:val="0"/>
          <w:color w:val="000000" w:themeColor="text1"/>
          <w:sz w:val="21"/>
          <w:szCs w:val="21"/>
          <w:highlight w:val="none"/>
          <w:lang w:val="en-US" w:eastAsia="zh-CN" w:bidi="en-US"/>
          <w14:textFill>
            <w14:solidFill>
              <w14:schemeClr w14:val="tx1"/>
            </w14:solidFill>
          </w14:textFill>
        </w:rPr>
        <w:t>培训</w:t>
      </w:r>
      <w:r>
        <w:rPr>
          <w:rFonts w:hint="default" w:ascii="Times New Roman" w:hAnsi="Times New Roman" w:eastAsia="宋体" w:cs="Times New Roman"/>
          <w:strike w:val="0"/>
          <w:color w:val="000000" w:themeColor="text1"/>
          <w:sz w:val="21"/>
          <w:szCs w:val="21"/>
          <w:highlight w:val="none"/>
          <w:lang w:bidi="en-US"/>
          <w14:textFill>
            <w14:solidFill>
              <w14:schemeClr w14:val="tx1"/>
            </w14:solidFill>
          </w14:textFill>
        </w:rPr>
        <w:t>等。</w:t>
      </w:r>
    </w:p>
    <w:p w14:paraId="5A0D98DA">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本项目设备采购包括但不限于</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高效</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单晶光伏组件、</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光伏支架、</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逆变器、汇流箱、</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通讯柜、电缆、电缆头、</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一次预制舱、二次预制舱、环境监测仪等光伏发电设备</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及材料</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接地相关设备和材料</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远程红外抄表管理系统、</w:t>
      </w:r>
      <w:r>
        <w:rPr>
          <w:rFonts w:hint="default" w:ascii="Times New Roman" w:hAnsi="Times New Roman" w:eastAsia="宋体" w:cs="Times New Roman"/>
          <w:color w:val="000000" w:themeColor="text1"/>
          <w:sz w:val="21"/>
          <w:szCs w:val="21"/>
          <w:highlight w:val="none"/>
          <w14:textFill>
            <w14:solidFill>
              <w14:schemeClr w14:val="tx1"/>
            </w14:solidFill>
          </w14:textFill>
        </w:rPr>
        <w:t>视频监控及站区采集数据所需的相关设备、电缆、防雷接地；</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并</w:t>
      </w:r>
      <w:r>
        <w:rPr>
          <w:rFonts w:hint="default" w:ascii="Times New Roman" w:hAnsi="Times New Roman" w:eastAsia="宋体" w:cs="Times New Roman"/>
          <w:color w:val="000000" w:themeColor="text1"/>
          <w:sz w:val="21"/>
          <w:szCs w:val="21"/>
          <w:highlight w:val="none"/>
          <w14:textFill>
            <w14:solidFill>
              <w14:schemeClr w14:val="tx1"/>
            </w14:solidFill>
          </w14:textFill>
        </w:rPr>
        <w:t>承担本项目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服务期内</w:t>
      </w:r>
      <w:r>
        <w:rPr>
          <w:rFonts w:hint="default" w:ascii="Times New Roman" w:hAnsi="Times New Roman" w:eastAsia="宋体" w:cs="Times New Roman"/>
          <w:color w:val="000000" w:themeColor="text1"/>
          <w:sz w:val="21"/>
          <w:szCs w:val="21"/>
          <w:highlight w:val="none"/>
          <w14:textFill>
            <w14:solidFill>
              <w14:schemeClr w14:val="tx1"/>
            </w14:solidFill>
          </w14:textFill>
        </w:rPr>
        <w:t>所有设备质保的相关工作及费用。</w:t>
      </w:r>
    </w:p>
    <w:p w14:paraId="5EAD21AB">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本项目施工</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14:textFill>
            <w14:solidFill>
              <w14:schemeClr w14:val="tx1"/>
            </w14:solidFill>
          </w14:textFill>
        </w:rPr>
        <w:t>包括</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但不限于</w:t>
      </w:r>
      <w:r>
        <w:rPr>
          <w:rFonts w:hint="default" w:ascii="Times New Roman" w:hAnsi="Times New Roman" w:eastAsia="宋体" w:cs="Times New Roman"/>
          <w:color w:val="000000" w:themeColor="text1"/>
          <w:sz w:val="21"/>
          <w:szCs w:val="21"/>
          <w:highlight w:val="none"/>
          <w14:textFill>
            <w14:solidFill>
              <w14:schemeClr w14:val="tx1"/>
            </w14:solidFill>
          </w14:textFill>
        </w:rPr>
        <w:t>光伏支架基础施工</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电缆施工</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管线及路灯迁移、</w:t>
      </w:r>
      <w:r>
        <w:rPr>
          <w:rFonts w:hint="default" w:ascii="Times New Roman" w:hAnsi="Times New Roman" w:eastAsia="宋体" w:cs="Times New Roman"/>
          <w:color w:val="000000" w:themeColor="text1"/>
          <w:sz w:val="21"/>
          <w:szCs w:val="21"/>
          <w:highlight w:val="none"/>
          <w14:textFill>
            <w14:solidFill>
              <w14:schemeClr w14:val="tx1"/>
            </w14:solidFill>
          </w14:textFill>
        </w:rPr>
        <w:t>绿化移栽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绿化及路面恢复</w:t>
      </w:r>
      <w:r>
        <w:rPr>
          <w:rFonts w:hint="default" w:ascii="Times New Roman" w:hAnsi="Times New Roman" w:eastAsia="宋体" w:cs="Times New Roman"/>
          <w:color w:val="000000" w:themeColor="text1"/>
          <w:sz w:val="21"/>
          <w:szCs w:val="21"/>
          <w:highlight w:val="none"/>
          <w14:textFill>
            <w14:solidFill>
              <w14:schemeClr w14:val="tx1"/>
            </w14:solidFill>
          </w14:textFill>
        </w:rPr>
        <w:t>等全部土建工程。</w:t>
      </w:r>
    </w:p>
    <w:p w14:paraId="2C56403F">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本项目安装</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包括但不限于光伏组件、</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光伏</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支架、逆变器、</w:t>
      </w:r>
      <w:r>
        <w:rPr>
          <w:rFonts w:hint="default" w:ascii="Times New Roman" w:hAnsi="Times New Roman" w:eastAsia="宋体" w:cs="Times New Roman"/>
          <w:color w:val="000000" w:themeColor="text1"/>
          <w:sz w:val="21"/>
          <w:szCs w:val="21"/>
          <w:highlight w:val="none"/>
          <w14:textFill>
            <w14:solidFill>
              <w14:schemeClr w14:val="tx1"/>
            </w14:solidFill>
          </w14:textFill>
        </w:rPr>
        <w:t>并网柜</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汇流箱</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通讯柜</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电缆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接地</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升压变、电站监控</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视频监控、</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中控室</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等所有设备及材料的</w:t>
      </w:r>
      <w:r>
        <w:rPr>
          <w:rFonts w:hint="default" w:ascii="Times New Roman" w:hAnsi="Times New Roman" w:eastAsia="宋体" w:cs="Times New Roman"/>
          <w:color w:val="000000" w:themeColor="text1"/>
          <w:sz w:val="21"/>
          <w:szCs w:val="21"/>
          <w:highlight w:val="none"/>
          <w14:textFill>
            <w14:solidFill>
              <w14:schemeClr w14:val="tx1"/>
            </w14:solidFill>
          </w14:textFill>
        </w:rPr>
        <w:t>采购、</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到场检验、到货验收</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安装、调试、运输、保险、接车、卸车、仓储保管、试运行、消缺处理的全部工作。</w:t>
      </w:r>
    </w:p>
    <w:p w14:paraId="33B50D95">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其他相关服务，包括本项目涉及</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备案</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登记</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并网手续办理、</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人员</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培训、后期运维以及</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在服务期</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内的消缺等全过程的工作。</w:t>
      </w:r>
    </w:p>
    <w:p w14:paraId="2E86DE16">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（4）运营维护</w:t>
      </w:r>
    </w:p>
    <w:p w14:paraId="7ACC51AA">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本项目运营维护期限拟定为</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25</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年，实际服务开始时间以并网</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验收通过</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之日起计算。运营维护主要</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包括</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光伏发电站的日常维护</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定期检修、故障处理及年度检修</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等</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，以保持设备的良好状态，确保设备安全、稳定、经济运行。具体包含但不限于对光伏发电设备定期进行巡视检查、保养、光伏组件清洗及消除设备的各种缺陷、临时抢修、设备的综合管理。</w:t>
      </w:r>
    </w:p>
    <w:p w14:paraId="1C85D879">
      <w:pPr>
        <w:pageBreakBefore w:val="0"/>
        <w:numPr>
          <w:ilvl w:val="0"/>
          <w:numId w:val="0"/>
        </w:numPr>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Cs w:val="21"/>
          <w:highlight w:val="none"/>
          <w14:textFill>
            <w14:solidFill>
              <w14:schemeClr w14:val="tx1"/>
            </w14:solidFill>
          </w14:textFill>
        </w:rPr>
        <w:t>应</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在施工图</w:t>
      </w:r>
      <w:r>
        <w:rPr>
          <w:rFonts w:hint="default" w:ascii="Times New Roman" w:hAnsi="Times New Roman" w:eastAsia="宋体" w:cs="Times New Roman"/>
          <w:color w:val="000000" w:themeColor="text1"/>
          <w:szCs w:val="21"/>
          <w:highlight w:val="none"/>
          <w14:textFill>
            <w14:solidFill>
              <w14:schemeClr w14:val="tx1"/>
            </w14:solidFill>
          </w14:textFill>
        </w:rPr>
        <w:t>设计</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通过第三方</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具备资质审图</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单位审查</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及招标人审核同意后才能开展施工工程</w:t>
      </w:r>
      <w:r>
        <w:rPr>
          <w:rFonts w:hint="default" w:ascii="Times New Roman" w:hAnsi="Times New Roman" w:eastAsia="宋体" w:cs="Times New Roman"/>
          <w:color w:val="000000" w:themeColor="text1"/>
          <w:szCs w:val="21"/>
          <w:highlight w:val="none"/>
          <w14:textFill>
            <w14:solidFill>
              <w14:schemeClr w14:val="tx1"/>
            </w14:solidFill>
          </w14:textFill>
        </w:rPr>
        <w:t>。</w:t>
      </w:r>
    </w:p>
    <w:p w14:paraId="6A00F419">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385" w:name="_Toc6347"/>
      <w:r>
        <w:rPr>
          <w:rFonts w:ascii="Times New Roman" w:hAnsi="Times New Roman" w:eastAsia="宋体" w:cs="Times New Roman"/>
          <w:b/>
          <w:color w:val="000000" w:themeColor="text1"/>
          <w:sz w:val="21"/>
          <w:szCs w:val="21"/>
          <w:highlight w:val="none"/>
          <w14:textFill>
            <w14:solidFill>
              <w14:schemeClr w14:val="tx1"/>
            </w14:solidFill>
          </w14:textFill>
        </w:rPr>
        <w:t>2.</w:t>
      </w: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6 </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建设</w:t>
      </w:r>
      <w:r>
        <w:rPr>
          <w:rFonts w:hint="default" w:ascii="Times New Roman" w:hAnsi="Times New Roman" w:eastAsia="宋体" w:cs="Times New Roman"/>
          <w:b/>
          <w:color w:val="000000" w:themeColor="text1"/>
          <w:sz w:val="21"/>
          <w:szCs w:val="21"/>
          <w:highlight w:val="none"/>
          <w14:textFill>
            <w14:solidFill>
              <w14:schemeClr w14:val="tx1"/>
            </w14:solidFill>
          </w14:textFill>
        </w:rPr>
        <w:t>期限</w:t>
      </w:r>
      <w:bookmarkEnd w:id="385"/>
    </w:p>
    <w:p w14:paraId="490EF218">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项目</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建设</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期限</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180</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日</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sz w:val="21"/>
          <w:szCs w:val="21"/>
          <w:highlight w:val="none"/>
          <w14:textFill>
            <w14:solidFill>
              <w14:schemeClr w14:val="tx1"/>
            </w14:solidFill>
          </w14:textFill>
        </w:rPr>
        <w:t>招标人书面通知之日</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起算。</w:t>
      </w:r>
    </w:p>
    <w:p w14:paraId="61D5CB96">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386" w:name="_Toc24235"/>
      <w:r>
        <w:rPr>
          <w:rFonts w:ascii="Times New Roman" w:hAnsi="Times New Roman" w:eastAsia="宋体" w:cs="Times New Roman"/>
          <w:b/>
          <w:color w:val="000000" w:themeColor="text1"/>
          <w:sz w:val="21"/>
          <w:szCs w:val="21"/>
          <w:highlight w:val="none"/>
          <w14:textFill>
            <w14:solidFill>
              <w14:schemeClr w14:val="tx1"/>
            </w14:solidFill>
          </w14:textFill>
        </w:rPr>
        <w:t>2.</w:t>
      </w:r>
      <w:r>
        <w:rPr>
          <w:rFonts w:hint="default" w:ascii="Times New Roman" w:hAnsi="Times New Roman" w:eastAsia="宋体" w:cs="Times New Roman"/>
          <w:b/>
          <w:color w:val="000000" w:themeColor="text1"/>
          <w:sz w:val="21"/>
          <w:szCs w:val="21"/>
          <w:highlight w:val="none"/>
          <w14:textFill>
            <w14:solidFill>
              <w14:schemeClr w14:val="tx1"/>
            </w14:solidFill>
          </w14:textFill>
        </w:rPr>
        <w:t>7 项目</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服务</w:t>
      </w:r>
      <w:r>
        <w:rPr>
          <w:rFonts w:hint="default" w:ascii="Times New Roman" w:hAnsi="Times New Roman" w:eastAsia="宋体" w:cs="Times New Roman"/>
          <w:b/>
          <w:color w:val="000000" w:themeColor="text1"/>
          <w:sz w:val="21"/>
          <w:szCs w:val="21"/>
          <w:highlight w:val="none"/>
          <w14:textFill>
            <w14:solidFill>
              <w14:schemeClr w14:val="tx1"/>
            </w14:solidFill>
          </w14:textFill>
        </w:rPr>
        <w:t>期</w:t>
      </w:r>
      <w:bookmarkEnd w:id="386"/>
    </w:p>
    <w:p w14:paraId="7AA2987C">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本项目</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服务</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期为</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25</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年，自项目</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并网验收</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通过之日起算。</w:t>
      </w:r>
    </w:p>
    <w:p w14:paraId="2BC66F43">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lang w:bidi="en-US"/>
          <w14:textFill>
            <w14:solidFill>
              <w14:schemeClr w14:val="tx1"/>
            </w14:solidFill>
          </w14:textFill>
        </w:rPr>
        <w:t>东城温塘污水处理厂一期工程、虎门宁洲污水处理厂二期及一期提标工程建设用地均已办理不动产权证，权利人为本项目招标人，土地用途为公共设施用地（U41雨水、污水处理用地），污水处理厂用地红线范围内相关建（构）筑物等资产所有权属于招标人，其中东城温塘污水处理厂一期工程建设用地属于国有土地使用权划拨，未对土地使用期限进行约定，虎门宁洲污水处理厂二期及一期提标工程建设用地使用期限至2072年11月15日，招标人当前污水处理经营权剩余年限约为19年。中标人应充分理解并接受：本项目存在因污水处理厂经营权期满后招标人停止运营污水处理厂，导致中标人最终服务期可能不足25年的风险，如发生上述情况导致本项目服务期提前终止，招标人作为产权所有人同意中标人在原有建设用地上继续进行光伏项目运营至原服务期结束。招标人已就上述风险情况向中标人进行了充分告知，中标人对此表示完全理解并自愿承担相应风险。</w:t>
      </w:r>
    </w:p>
    <w:p w14:paraId="318F27F8">
      <w:pPr>
        <w:pageBreakBefore w:val="0"/>
        <w:kinsoku/>
        <w:wordWrap/>
        <w:overflowPunct/>
        <w:topLinePunct w:val="0"/>
        <w:bidi w:val="0"/>
        <w:spacing w:line="400" w:lineRule="exact"/>
        <w:ind w:left="0" w:leftChars="0" w:firstLine="420" w:firstLineChars="200"/>
        <w:outlineLvl w:val="2"/>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t>如因招标人其他原因或国家、省及东莞市政策规定等因素导致光伏发电项目服务期提前终止，招标人优先采用提供同等面积场地的方式完成光伏项目运营至剩余服务期结束，光伏设备的迁移相关费用由中标人承担。如招标人无法提供新场地，由招标人按以下原则予以补偿：本项目中标综合单价下浮6%或国家规定的分布式光伏项目上网电价（按低价者选取），乘以剩余服务期年限对应的理论发电量，其中理论发电量按服务期终止前一年全年发电量作为基准发电量，剩余年限理论发电量以基准发电量按衰减率0.55%逐年递减计算。</w:t>
      </w:r>
      <w:r>
        <w:rPr>
          <w:rFonts w:hint="eastAsia" w:ascii="Times New Roman" w:hAnsi="Times New Roman" w:eastAsia="宋体" w:cs="Times New Roman"/>
          <w:b w:val="0"/>
          <w:bCs/>
          <w:color w:val="000000" w:themeColor="text1"/>
          <w:sz w:val="21"/>
          <w:szCs w:val="21"/>
          <w:highlight w:val="none"/>
          <w:u w:val="none"/>
          <w:lang w:eastAsia="zh-CN"/>
          <w14:textFill>
            <w14:solidFill>
              <w14:schemeClr w14:val="tx1"/>
            </w14:solidFill>
          </w14:textFill>
        </w:rPr>
        <w:t>补</w:t>
      </w:r>
      <w:r>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t>偿费用按剩余服务年限逐年支付或按合同服务期提前终止当年最近一期全国银行间同业拆借中心发布的适用于人民币贷款的五年期以上贷款市场报价利率（LPR）计算每一年资金成本后的现值一次性支付。</w:t>
      </w:r>
    </w:p>
    <w:p w14:paraId="6E2B59A3">
      <w:pPr>
        <w:pageBreakBefore w:val="0"/>
        <w:kinsoku/>
        <w:wordWrap/>
        <w:overflowPunct/>
        <w:topLinePunct w:val="0"/>
        <w:bidi w:val="0"/>
        <w:spacing w:line="400" w:lineRule="exact"/>
        <w:ind w:left="0" w:leftChars="0" w:firstLine="420" w:firstLineChars="200"/>
        <w:outlineLvl w:val="2"/>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t>一次性支付计算公式如下：</w:t>
      </w:r>
    </w:p>
    <w:p w14:paraId="3996C385">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20" w:firstLineChars="200"/>
        <w:textAlignment w:val="auto"/>
        <w:outlineLvl w:val="2"/>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pPr>
      <w:r>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t>补</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偿</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费用</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w:t>
      </w:r>
      <w:r>
        <w:rPr>
          <w:rFonts w:hint="eastAsia" w:ascii="宋体" w:hAnsi="宋体" w:eastAsia="宋体" w:cs="宋体"/>
          <w:i w:val="0"/>
          <w:iCs w:val="0"/>
          <w:caps w:val="0"/>
          <w:color w:val="000000" w:themeColor="text1"/>
          <w:spacing w:val="6"/>
          <w:position w:val="-24"/>
          <w:sz w:val="21"/>
          <w:szCs w:val="21"/>
          <w:highlight w:val="none"/>
          <w:shd w:val="clear" w:fill="FFFFFF"/>
          <w:lang w:eastAsia="zh-CN"/>
          <w14:textFill>
            <w14:solidFill>
              <w14:schemeClr w14:val="tx1"/>
            </w14:solidFill>
          </w14:textFill>
        </w:rPr>
        <w:object>
          <v:shape id="_x0000_i1025" o:spt="75" type="#_x0000_t75" style="height:35.35pt;width:129.3pt;" o:ole="t" filled="f" o:preferrelative="t" stroked="f" coordsize="21600,21600">
            <v:path/>
            <v:fill on="f" focussize="0,0"/>
            <v:stroke on="f"/>
            <v:imagedata r:id="rId22" o:title=""/>
            <o:lock v:ext="edit" aspectratio="t"/>
            <w10:wrap type="none"/>
            <w10:anchorlock/>
          </v:shape>
          <o:OLEObject Type="Embed" ProgID="Equation.KSEE3" ShapeID="_x0000_i1025" DrawAspect="Content" ObjectID="_1468075725" r:id="rId21">
            <o:LockedField>false</o:LockedField>
          </o:OLEObject>
        </w:object>
      </w:r>
      <w:r>
        <w:rPr>
          <w:rFonts w:hint="eastAsia" w:ascii="宋体" w:hAnsi="宋体" w:eastAsia="宋体" w:cs="宋体"/>
          <w:i w:val="0"/>
          <w:iCs w:val="0"/>
          <w:caps w:val="0"/>
          <w:color w:val="000000" w:themeColor="text1"/>
          <w:spacing w:val="6"/>
          <w:sz w:val="21"/>
          <w:szCs w:val="21"/>
          <w:highlight w:val="none"/>
          <w:shd w:val="clear" w:fill="FFFFFF"/>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其中r为</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按合同</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服务期</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提前终止当年</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最近一期</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全国银行间同业拆借中心发布的适用于人民币贷款的五年期以上贷款市场报价利率</w:t>
      </w:r>
      <w:r>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t>（</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LPR</w:t>
      </w:r>
      <w:r>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t>）</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n为剩余服务</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期数</w:t>
      </w:r>
      <w:r>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t>。</w:t>
      </w:r>
    </w:p>
    <w:p w14:paraId="546EFD6D">
      <w:pPr>
        <w:pageBreakBefore w:val="0"/>
        <w:kinsoku/>
        <w:wordWrap/>
        <w:overflowPunct/>
        <w:topLinePunct w:val="0"/>
        <w:bidi w:val="0"/>
        <w:spacing w:line="400" w:lineRule="exact"/>
        <w:ind w:left="0" w:leftChars="0" w:firstLine="422" w:firstLineChars="200"/>
        <w:outlineLvl w:val="2"/>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pPr>
      <w:bookmarkStart w:id="387" w:name="_Toc4497"/>
      <w:r>
        <w:rPr>
          <w:rFonts w:ascii="Times New Roman" w:hAnsi="Times New Roman" w:eastAsia="宋体" w:cs="Times New Roman"/>
          <w:b/>
          <w:color w:val="000000" w:themeColor="text1"/>
          <w:sz w:val="21"/>
          <w:szCs w:val="21"/>
          <w:highlight w:val="none"/>
          <w14:textFill>
            <w14:solidFill>
              <w14:schemeClr w14:val="tx1"/>
            </w14:solidFill>
          </w14:textFill>
        </w:rPr>
        <w:t>2.</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场地交付</w:t>
      </w:r>
      <w:bookmarkEnd w:id="387"/>
    </w:p>
    <w:p w14:paraId="2E78DB5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自本合同生效之日起</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15</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个工作日内，</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中标人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拟进场进行电站建设施工前，</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中标人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聘请具备资质的第三方机构对项目场地现状进行勘察，同时</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中标人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对项目场地现状拍照取证留存。勘察后发现构筑物或屋顶存在明显破损或漏水情况或其他建筑存在安全隐患等问题的，</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由招标人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完成修补工作，费用由</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承担</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否则，电站建设、运营期间，项目场地发生破损、漏水等影响安全生产情况的，</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中标人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承担责任。</w:t>
      </w:r>
    </w:p>
    <w:p w14:paraId="5FC797A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项目场地交接时，</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招标人、中标人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双方的法定代表人或委托代理人应在交接单上签字，以示交付完毕。如</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将项目场地交付给</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中标人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时</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，中标人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勘察</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发现</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的隐患事项尚未解决</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在</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同意的条件下，双方可附条件交付项目场地。</w:t>
      </w:r>
    </w:p>
    <w:p w14:paraId="7F6A9378">
      <w:pPr>
        <w:spacing w:line="400" w:lineRule="exact"/>
        <w:ind w:firstLine="422" w:firstLineChars="200"/>
        <w:outlineLvl w:val="1"/>
        <w:rPr>
          <w:rFonts w:hint="default" w:ascii="Times New Roman" w:hAnsi="Times New Roman" w:eastAsia="宋体" w:cs="Times New Roman"/>
          <w:b/>
          <w:color w:val="000000" w:themeColor="text1"/>
          <w:sz w:val="21"/>
          <w:szCs w:val="21"/>
          <w:highlight w:val="none"/>
          <w14:textFill>
            <w14:solidFill>
              <w14:schemeClr w14:val="tx1"/>
            </w14:solidFill>
          </w14:textFill>
        </w:rPr>
      </w:pPr>
      <w:bookmarkStart w:id="388" w:name="_Toc23105"/>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3</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技术</w:t>
      </w:r>
      <w:r>
        <w:rPr>
          <w:rFonts w:hint="default" w:ascii="Times New Roman" w:hAnsi="Times New Roman" w:eastAsia="宋体" w:cs="Times New Roman"/>
          <w:b/>
          <w:color w:val="000000" w:themeColor="text1"/>
          <w:sz w:val="21"/>
          <w:szCs w:val="21"/>
          <w:highlight w:val="none"/>
          <w14:textFill>
            <w14:solidFill>
              <w14:schemeClr w14:val="tx1"/>
            </w14:solidFill>
          </w14:textFill>
        </w:rPr>
        <w:t>要求</w:t>
      </w:r>
      <w:bookmarkEnd w:id="388"/>
    </w:p>
    <w:p w14:paraId="5EC768B9">
      <w:pPr>
        <w:spacing w:line="400" w:lineRule="exact"/>
        <w:ind w:firstLine="422" w:firstLineChars="200"/>
        <w:rPr>
          <w:rFonts w:hint="default" w:ascii="Times New Roman" w:hAnsi="Times New Roman" w:eastAsia="宋体" w:cs="Times New Roman"/>
          <w:b/>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Cs w:val="21"/>
          <w:highlight w:val="none"/>
          <w:lang w:val="en-US" w:eastAsia="zh-CN"/>
          <w14:textFill>
            <w14:solidFill>
              <w14:schemeClr w14:val="tx1"/>
            </w14:solidFill>
          </w14:textFill>
        </w:rPr>
        <w:t>3.1 核心部件要求</w:t>
      </w:r>
    </w:p>
    <w:p w14:paraId="6B3EFE1A">
      <w:pPr>
        <w:spacing w:line="40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3.1.1</w:t>
      </w:r>
      <w:r>
        <w:rPr>
          <w:rFonts w:hint="default" w:ascii="Times New Roman" w:hAnsi="Times New Roman" w:eastAsia="宋体" w:cs="Times New Roman"/>
          <w:color w:val="000000" w:themeColor="text1"/>
          <w:szCs w:val="21"/>
          <w:highlight w:val="none"/>
          <w14:textFill>
            <w14:solidFill>
              <w14:schemeClr w14:val="tx1"/>
            </w14:solidFill>
          </w14:textFill>
        </w:rPr>
        <w:t>光伏组件主要参数和性能指标</w:t>
      </w:r>
    </w:p>
    <w:p w14:paraId="25ABDB0E">
      <w:pPr>
        <w:spacing w:line="40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本项目光伏发电系统采用高效单晶硅光伏组件</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光伏组件功率按第1年衰减不超过2%</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之后每年衰减不超过0.55%</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25年末组件累计衰减率不超过20%，组件及插拔件防护等级不低于IP66。</w:t>
      </w:r>
    </w:p>
    <w:p w14:paraId="526FA463">
      <w:pPr>
        <w:spacing w:line="40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 xml:space="preserve">3.1.2 </w:t>
      </w:r>
      <w:r>
        <w:rPr>
          <w:rFonts w:hint="default" w:ascii="Times New Roman" w:hAnsi="Times New Roman" w:eastAsia="宋体" w:cs="Times New Roman"/>
          <w:color w:val="000000" w:themeColor="text1"/>
          <w:szCs w:val="21"/>
          <w:highlight w:val="none"/>
          <w14:textFill>
            <w14:solidFill>
              <w14:schemeClr w14:val="tx1"/>
            </w14:solidFill>
          </w14:textFill>
        </w:rPr>
        <w:t>逆变器主要参数和性能指标</w:t>
      </w:r>
    </w:p>
    <w:p w14:paraId="1326611A">
      <w:pPr>
        <w:spacing w:line="40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逆变器选型时除应考虑具有过/欠电压、过/欠频率、防孤岛效应、短路保护、逆向功率保护等保护功能外，同时应考虑其电压</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电流</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总谐波畸变率满足国际规定要求，减少对电网的干扰。整个光伏系统采用若干组逆变器每个逆变器具有自动最大功率跟踪功能，并能够随着光伏组件接收的功率，以最经济的方式自动识别并投入运行。</w:t>
      </w:r>
    </w:p>
    <w:p w14:paraId="28795230">
      <w:pPr>
        <w:spacing w:line="40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逆变器采用组串式，逆变器的最大效率不低于98.6%，综合效率不低于98.1%，防护等级不低于IP66。</w:t>
      </w:r>
    </w:p>
    <w:p w14:paraId="0C5F6B3F">
      <w:pPr>
        <w:spacing w:line="40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 xml:space="preserve">3.1.3 </w:t>
      </w:r>
      <w:r>
        <w:rPr>
          <w:rFonts w:hint="default" w:ascii="Times New Roman" w:hAnsi="Times New Roman" w:eastAsia="宋体" w:cs="Times New Roman"/>
          <w:color w:val="000000" w:themeColor="text1"/>
          <w:szCs w:val="21"/>
          <w:highlight w:val="none"/>
          <w14:textFill>
            <w14:solidFill>
              <w14:schemeClr w14:val="tx1"/>
            </w14:solidFill>
          </w14:textFill>
        </w:rPr>
        <w:t>并网柜主要参数和性能指标</w:t>
      </w:r>
    </w:p>
    <w:p w14:paraId="745AE3B3">
      <w:pPr>
        <w:spacing w:line="40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光伏直流电源经过逆变为交流后汇流入变压器低压母排端</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并网柜装有电能质量监测装置。</w:t>
      </w:r>
    </w:p>
    <w:p w14:paraId="78F22AC0">
      <w:pPr>
        <w:spacing w:line="40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并网柜型采用固定开关柜，光伏进线断路器采用固定式塑壳断路器</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并网断路器采用抽出式塑壳断路器或框架断路器，按开关间隔独立分装且有机械联锁功能。柜体的防护室内等级为IP30，室外等级为IP65及以上，选用高强度钢组合结构，柜体采用全封闭结构，原则上屏应自然冷却。</w:t>
      </w:r>
    </w:p>
    <w:p w14:paraId="2697B3BE">
      <w:pPr>
        <w:spacing w:line="400" w:lineRule="exact"/>
        <w:ind w:firstLine="422" w:firstLineChars="200"/>
        <w:rPr>
          <w:rFonts w:hint="default" w:ascii="Times New Roman" w:hAnsi="Times New Roman" w:eastAsia="宋体" w:cs="Times New Roman"/>
          <w:b/>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Cs w:val="21"/>
          <w:highlight w:val="none"/>
          <w:lang w:val="en-US" w:eastAsia="zh-CN"/>
          <w14:textFill>
            <w14:solidFill>
              <w14:schemeClr w14:val="tx1"/>
            </w14:solidFill>
          </w14:textFill>
        </w:rPr>
        <w:t>3.2 辅助系统要求</w:t>
      </w:r>
    </w:p>
    <w:p w14:paraId="4341630D">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 xml:space="preserve">3.2.1 </w:t>
      </w:r>
      <w:r>
        <w:rPr>
          <w:rFonts w:hint="default" w:ascii="Times New Roman" w:hAnsi="Times New Roman" w:eastAsia="宋体" w:cs="Times New Roman"/>
          <w:bCs/>
          <w:color w:val="000000" w:themeColor="text1"/>
          <w:szCs w:val="21"/>
          <w:highlight w:val="none"/>
          <w14:textFill>
            <w14:solidFill>
              <w14:schemeClr w14:val="tx1"/>
            </w14:solidFill>
          </w14:textFill>
        </w:rPr>
        <w:t>消防设施</w:t>
      </w:r>
    </w:p>
    <w:p w14:paraId="24DB5529">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对于分布式光伏电站，必须根据情况进行实际分析，将屋顶区域进行合理划分，保证发生火灾时对建筑物原有设施造成的影响最小。相应的电气设施应配备便携式灭火器。</w:t>
      </w:r>
    </w:p>
    <w:p w14:paraId="68AA9B7C">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在设备选型时应充分考虑这一点，优先采用国家认定资质的检测认证机构认证的产品。应在电缆沟道内采用防火分隔和阻燃电缆作为应对电缆火灾的主要措施。</w:t>
      </w:r>
    </w:p>
    <w:p w14:paraId="0A0DE015">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3.2.2</w:t>
      </w:r>
      <w:r>
        <w:rPr>
          <w:rFonts w:hint="default" w:ascii="Times New Roman" w:hAnsi="Times New Roman" w:eastAsia="宋体" w:cs="Times New Roman"/>
          <w:bCs/>
          <w:color w:val="000000" w:themeColor="text1"/>
          <w:szCs w:val="21"/>
          <w:highlight w:val="none"/>
          <w14:textFill>
            <w14:solidFill>
              <w14:schemeClr w14:val="tx1"/>
            </w14:solidFill>
          </w14:textFill>
        </w:rPr>
        <w:t>防雷及接地措施</w:t>
      </w:r>
    </w:p>
    <w:p w14:paraId="726A22D8">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直击雷防护，屋顶安装的组件、支架和其他设备通过接地网的安装接至屋顶原有避雷带进行直击雷的防护。</w:t>
      </w:r>
    </w:p>
    <w:p w14:paraId="7DAD2E1E">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感应雷防护，逆变器、交流配电柜、光伏并网柜、通信设备等进线端口均装设氧化锌避雷器，防止雷电波入侵。</w:t>
      </w:r>
    </w:p>
    <w:p w14:paraId="3FE4D249">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光伏电站接地以建筑接地为主，室外设备以水平接地体为主，接地电阻小等于4欧姆。若接地电阻不满足要求，则辅以垂直接地体。</w:t>
      </w:r>
    </w:p>
    <w:p w14:paraId="6B3B6253">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设备外壳，光伏支架的接地与建筑避雷带进行可靠连接，连接点均多于2点，接地体材料均采用热镀锌处理。</w:t>
      </w:r>
    </w:p>
    <w:p w14:paraId="1A711F5D">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交流部分均设有专用保护接地线</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所有电气设备正常不带电金属外壳均可靠接地。</w:t>
      </w:r>
    </w:p>
    <w:p w14:paraId="02D8D0B7">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3.2.3</w:t>
      </w:r>
      <w:r>
        <w:rPr>
          <w:rFonts w:hint="default" w:ascii="Times New Roman" w:hAnsi="Times New Roman" w:eastAsia="宋体" w:cs="Times New Roman"/>
          <w:bCs/>
          <w:color w:val="000000" w:themeColor="text1"/>
          <w:szCs w:val="21"/>
          <w:highlight w:val="none"/>
          <w14:textFill>
            <w14:solidFill>
              <w14:schemeClr w14:val="tx1"/>
            </w14:solidFill>
          </w14:textFill>
        </w:rPr>
        <w:t>监控系统</w:t>
      </w:r>
    </w:p>
    <w:p w14:paraId="56B66F90">
      <w:pPr>
        <w:spacing w:line="400" w:lineRule="exact"/>
        <w:ind w:firstLineChars="200"/>
        <w:rPr>
          <w:rFonts w:hint="eastAsia"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本光伏发电系统应具备通过数据采集装置及监控软件系统实现对站内各通讯设备的监控。监测光伏阵列的电压、电流等直流侧运行参数</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监测电网的电压、频率、逆变器输出电流、功率、功率因数等交流侧运行参数</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p>
    <w:p w14:paraId="2F9EA455">
      <w:pPr>
        <w:spacing w:line="400" w:lineRule="exact"/>
        <w:ind w:firstLineChars="200"/>
        <w:rPr>
          <w:rFonts w:hint="eastAsia"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检测主要电气设备运行参数</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如逆变器运行参数</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p>
    <w:p w14:paraId="0CC6136C">
      <w:pPr>
        <w:spacing w:line="400" w:lineRule="exact"/>
        <w:ind w:firstLineChars="200"/>
        <w:rPr>
          <w:rFonts w:hint="eastAsia"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系统故障的自动保护功能</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记录并保存故障信息，并发报警信号</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p>
    <w:p w14:paraId="28149FBC">
      <w:pPr>
        <w:spacing w:line="400" w:lineRule="exact"/>
        <w:ind w:firstLineChars="200"/>
        <w:jc w:val="both"/>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本系统应包含能效管理平台，具体功能需经由</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招标人</w:t>
      </w:r>
      <w:r>
        <w:rPr>
          <w:rFonts w:hint="default" w:ascii="Times New Roman" w:hAnsi="Times New Roman" w:eastAsia="宋体" w:cs="Times New Roman"/>
          <w:bCs/>
          <w:color w:val="000000" w:themeColor="text1"/>
          <w:szCs w:val="21"/>
          <w:highlight w:val="none"/>
          <w14:textFill>
            <w14:solidFill>
              <w14:schemeClr w14:val="tx1"/>
            </w14:solidFill>
          </w14:textFill>
        </w:rPr>
        <w:t>确认，包括不限于报表功能</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形成格式报表方便查看及分析</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同时</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本期项目建立一套高效、稳定的光伏发电采集监测系统，对光伏发电状态实现动态监测。</w:t>
      </w:r>
    </w:p>
    <w:p w14:paraId="52E9A105">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 xml:space="preserve">3.2.4 </w:t>
      </w:r>
      <w:r>
        <w:rPr>
          <w:rFonts w:hint="default" w:ascii="Times New Roman" w:hAnsi="Times New Roman" w:eastAsia="宋体" w:cs="Times New Roman"/>
          <w:bCs/>
          <w:color w:val="000000" w:themeColor="text1"/>
          <w:szCs w:val="21"/>
          <w:highlight w:val="none"/>
          <w14:textFill>
            <w14:solidFill>
              <w14:schemeClr w14:val="tx1"/>
            </w14:solidFill>
          </w14:textFill>
        </w:rPr>
        <w:t>定期清洗、巡查及检修</w:t>
      </w:r>
    </w:p>
    <w:p w14:paraId="53722AF1">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为保证光伏系统的运行效率，需要专业的运维人员定期进行光伏系统的巡查及检修工作，现场巡检要求每月至少一次，出现故障时，应要有应急预案保证 24 小时内进场进行修理。</w:t>
      </w:r>
    </w:p>
    <w:p w14:paraId="273B1D88">
      <w:pPr>
        <w:spacing w:line="400" w:lineRule="exact"/>
        <w:ind w:firstLine="422"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
          <w:color w:val="000000" w:themeColor="text1"/>
          <w:szCs w:val="21"/>
          <w:highlight w:val="none"/>
          <w:lang w:val="en-US" w:eastAsia="zh-CN"/>
          <w14:textFill>
            <w14:solidFill>
              <w14:schemeClr w14:val="tx1"/>
            </w14:solidFill>
          </w14:textFill>
        </w:rPr>
        <w:t xml:space="preserve">3.3 </w:t>
      </w:r>
      <w:r>
        <w:rPr>
          <w:rFonts w:hint="default" w:ascii="Times New Roman" w:hAnsi="Times New Roman" w:eastAsia="宋体" w:cs="Times New Roman"/>
          <w:b/>
          <w:bCs w:val="0"/>
          <w:color w:val="000000" w:themeColor="text1"/>
          <w:szCs w:val="21"/>
          <w:highlight w:val="none"/>
          <w14:textFill>
            <w14:solidFill>
              <w14:schemeClr w14:val="tx1"/>
            </w14:solidFill>
          </w14:textFill>
        </w:rPr>
        <w:t>设计及施工要求</w:t>
      </w:r>
    </w:p>
    <w:p w14:paraId="6D4B2437">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3.3.1</w:t>
      </w:r>
      <w:r>
        <w:rPr>
          <w:rFonts w:hint="default" w:ascii="Times New Roman" w:hAnsi="Times New Roman" w:eastAsia="宋体" w:cs="Times New Roman"/>
          <w:bCs/>
          <w:color w:val="000000" w:themeColor="text1"/>
          <w:szCs w:val="21"/>
          <w:highlight w:val="none"/>
          <w14:textFill>
            <w14:solidFill>
              <w14:schemeClr w14:val="tx1"/>
            </w14:solidFill>
          </w14:textFill>
        </w:rPr>
        <w:t>系统整体方案</w:t>
      </w:r>
    </w:p>
    <w:p w14:paraId="46A26473">
      <w:pPr>
        <w:spacing w:line="400" w:lineRule="exact"/>
        <w:ind w:firstLineChars="200"/>
        <w:rPr>
          <w:rFonts w:hint="eastAsia" w:ascii="Times New Roman" w:hAnsi="Times New Roman" w:eastAsia="宋体" w:cs="Times New Roman"/>
          <w:bCs/>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Cs w:val="21"/>
          <w:highlight w:val="none"/>
          <w14:textFill>
            <w14:solidFill>
              <w14:schemeClr w14:val="tx1"/>
            </w14:solidFill>
          </w14:textFill>
        </w:rPr>
        <w:t>充分合理利用屋顶面积空地，最大限度降低用户用能成本</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p>
    <w:p w14:paraId="4E645766">
      <w:pPr>
        <w:spacing w:line="400" w:lineRule="exact"/>
        <w:ind w:firstLineChars="200"/>
        <w:rPr>
          <w:rFonts w:hint="eastAsia" w:ascii="Times New Roman" w:hAnsi="Times New Roman" w:eastAsia="宋体" w:cs="Times New Roman"/>
          <w:bCs/>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最大限度使用清洁能源，绿色电力优先供给厂内用电，发电余量返送电网</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p>
    <w:p w14:paraId="0C7E832D">
      <w:pPr>
        <w:spacing w:line="400" w:lineRule="exact"/>
        <w:ind w:firstLineChars="200"/>
        <w:rPr>
          <w:rFonts w:hint="eastAsia" w:ascii="Times New Roman" w:hAnsi="Times New Roman" w:eastAsia="宋体" w:cs="Times New Roman"/>
          <w:bCs/>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考虑供电经济性及电网接入条件，发电接入用户侧</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p>
    <w:p w14:paraId="0C59E333">
      <w:pPr>
        <w:spacing w:line="400" w:lineRule="exact"/>
        <w:ind w:firstLineChars="200"/>
        <w:rPr>
          <w:rFonts w:hint="eastAsia" w:ascii="Times New Roman" w:hAnsi="Times New Roman" w:eastAsia="宋体" w:cs="Times New Roman"/>
          <w:bCs/>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系统采用无人值守的方式</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p>
    <w:p w14:paraId="69C888EE">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系统的整体方案以及辅助系统方案均需由</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招标人</w:t>
      </w:r>
      <w:r>
        <w:rPr>
          <w:rFonts w:hint="default" w:ascii="Times New Roman" w:hAnsi="Times New Roman" w:eastAsia="宋体" w:cs="Times New Roman"/>
          <w:bCs/>
          <w:color w:val="000000" w:themeColor="text1"/>
          <w:szCs w:val="21"/>
          <w:highlight w:val="none"/>
          <w14:textFill>
            <w14:solidFill>
              <w14:schemeClr w14:val="tx1"/>
            </w14:solidFill>
          </w14:textFill>
        </w:rPr>
        <w:t>确认后才可进行下一步工序。</w:t>
      </w:r>
    </w:p>
    <w:p w14:paraId="193F50E6">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3.3.2</w:t>
      </w:r>
      <w:r>
        <w:rPr>
          <w:rFonts w:hint="default" w:ascii="Times New Roman" w:hAnsi="Times New Roman" w:eastAsia="宋体" w:cs="Times New Roman"/>
          <w:bCs/>
          <w:color w:val="000000" w:themeColor="text1"/>
          <w:szCs w:val="21"/>
          <w:highlight w:val="none"/>
          <w14:textFill>
            <w14:solidFill>
              <w14:schemeClr w14:val="tx1"/>
            </w14:solidFill>
          </w14:textFill>
        </w:rPr>
        <w:t>施工方案</w:t>
      </w:r>
    </w:p>
    <w:p w14:paraId="13282CA5">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承载设计</w:t>
      </w:r>
    </w:p>
    <w:p w14:paraId="3BEACFE4">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本项目涉及的屋面，需要由有资质的设计单位进行承载核算，必时要进行加固处理（含更换瓦片），确保加装光伏组件后的屋面达到未加装前的设计要求，并符合最新的光伏设计规范。</w:t>
      </w:r>
    </w:p>
    <w:p w14:paraId="33272CAC">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支架设计</w:t>
      </w:r>
    </w:p>
    <w:p w14:paraId="06A6CB98">
      <w:pPr>
        <w:spacing w:line="400" w:lineRule="exact"/>
        <w:ind w:firstLineChars="200"/>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本项目主要结构构件应根据基本风压计算风荷载，按承载力要求进行截面设计，按当地50年一遇</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具体以当地气象局发布数据为准，</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投标人</w:t>
      </w:r>
      <w:r>
        <w:rPr>
          <w:rFonts w:hint="default" w:ascii="Times New Roman" w:hAnsi="Times New Roman" w:eastAsia="宋体" w:cs="Times New Roman"/>
          <w:bCs/>
          <w:color w:val="000000" w:themeColor="text1"/>
          <w:szCs w:val="21"/>
          <w:highlight w:val="none"/>
          <w14:textFill>
            <w14:solidFill>
              <w14:schemeClr w14:val="tx1"/>
            </w14:solidFill>
          </w14:textFill>
        </w:rPr>
        <w:t>设计计算时需自行查阅并提供给</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招标人）</w:t>
      </w:r>
      <w:r>
        <w:rPr>
          <w:rFonts w:hint="default" w:ascii="Times New Roman" w:hAnsi="Times New Roman" w:eastAsia="宋体" w:cs="Times New Roman"/>
          <w:bCs/>
          <w:color w:val="000000" w:themeColor="text1"/>
          <w:szCs w:val="21"/>
          <w:highlight w:val="none"/>
          <w14:textFill>
            <w14:solidFill>
              <w14:schemeClr w14:val="tx1"/>
            </w14:solidFill>
          </w14:textFill>
        </w:rPr>
        <w:t>的要求进行抗风承载力设计，同时还需满足支架体系在其设计基准期内，在遭遇频率较高、强度较低的风荷载时不损坏、不需要修理。支架采用热浸锌C型钢或铝合金形式。螺等连接材料应均采用不锈钢材料。</w:t>
      </w:r>
    </w:p>
    <w:p w14:paraId="6ECABC7A">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389" w:name="_Toc11722"/>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4</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14:textFill>
            <w14:solidFill>
              <w14:schemeClr w14:val="tx1"/>
            </w14:solidFill>
          </w14:textFill>
        </w:rPr>
        <w:t>其他要求</w:t>
      </w:r>
      <w:bookmarkEnd w:id="389"/>
    </w:p>
    <w:p w14:paraId="39E65B72">
      <w:pPr>
        <w:pageBreakBefore w:val="0"/>
        <w:numPr>
          <w:ilvl w:val="-1"/>
          <w:numId w:val="0"/>
        </w:numPr>
        <w:kinsoku/>
        <w:wordWrap/>
        <w:overflowPunct/>
        <w:topLinePunct w:val="0"/>
        <w:bidi w:val="0"/>
        <w:spacing w:line="400" w:lineRule="exact"/>
        <w:ind w:left="0" w:leftChars="0" w:firstLine="420" w:firstLineChars="200"/>
        <w:outlineLvl w:val="2"/>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bookmarkStart w:id="390" w:name="_Toc27414"/>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.1 项目投资均全部由</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承担，电力备案相关手续亦由</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负责。由</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全额出资建设项目，含项目前期手续办理、现场勘测、建筑物承载力检测、光伏发电系统设备、配套设施、工程设计、供配电设备安装、通信调度、调试、运行、维护等费用</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为确保服务质量及沟通对接的顺畅，</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须设置专职主管</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人数不限</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，负责对本项目的服务范围、服务质量的检查监督及与</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日常业务联系，</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相关名单在中标后盖章报招标人确认，名单信息包括主管姓名、联系电话、负责范围等。</w:t>
      </w:r>
      <w:bookmarkEnd w:id="390"/>
    </w:p>
    <w:p w14:paraId="0E498090">
      <w:pPr>
        <w:pageBreakBefore w:val="0"/>
        <w:numPr>
          <w:ilvl w:val="-1"/>
          <w:numId w:val="0"/>
        </w:numPr>
        <w:kinsoku/>
        <w:wordWrap/>
        <w:overflowPunct/>
        <w:topLinePunct w:val="0"/>
        <w:bidi w:val="0"/>
        <w:spacing w:line="400" w:lineRule="exact"/>
        <w:ind w:left="0" w:leftChars="0" w:firstLine="420" w:firstLineChars="200"/>
        <w:outlineLvl w:val="2"/>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bookmarkStart w:id="391" w:name="_Toc2414"/>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 xml:space="preserve">.2 </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应妥善保管</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提供的资料，保守</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的各项秘密。未经</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书面许可，</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不得利用知悉的属于</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的成果和资料为自己或第三方谋取利益。</w:t>
      </w:r>
      <w:bookmarkEnd w:id="391"/>
    </w:p>
    <w:p w14:paraId="2BC0B39E">
      <w:pPr>
        <w:pageBreakBefore w:val="0"/>
        <w:numPr>
          <w:ilvl w:val="-1"/>
          <w:numId w:val="0"/>
        </w:numPr>
        <w:kinsoku/>
        <w:wordWrap/>
        <w:overflowPunct/>
        <w:topLinePunct w:val="0"/>
        <w:bidi w:val="0"/>
        <w:spacing w:line="400" w:lineRule="exact"/>
        <w:ind w:left="0" w:leftChars="0" w:firstLine="420" w:firstLineChars="200"/>
        <w:outlineLvl w:val="2"/>
        <w:rPr>
          <w:rFonts w:ascii="Times New Roman" w:hAnsi="Times New Roman" w:eastAsia="宋体" w:cs="Times New Roman"/>
          <w:color w:val="000000" w:themeColor="text1"/>
          <w:sz w:val="21"/>
          <w:szCs w:val="21"/>
          <w:highlight w:val="none"/>
          <w:lang w:bidi="en-US"/>
          <w14:textFill>
            <w14:solidFill>
              <w14:schemeClr w14:val="tx1"/>
            </w14:solidFill>
          </w14:textFill>
        </w:rPr>
      </w:pPr>
      <w:bookmarkStart w:id="392" w:name="_Toc29154"/>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 xml:space="preserve">.3 </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未经</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书面许可，</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不得向第三方提供或披漏本项目内容及</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业务有关的资料和信息，法律规定的除外，否则，</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有权追究</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的责任。</w:t>
      </w:r>
      <w:bookmarkEnd w:id="392"/>
    </w:p>
    <w:p w14:paraId="76DDD45F">
      <w:pPr>
        <w:pageBreakBefore w:val="0"/>
        <w:numPr>
          <w:ilvl w:val="-1"/>
          <w:numId w:val="0"/>
        </w:numPr>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应在项目运营期终止时向</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无偿移交项目资产。移交的范围包括但不限于以下内容：</w:t>
      </w:r>
    </w:p>
    <w:p w14:paraId="34CEAFD0">
      <w:pPr>
        <w:pageBreakBefore w:val="0"/>
        <w:numPr>
          <w:ilvl w:val="-1"/>
          <w:numId w:val="0"/>
        </w:numPr>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项目光伏设施及配套工程；</w:t>
      </w:r>
    </w:p>
    <w:p w14:paraId="7F3A7397">
      <w:pPr>
        <w:pageBreakBefore w:val="0"/>
        <w:numPr>
          <w:ilvl w:val="-1"/>
          <w:numId w:val="0"/>
        </w:numPr>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与项目设施相关的设备、机器、装置、零部件、备品备件、动产以及其他无形资产；</w:t>
      </w:r>
    </w:p>
    <w:p w14:paraId="7001176D">
      <w:pPr>
        <w:pageBreakBefore w:val="0"/>
        <w:numPr>
          <w:ilvl w:val="-1"/>
          <w:numId w:val="0"/>
        </w:numPr>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运行维护项目设施所要求的技术和技术信息，运行维护记录，档案及相关资料；</w:t>
      </w:r>
    </w:p>
    <w:p w14:paraId="23257E55">
      <w:pPr>
        <w:pageBreakBefore w:val="0"/>
        <w:numPr>
          <w:ilvl w:val="-1"/>
          <w:numId w:val="0"/>
        </w:numPr>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移交项目资产所需的其他文件。</w:t>
      </w:r>
    </w:p>
    <w:p w14:paraId="2967C1DB">
      <w:pPr>
        <w:pageBreakBefore w:val="0"/>
        <w:numPr>
          <w:ilvl w:val="-1"/>
          <w:numId w:val="0"/>
        </w:numPr>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5</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服务</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期内所有改造系统设备资产归中标人所有，中标人需负责合同期内改造设备的维护保养。</w:t>
      </w:r>
    </w:p>
    <w:p w14:paraId="0227083C">
      <w:pPr>
        <w:pageBreakBefore w:val="0"/>
        <w:kinsoku/>
        <w:wordWrap/>
        <w:overflowPunct/>
        <w:topLinePunct w:val="0"/>
        <w:bidi w:val="0"/>
        <w:spacing w:line="400" w:lineRule="exact"/>
        <w:ind w:left="0" w:leftChars="0" w:firstLine="420" w:firstLineChars="200"/>
        <w:jc w:val="center"/>
        <w:outlineLvl w:val="0"/>
        <w:rPr>
          <w:rFonts w:hint="default" w:ascii="Times New Roman" w:hAnsi="Times New Roman" w:cs="Times New Roman"/>
          <w:b/>
          <w:color w:val="000000" w:themeColor="text1"/>
          <w:sz w:val="21"/>
          <w:szCs w:val="2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18" w:right="1418" w:bottom="1418" w:left="1418" w:header="851" w:footer="873" w:gutter="0"/>
          <w:cols w:space="720" w:num="1"/>
          <w:titlePg/>
          <w:docGrid w:linePitch="312" w:charSpace="0"/>
        </w:sectPr>
      </w:pPr>
    </w:p>
    <w:p w14:paraId="00739386">
      <w:pPr>
        <w:pageBreakBefore w:val="0"/>
        <w:kinsoku/>
        <w:wordWrap/>
        <w:overflowPunct/>
        <w:topLinePunct w:val="0"/>
        <w:bidi w:val="0"/>
        <w:spacing w:line="400" w:lineRule="exact"/>
        <w:ind w:left="0" w:leftChars="0" w:firstLine="422" w:firstLineChars="200"/>
        <w:jc w:val="center"/>
        <w:outlineLvl w:val="0"/>
        <w:rPr>
          <w:rFonts w:ascii="Times New Roman" w:hAnsi="Times New Roman" w:eastAsia="宋体" w:cs="Times New Roman"/>
          <w:b/>
          <w:color w:val="000000" w:themeColor="text1"/>
          <w:sz w:val="21"/>
          <w:szCs w:val="21"/>
          <w:highlight w:val="none"/>
          <w14:textFill>
            <w14:solidFill>
              <w14:schemeClr w14:val="tx1"/>
            </w14:solidFill>
          </w14:textFill>
        </w:rPr>
      </w:pPr>
      <w:bookmarkStart w:id="393" w:name="_Toc23423"/>
      <w:r>
        <w:rPr>
          <w:rFonts w:hint="default" w:ascii="Times New Roman" w:hAnsi="Times New Roman" w:eastAsia="宋体" w:cs="Times New Roman"/>
          <w:b/>
          <w:color w:val="000000" w:themeColor="text1"/>
          <w:sz w:val="21"/>
          <w:szCs w:val="21"/>
          <w:highlight w:val="none"/>
          <w14:textFill>
            <w14:solidFill>
              <w14:schemeClr w14:val="tx1"/>
            </w14:solidFill>
          </w14:textFill>
        </w:rPr>
        <w:t>第二节 技术规范要求</w:t>
      </w:r>
      <w:bookmarkEnd w:id="393"/>
    </w:p>
    <w:p w14:paraId="53FD5CA2">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394" w:name="_Toc11625"/>
      <w:r>
        <w:rPr>
          <w:rFonts w:hint="default" w:ascii="Times New Roman" w:hAnsi="Times New Roman" w:eastAsia="宋体" w:cs="Times New Roman"/>
          <w:b/>
          <w:color w:val="000000" w:themeColor="text1"/>
          <w:sz w:val="21"/>
          <w:szCs w:val="21"/>
          <w:highlight w:val="none"/>
          <w14:textFill>
            <w14:solidFill>
              <w14:schemeClr w14:val="tx1"/>
            </w14:solidFill>
          </w14:textFill>
        </w:rPr>
        <w:t>1 总则</w:t>
      </w:r>
      <w:bookmarkEnd w:id="394"/>
    </w:p>
    <w:p w14:paraId="63328237">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395" w:name="_Toc25688"/>
      <w:r>
        <w:rPr>
          <w:rFonts w:hint="default" w:ascii="Times New Roman" w:hAnsi="Times New Roman" w:eastAsia="宋体" w:cs="Times New Roman"/>
          <w:b/>
          <w:color w:val="000000" w:themeColor="text1"/>
          <w:sz w:val="21"/>
          <w:szCs w:val="21"/>
          <w:highlight w:val="none"/>
          <w14:textFill>
            <w14:solidFill>
              <w14:schemeClr w14:val="tx1"/>
            </w14:solidFill>
          </w14:textFill>
        </w:rPr>
        <w:t>1.1 概述</w:t>
      </w:r>
      <w:bookmarkEnd w:id="395"/>
    </w:p>
    <w:p w14:paraId="2565F2FA">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本次招标</w:t>
      </w:r>
      <w:r>
        <w:rPr>
          <w:rFonts w:hint="default" w:ascii="Times New Roman" w:hAnsi="Times New Roman" w:eastAsia="宋体" w:cs="Times New Roman"/>
          <w:color w:val="000000" w:themeColor="text1"/>
          <w:sz w:val="21"/>
          <w:szCs w:val="21"/>
          <w:highlight w:val="none"/>
          <w14:textFill>
            <w14:solidFill>
              <w14:schemeClr w14:val="tx1"/>
            </w14:solidFill>
          </w14:textFill>
        </w:rPr>
        <w:t>项目包含</w:t>
      </w:r>
      <w:r>
        <w:rPr>
          <w:rFonts w:hint="default" w:ascii="Times New Roman" w:hAnsi="Times New Roman" w:eastAsia="宋体" w:cs="Times New Roman"/>
          <w:color w:val="000000" w:themeColor="text1"/>
          <w:kern w:val="0"/>
          <w:sz w:val="21"/>
          <w:szCs w:val="21"/>
          <w:highlight w:val="none"/>
          <w:lang w:val="en-US" w:eastAsia="zh-CN" w:bidi="en-US"/>
          <w14:textFill>
            <w14:solidFill>
              <w14:schemeClr w14:val="tx1"/>
            </w14:solidFill>
          </w14:textFill>
        </w:rPr>
        <w:t>东莞市石鼓净水</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有限公司</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下属</w:t>
      </w:r>
      <w:r>
        <w:rPr>
          <w:rFonts w:hint="default" w:ascii="Times New Roman" w:hAnsi="Times New Roman" w:eastAsia="宋体" w:cs="Times New Roman"/>
          <w:color w:val="000000" w:themeColor="text1"/>
          <w:sz w:val="21"/>
          <w:szCs w:val="21"/>
          <w:highlight w:val="none"/>
          <w14:textFill>
            <w14:solidFill>
              <w14:schemeClr w14:val="tx1"/>
            </w14:solidFill>
          </w14:textFill>
        </w:rPr>
        <w:t>虎门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宁洲污水处理厂二期及一期提标工程</w:t>
      </w:r>
      <w:r>
        <w:rPr>
          <w:rFonts w:hint="default" w:ascii="Times New Roman" w:hAnsi="Times New Roman" w:eastAsia="宋体" w:cs="Times New Roman"/>
          <w:color w:val="000000" w:themeColor="text1"/>
          <w:sz w:val="21"/>
          <w:szCs w:val="21"/>
          <w:highlight w:val="none"/>
          <w14:textFill>
            <w14:solidFill>
              <w14:schemeClr w14:val="tx1"/>
            </w14:solidFill>
          </w14:textFill>
        </w:rPr>
        <w:t>、东城温塘</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污水处理厂</w:t>
      </w:r>
      <w:r>
        <w:rPr>
          <w:rFonts w:hint="default" w:ascii="Times New Roman" w:hAnsi="Times New Roman" w:eastAsia="宋体" w:cs="Times New Roman"/>
          <w:color w:val="000000" w:themeColor="text1"/>
          <w:sz w:val="21"/>
          <w:szCs w:val="21"/>
          <w:highlight w:val="none"/>
          <w14:textFill>
            <w14:solidFill>
              <w14:schemeClr w14:val="tx1"/>
            </w14:solidFill>
          </w14:textFill>
        </w:rPr>
        <w:t>一期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14:textFill>
            <w14:solidFill>
              <w14:schemeClr w14:val="tx1"/>
            </w14:solidFill>
          </w14:textFill>
        </w:rPr>
        <w:t>。虎门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宁洲污水处理厂二期及一期提标工程</w:t>
      </w:r>
      <w:r>
        <w:rPr>
          <w:rFonts w:hint="default" w:ascii="Times New Roman" w:hAnsi="Times New Roman" w:eastAsia="宋体" w:cs="Times New Roman"/>
          <w:color w:val="000000" w:themeColor="text1"/>
          <w:sz w:val="21"/>
          <w:szCs w:val="21"/>
          <w:highlight w:val="none"/>
          <w14:textFill>
            <w14:solidFill>
              <w14:schemeClr w14:val="tx1"/>
            </w14:solidFill>
          </w14:textFill>
        </w:rPr>
        <w:t>光伏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发电</w:t>
      </w:r>
      <w:r>
        <w:rPr>
          <w:rFonts w:hint="default" w:ascii="Times New Roman" w:hAnsi="Times New Roman" w:eastAsia="宋体" w:cs="Times New Roman"/>
          <w:color w:val="000000" w:themeColor="text1"/>
          <w:sz w:val="21"/>
          <w:szCs w:val="21"/>
          <w:highlight w:val="none"/>
          <w14:textFill>
            <w14:solidFill>
              <w14:schemeClr w14:val="tx1"/>
            </w14:solidFill>
          </w14:textFill>
        </w:rPr>
        <w:t>装机容量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低于3.8512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ascii="Times New Roman" w:hAnsi="Times New Roman" w:eastAsia="宋体" w:cs="Times New Roman"/>
          <w:color w:val="000000" w:themeColor="text1"/>
          <w:sz w:val="21"/>
          <w:szCs w:val="21"/>
          <w:highlight w:val="none"/>
          <w14:textFill>
            <w14:solidFill>
              <w14:schemeClr w14:val="tx1"/>
            </w14:solidFill>
          </w14:textFill>
        </w:rPr>
        <w:t>Wp</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东城温塘</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污水处理厂</w:t>
      </w:r>
      <w:r>
        <w:rPr>
          <w:rFonts w:hint="default" w:ascii="Times New Roman" w:hAnsi="Times New Roman" w:eastAsia="宋体" w:cs="Times New Roman"/>
          <w:color w:val="000000" w:themeColor="text1"/>
          <w:sz w:val="21"/>
          <w:szCs w:val="21"/>
          <w:highlight w:val="none"/>
          <w14:textFill>
            <w14:solidFill>
              <w14:schemeClr w14:val="tx1"/>
            </w14:solidFill>
          </w14:textFill>
        </w:rPr>
        <w:t>一期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14:textFill>
            <w14:solidFill>
              <w14:schemeClr w14:val="tx1"/>
            </w14:solidFill>
          </w14:textFill>
        </w:rPr>
        <w:t>光伏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发电项目</w:t>
      </w:r>
      <w:r>
        <w:rPr>
          <w:rFonts w:hint="default" w:ascii="Times New Roman" w:hAnsi="Times New Roman" w:eastAsia="宋体" w:cs="Times New Roman"/>
          <w:color w:val="000000" w:themeColor="text1"/>
          <w:sz w:val="21"/>
          <w:szCs w:val="21"/>
          <w:highlight w:val="none"/>
          <w14:textFill>
            <w14:solidFill>
              <w14:schemeClr w14:val="tx1"/>
            </w14:solidFill>
          </w14:textFill>
        </w:rPr>
        <w:t>装机容量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低于1.3989</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ascii="Times New Roman" w:hAnsi="Times New Roman" w:eastAsia="宋体" w:cs="Times New Roman"/>
          <w:color w:val="000000" w:themeColor="text1"/>
          <w:sz w:val="21"/>
          <w:szCs w:val="21"/>
          <w:highlight w:val="none"/>
          <w14:textFill>
            <w14:solidFill>
              <w14:schemeClr w14:val="tx1"/>
            </w14:solidFill>
          </w14:textFill>
        </w:rPr>
        <w:t>Wp</w:t>
      </w:r>
      <w:r>
        <w:rPr>
          <w:rFonts w:hint="default" w:ascii="Times New Roman" w:hAnsi="Times New Roman" w:eastAsia="宋体" w:cs="Times New Roman"/>
          <w:color w:val="000000" w:themeColor="text1"/>
          <w:sz w:val="21"/>
          <w:szCs w:val="21"/>
          <w:highlight w:val="none"/>
          <w14:textFill>
            <w14:solidFill>
              <w14:schemeClr w14:val="tx1"/>
            </w14:solidFill>
          </w14:textFill>
        </w:rPr>
        <w:t>。两个污水处理厂光伏发电均采用“自发自用、余电上网”模式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余电反送上网的收益归中标人所有</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1124C889">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396" w:name="_Toc28342"/>
      <w:r>
        <w:rPr>
          <w:rFonts w:ascii="Times New Roman" w:hAnsi="Times New Roman" w:eastAsia="宋体" w:cs="Times New Roman"/>
          <w:b/>
          <w:color w:val="000000" w:themeColor="text1"/>
          <w:sz w:val="21"/>
          <w:szCs w:val="21"/>
          <w:highlight w:val="none"/>
          <w14:textFill>
            <w14:solidFill>
              <w14:schemeClr w14:val="tx1"/>
            </w14:solidFill>
          </w14:textFill>
        </w:rPr>
        <w:t>1.2 项目选址及建设条件</w:t>
      </w:r>
      <w:bookmarkEnd w:id="396"/>
    </w:p>
    <w:p w14:paraId="1024ADE1">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 xml:space="preserve">1.2.1 项目选址 </w:t>
      </w:r>
    </w:p>
    <w:p w14:paraId="4F788540">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本</w:t>
      </w:r>
      <w:r>
        <w:rPr>
          <w:rFonts w:hint="default" w:ascii="Times New Roman" w:hAnsi="Times New Roman" w:eastAsia="宋体" w:cs="Times New Roman"/>
          <w:color w:val="000000" w:themeColor="text1"/>
          <w:sz w:val="21"/>
          <w:szCs w:val="21"/>
          <w:highlight w:val="none"/>
          <w14:textFill>
            <w14:solidFill>
              <w14:schemeClr w14:val="tx1"/>
            </w14:solidFill>
          </w14:textFill>
        </w:rPr>
        <w:t>项目通过土地二次开发利用，</w:t>
      </w:r>
      <w:r>
        <w:rPr>
          <w:rFonts w:ascii="Times New Roman" w:hAnsi="Times New Roman" w:eastAsia="宋体" w:cs="Times New Roman"/>
          <w:color w:val="000000" w:themeColor="text1"/>
          <w:sz w:val="21"/>
          <w:szCs w:val="21"/>
          <w:highlight w:val="none"/>
          <w14:textFill>
            <w14:solidFill>
              <w14:schemeClr w14:val="tx1"/>
            </w14:solidFill>
          </w14:textFill>
        </w:rPr>
        <w:t>在</w:t>
      </w:r>
      <w:r>
        <w:rPr>
          <w:rFonts w:hint="default" w:ascii="Times New Roman" w:hAnsi="Times New Roman" w:eastAsia="宋体" w:cs="Times New Roman"/>
          <w:color w:val="000000" w:themeColor="text1"/>
          <w:sz w:val="21"/>
          <w:szCs w:val="21"/>
          <w:highlight w:val="none"/>
          <w14:textFill>
            <w14:solidFill>
              <w14:schemeClr w14:val="tx1"/>
            </w14:solidFill>
          </w14:textFill>
        </w:rPr>
        <w:t>虎门</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宁洲</w:t>
      </w:r>
      <w:r>
        <w:rPr>
          <w:rFonts w:hint="default" w:ascii="Times New Roman" w:hAnsi="Times New Roman" w:eastAsia="宋体" w:cs="Times New Roman"/>
          <w:color w:val="000000" w:themeColor="text1"/>
          <w:sz w:val="21"/>
          <w:szCs w:val="21"/>
          <w:highlight w:val="none"/>
          <w14:textFill>
            <w14:solidFill>
              <w14:schemeClr w14:val="tx1"/>
            </w14:solidFill>
          </w14:textFill>
        </w:rPr>
        <w:t>污水处理厂</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二期及一期提标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14:textFill>
            <w14:solidFill>
              <w14:schemeClr w14:val="tx1"/>
            </w14:solidFill>
          </w14:textFill>
        </w:rPr>
        <w:t>、东城温塘污水处理厂一期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工程的</w:t>
      </w:r>
      <w:r>
        <w:rPr>
          <w:rFonts w:hint="default" w:ascii="Times New Roman" w:hAnsi="Times New Roman" w:eastAsia="宋体" w:cs="Times New Roman"/>
          <w:color w:val="000000" w:themeColor="text1"/>
          <w:sz w:val="21"/>
          <w:szCs w:val="21"/>
          <w:highlight w:val="none"/>
          <w14:textFill>
            <w14:solidFill>
              <w14:schemeClr w14:val="tx1"/>
            </w14:solidFill>
          </w14:textFill>
        </w:rPr>
        <w:t>厂区内建筑屋面和构筑物池面布置光伏板。</w:t>
      </w:r>
    </w:p>
    <w:p w14:paraId="6248B4EB">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 xml:space="preserve">1.2.2 建设条件 </w:t>
      </w:r>
    </w:p>
    <w:p w14:paraId="7C03C11C">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本工程所处地区太阳能资源为资源丰富级别，交通运输和安装条件较好，接入系统条件较好，适宜规模开发。为了有效地开发光伏电站，应遵循统一规划、集中开发的原则尽快建设。</w:t>
      </w:r>
    </w:p>
    <w:p w14:paraId="01CCB21E">
      <w:pPr>
        <w:pageBreakBefore w:val="0"/>
        <w:kinsoku/>
        <w:wordWrap/>
        <w:overflowPunct/>
        <w:topLinePunct w:val="0"/>
        <w:autoSpaceDE w:val="0"/>
        <w:autoSpaceDN w:val="0"/>
        <w:bidi w:val="0"/>
        <w:adjustRightInd w:val="0"/>
        <w:spacing w:line="400" w:lineRule="exact"/>
        <w:ind w:left="0" w:leftChars="0" w:firstLine="420" w:firstLineChars="200"/>
        <w:jc w:val="left"/>
        <w:rPr>
          <w:rFonts w:ascii="Times New Roman" w:hAnsi="Times New Roman" w:eastAsia="宋体" w:cs="Times New Roman"/>
          <w:b/>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1.2.</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3 </w:t>
      </w:r>
      <w:r>
        <w:rPr>
          <w:rFonts w:hint="default" w:ascii="Times New Roman" w:hAnsi="Times New Roman" w:eastAsia="宋体" w:cs="Times New Roman"/>
          <w:b/>
          <w:color w:val="000000" w:themeColor="text1"/>
          <w:sz w:val="21"/>
          <w:szCs w:val="21"/>
          <w:highlight w:val="none"/>
          <w14:textFill>
            <w14:solidFill>
              <w14:schemeClr w14:val="tx1"/>
            </w14:solidFill>
          </w14:textFill>
        </w:rPr>
        <w:t>光照资源</w:t>
      </w:r>
    </w:p>
    <w:p w14:paraId="121B68CA">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项目所在地太阳能资源总量属于“资源丰富地区”，年变化“很稳定”，直射比等级为“低”，总辐射日辐照量中散射辐射主导。</w:t>
      </w:r>
    </w:p>
    <w:p w14:paraId="60EF1057">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本项目由于污水处理厂地理稍有差异，建设</w:t>
      </w:r>
      <w:r>
        <w:rPr>
          <w:rFonts w:hint="default" w:ascii="Times New Roman" w:hAnsi="Times New Roman" w:eastAsia="宋体" w:cs="Times New Roman"/>
          <w:color w:val="000000" w:themeColor="text1"/>
          <w:sz w:val="21"/>
          <w:szCs w:val="21"/>
          <w:highlight w:val="none"/>
          <w14:textFill>
            <w14:solidFill>
              <w14:schemeClr w14:val="tx1"/>
            </w14:solidFill>
          </w14:textFill>
        </w:rPr>
        <w:t>场址水平面年总太阳能辐射量代表值</w:t>
      </w:r>
      <w:r>
        <w:rPr>
          <w:rFonts w:ascii="Times New Roman" w:hAnsi="Times New Roman" w:eastAsia="宋体" w:cs="Times New Roman"/>
          <w:color w:val="000000" w:themeColor="text1"/>
          <w:sz w:val="21"/>
          <w:szCs w:val="21"/>
          <w:highlight w:val="none"/>
          <w14:textFill>
            <w14:solidFill>
              <w14:schemeClr w14:val="tx1"/>
            </w14:solidFill>
          </w14:textFill>
        </w:rPr>
        <w:t>1265.4~1300.3kWh/m</w:t>
      </w:r>
      <w:r>
        <w:rPr>
          <w:rFonts w:ascii="Times New Roman" w:hAnsi="Times New Roman" w:eastAsia="宋体" w:cs="Times New Roman"/>
          <w:color w:val="000000" w:themeColor="text1"/>
          <w:sz w:val="21"/>
          <w:szCs w:val="21"/>
          <w:highlight w:val="none"/>
          <w:vertAlign w:val="superscript"/>
          <w14:textFill>
            <w14:solidFill>
              <w14:schemeClr w14:val="tx1"/>
            </w14:solidFill>
          </w14:textFill>
        </w:rPr>
        <w:t>2</w:t>
      </w:r>
      <w:r>
        <w:rPr>
          <w:rFonts w:ascii="Times New Roman" w:hAnsi="Times New Roman" w:eastAsia="宋体" w:cs="Times New Roman"/>
          <w:color w:val="000000" w:themeColor="text1"/>
          <w:sz w:val="21"/>
          <w:szCs w:val="21"/>
          <w:highlight w:val="none"/>
          <w14:textFill>
            <w14:solidFill>
              <w14:schemeClr w14:val="tx1"/>
            </w14:solidFill>
          </w14:textFill>
        </w:rPr>
        <w:t>，其中逐月最小值为72.7kWh/m</w:t>
      </w:r>
      <w:r>
        <w:rPr>
          <w:rFonts w:ascii="Times New Roman" w:hAnsi="Times New Roman" w:eastAsia="宋体" w:cs="Times New Roman"/>
          <w:color w:val="000000" w:themeColor="text1"/>
          <w:sz w:val="21"/>
          <w:szCs w:val="21"/>
          <w:highlight w:val="none"/>
          <w:vertAlign w:val="superscript"/>
          <w14:textFill>
            <w14:solidFill>
              <w14:schemeClr w14:val="tx1"/>
            </w14:solidFill>
          </w14:textFill>
        </w:rPr>
        <w:t>2</w:t>
      </w:r>
      <w:r>
        <w:rPr>
          <w:rFonts w:ascii="Times New Roman" w:hAnsi="Times New Roman" w:eastAsia="宋体" w:cs="Times New Roman"/>
          <w:color w:val="000000" w:themeColor="text1"/>
          <w:sz w:val="21"/>
          <w:szCs w:val="21"/>
          <w:highlight w:val="none"/>
          <w14:textFill>
            <w14:solidFill>
              <w14:schemeClr w14:val="tx1"/>
            </w14:solidFill>
          </w14:textFill>
        </w:rPr>
        <w:t>，最大值为147.9kWh/m</w:t>
      </w:r>
      <w:r>
        <w:rPr>
          <w:rFonts w:ascii="Times New Roman" w:hAnsi="Times New Roman" w:eastAsia="宋体" w:cs="Times New Roman"/>
          <w:color w:val="000000" w:themeColor="text1"/>
          <w:sz w:val="21"/>
          <w:szCs w:val="21"/>
          <w:highlight w:val="none"/>
          <w:vertAlign w:val="superscript"/>
          <w14:textFill>
            <w14:solidFill>
              <w14:schemeClr w14:val="tx1"/>
            </w14:solidFill>
          </w14:textFill>
        </w:rPr>
        <w:t>2</w:t>
      </w:r>
      <w:r>
        <w:rPr>
          <w:rFonts w:ascii="Times New Roman" w:hAnsi="Times New Roman" w:eastAsia="宋体" w:cs="Times New Roman"/>
          <w:color w:val="000000" w:themeColor="text1"/>
          <w:sz w:val="21"/>
          <w:szCs w:val="21"/>
          <w:highlight w:val="none"/>
          <w14:textFill>
            <w14:solidFill>
              <w14:schemeClr w14:val="tx1"/>
            </w14:solidFill>
          </w14:textFill>
        </w:rPr>
        <w:t>。</w:t>
      </w:r>
    </w:p>
    <w:p w14:paraId="34FF2CCE">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397" w:name="_Toc25221"/>
      <w:r>
        <w:rPr>
          <w:rFonts w:hint="default" w:ascii="Times New Roman" w:hAnsi="Times New Roman" w:eastAsia="宋体" w:cs="Times New Roman"/>
          <w:b/>
          <w:color w:val="000000" w:themeColor="text1"/>
          <w:sz w:val="21"/>
          <w:szCs w:val="21"/>
          <w:highlight w:val="none"/>
          <w14:textFill>
            <w14:solidFill>
              <w14:schemeClr w14:val="tx1"/>
            </w14:solidFill>
          </w14:textFill>
        </w:rPr>
        <w:t>1.3基本设计条件</w:t>
      </w:r>
      <w:bookmarkEnd w:id="397"/>
    </w:p>
    <w:p w14:paraId="33FA78C4">
      <w:pPr>
        <w:pageBreakBefore w:val="0"/>
        <w:tabs>
          <w:tab w:val="left" w:pos="567"/>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能满足太阳能光伏电站从发电直至并网正常运行所需具备的勘察、设计、采购、运输、施工、调试、试验及检查测试、试运行、并网运行、投产</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、服务期内全生命周期软硬件维护服务、</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运维管理</w:t>
      </w:r>
      <w:r>
        <w:rPr>
          <w:rFonts w:hint="default" w:ascii="Times New Roman" w:hAnsi="Times New Roman" w:eastAsia="宋体" w:cs="Times New Roman"/>
          <w:color w:val="000000" w:themeColor="text1"/>
          <w:sz w:val="21"/>
          <w:szCs w:val="21"/>
          <w:highlight w:val="none"/>
          <w14:textFill>
            <w14:solidFill>
              <w14:schemeClr w14:val="tx1"/>
            </w14:solidFill>
          </w14:textFill>
        </w:rPr>
        <w:t>等。必须满足本文件规定的技术要求。</w:t>
      </w:r>
    </w:p>
    <w:p w14:paraId="6AD49842">
      <w:pPr>
        <w:pageBreakBefore w:val="0"/>
        <w:tabs>
          <w:tab w:val="left" w:pos="567"/>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1.3.1</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所提及的技术要求是最低限度的要求，并未对一切技术细节作出规定，也未充分地详述有关标准和规范的条文，</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应提供符合招标文件和相关工业标准的功能齐全的优质产品及其相应服务。</w:t>
      </w:r>
    </w:p>
    <w:p w14:paraId="2EA811FD">
      <w:pPr>
        <w:pageBreakBefore w:val="0"/>
        <w:tabs>
          <w:tab w:val="left" w:pos="567"/>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ascii="Times New Roman" w:hAnsi="Times New Roman" w:eastAsia="宋体" w:cs="Times New Roman"/>
          <w:color w:val="000000" w:themeColor="text1"/>
          <w:sz w:val="21"/>
          <w:szCs w:val="21"/>
          <w:highlight w:val="none"/>
          <w14:textFill>
            <w14:solidFill>
              <w14:schemeClr w14:val="tx1"/>
            </w14:solidFill>
          </w14:textFill>
        </w:rPr>
        <w:t xml:space="preserve">.3.2 </w:t>
      </w:r>
      <w:r>
        <w:rPr>
          <w:rFonts w:hint="default" w:ascii="Times New Roman" w:hAnsi="Times New Roman" w:eastAsia="宋体" w:cs="Times New Roman"/>
          <w:color w:val="000000" w:themeColor="text1"/>
          <w:sz w:val="21"/>
          <w:szCs w:val="21"/>
          <w:highlight w:val="none"/>
          <w14:textFill>
            <w14:solidFill>
              <w14:schemeClr w14:val="tx1"/>
            </w14:solidFill>
          </w14:textFill>
        </w:rPr>
        <w:t>太阳能并网光伏电站的要求：安全可靠、系统优化、功能完整、建设期间不影响项目所在污水处理厂正常生产。</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提供的设计、设备以及施工，必须满足本</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用户需求书</w:t>
      </w:r>
      <w:r>
        <w:rPr>
          <w:rFonts w:hint="default" w:ascii="Times New Roman" w:hAnsi="Times New Roman" w:eastAsia="宋体" w:cs="Times New Roman"/>
          <w:color w:val="000000" w:themeColor="text1"/>
          <w:sz w:val="21"/>
          <w:szCs w:val="21"/>
          <w:highlight w:val="none"/>
          <w14:textFill>
            <w14:solidFill>
              <w14:schemeClr w14:val="tx1"/>
            </w14:solidFill>
          </w14:textFill>
        </w:rPr>
        <w:t>的技术要求，光伏电站综合效率不低于8</w:t>
      </w:r>
      <w:r>
        <w:rPr>
          <w:rFonts w:ascii="Times New Roman" w:hAnsi="Times New Roman" w:eastAsia="宋体" w:cs="Times New Roman"/>
          <w:color w:val="000000" w:themeColor="text1"/>
          <w:sz w:val="21"/>
          <w:szCs w:val="21"/>
          <w:highlight w:val="none"/>
          <w14:textFill>
            <w14:solidFill>
              <w14:schemeClr w14:val="tx1"/>
            </w14:solidFill>
          </w14:textFill>
        </w:rPr>
        <w:t>0%。</w:t>
      </w:r>
    </w:p>
    <w:p w14:paraId="66886B5B">
      <w:pPr>
        <w:pageBreakBefore w:val="0"/>
        <w:tabs>
          <w:tab w:val="left" w:pos="567"/>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应对太阳能光伏电站系统提出优化、深化设计。</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对系统的拟定、设备的选择和布置负责，</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的要求并不解除</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的责任。</w:t>
      </w:r>
    </w:p>
    <w:p w14:paraId="3BB0C038">
      <w:pPr>
        <w:pageBreakBefore w:val="0"/>
        <w:tabs>
          <w:tab w:val="left" w:pos="567"/>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1.3.4涉及载荷校核等问题，</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应充分理解原有建筑物设计单位设计文件。设计文件不能免除</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的责任。</w:t>
      </w:r>
    </w:p>
    <w:p w14:paraId="44EF19CE">
      <w:pPr>
        <w:pageBreakBefore w:val="0"/>
        <w:tabs>
          <w:tab w:val="left" w:pos="567"/>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1.3.5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应充分考虑厂区原有设备正常运行和检修问题，预留足够的设备检修空间，</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的预留设备检修空间方案需经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书面的审核认可（若涉及技术咨询费、审核费等费用，则该费用</w:t>
      </w:r>
      <w:r>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t>由投标人负责</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7C636B9F">
      <w:pPr>
        <w:pageBreakBefore w:val="0"/>
        <w:tabs>
          <w:tab w:val="left" w:pos="567"/>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1.3.6</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所提及的技术要求是最低限度的要求，并没有对一切技术细节作出规定，也未充分引述有关标准及规范的条文。</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应保证提供符合</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所提及的技术要求和有关最新工业标准的产品，该产品必须满足国家有关安全、消防、环保、劳动卫生等强制性标准的要求。</w:t>
      </w:r>
    </w:p>
    <w:p w14:paraId="02481430">
      <w:pPr>
        <w:pageBreakBefore w:val="0"/>
        <w:tabs>
          <w:tab w:val="left" w:pos="567"/>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光伏并网电站的平面布置，及所有满足系统要求的设备、电缆走向、逆变器布置、仪表及监控、附件等，在施工图详细设计时，按</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审定的意见做相应的优化调整，并不发生商务变动。</w:t>
      </w:r>
    </w:p>
    <w:p w14:paraId="6889FCA3">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398" w:name="_Toc11538"/>
      <w:r>
        <w:rPr>
          <w:rFonts w:hint="default" w:ascii="Times New Roman" w:hAnsi="Times New Roman" w:eastAsia="宋体" w:cs="Times New Roman"/>
          <w:b/>
          <w:color w:val="000000" w:themeColor="text1"/>
          <w:sz w:val="21"/>
          <w:szCs w:val="21"/>
          <w:highlight w:val="none"/>
          <w14:textFill>
            <w14:solidFill>
              <w14:schemeClr w14:val="tx1"/>
            </w14:solidFill>
          </w14:textFill>
        </w:rPr>
        <w:t>1.4 标准和规范</w:t>
      </w:r>
      <w:bookmarkEnd w:id="398"/>
    </w:p>
    <w:p w14:paraId="6BC2AF34">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太阳能并网光伏电站的勘察、设计、采购、施工</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以及并网发电</w:t>
      </w:r>
      <w:r>
        <w:rPr>
          <w:rFonts w:hint="default" w:ascii="Times New Roman" w:hAnsi="Times New Roman" w:eastAsia="宋体" w:cs="Times New Roman"/>
          <w:color w:val="000000" w:themeColor="text1"/>
          <w:sz w:val="21"/>
          <w:szCs w:val="21"/>
          <w:highlight w:val="none"/>
          <w14:textFill>
            <w14:solidFill>
              <w14:schemeClr w14:val="tx1"/>
            </w14:solidFill>
          </w14:textFill>
        </w:rPr>
        <w:t>等符合相关的中国法律及规范、以及最新版的</w:t>
      </w:r>
      <w:r>
        <w:rPr>
          <w:rFonts w:ascii="Times New Roman" w:hAnsi="Times New Roman" w:eastAsia="宋体" w:cs="Times New Roman"/>
          <w:color w:val="000000" w:themeColor="text1"/>
          <w:sz w:val="21"/>
          <w:szCs w:val="21"/>
          <w:highlight w:val="none"/>
          <w14:textFill>
            <w14:solidFill>
              <w14:schemeClr w14:val="tx1"/>
            </w14:solidFill>
          </w14:textFill>
        </w:rPr>
        <w:t>ISO</w:t>
      </w:r>
      <w:r>
        <w:rPr>
          <w:rFonts w:hint="default" w:ascii="Times New Roman" w:hAnsi="Times New Roman" w:eastAsia="宋体" w:cs="Times New Roman"/>
          <w:color w:val="000000" w:themeColor="text1"/>
          <w:sz w:val="21"/>
          <w:szCs w:val="21"/>
          <w:highlight w:val="none"/>
          <w14:textFill>
            <w14:solidFill>
              <w14:schemeClr w14:val="tx1"/>
            </w14:solidFill>
          </w14:textFill>
        </w:rPr>
        <w:t>和</w:t>
      </w:r>
      <w:r>
        <w:rPr>
          <w:rFonts w:ascii="Times New Roman" w:hAnsi="Times New Roman" w:eastAsia="宋体" w:cs="Times New Roman"/>
          <w:color w:val="000000" w:themeColor="text1"/>
          <w:sz w:val="21"/>
          <w:szCs w:val="21"/>
          <w:highlight w:val="none"/>
          <w14:textFill>
            <w14:solidFill>
              <w14:schemeClr w14:val="tx1"/>
            </w14:solidFill>
          </w14:textFill>
        </w:rPr>
        <w:t>IEC</w:t>
      </w:r>
      <w:r>
        <w:rPr>
          <w:rFonts w:hint="default" w:ascii="Times New Roman" w:hAnsi="Times New Roman" w:eastAsia="宋体" w:cs="Times New Roman"/>
          <w:color w:val="000000" w:themeColor="text1"/>
          <w:sz w:val="21"/>
          <w:szCs w:val="21"/>
          <w:highlight w:val="none"/>
          <w14:textFill>
            <w14:solidFill>
              <w14:schemeClr w14:val="tx1"/>
            </w14:solidFill>
          </w14:textFill>
        </w:rPr>
        <w:t>标准。对于标准的采用符合下述原则：</w:t>
      </w:r>
    </w:p>
    <w:p w14:paraId="29256FD8">
      <w:pPr>
        <w:pageBreakBefore w:val="0"/>
        <w:numPr>
          <w:ilvl w:val="0"/>
          <w:numId w:val="2"/>
        </w:numPr>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与安全、环保、健康、消防等相关的事项执行中国国家及地方有关法规、标准；</w:t>
      </w:r>
    </w:p>
    <w:p w14:paraId="1ED11028">
      <w:pPr>
        <w:pageBreakBefore w:val="0"/>
        <w:numPr>
          <w:ilvl w:val="0"/>
          <w:numId w:val="2"/>
        </w:numPr>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上述标准中不包含的部分采用技术来源国标准或国际通用标准，由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提供，</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确认；</w:t>
      </w:r>
    </w:p>
    <w:p w14:paraId="708B3450">
      <w:pPr>
        <w:pageBreakBefore w:val="0"/>
        <w:numPr>
          <w:ilvl w:val="0"/>
          <w:numId w:val="2"/>
        </w:numPr>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设计的</w:t>
      </w:r>
      <w:r>
        <w:rPr>
          <w:rFonts w:ascii="Times New Roman" w:hAnsi="Times New Roman" w:eastAsia="宋体" w:cs="Times New Roman"/>
          <w:color w:val="000000" w:themeColor="text1"/>
          <w:sz w:val="21"/>
          <w:szCs w:val="21"/>
          <w:highlight w:val="none"/>
          <w14:textFill>
            <w14:solidFill>
              <w14:schemeClr w14:val="tx1"/>
            </w14:solidFill>
          </w14:textFill>
        </w:rPr>
        <w:t>设备和材料执行设备和材料制造商所在国或</w:t>
      </w:r>
      <w:r>
        <w:rPr>
          <w:rFonts w:hint="default" w:ascii="Times New Roman" w:hAnsi="Times New Roman" w:eastAsia="宋体" w:cs="Times New Roman"/>
          <w:color w:val="000000" w:themeColor="text1"/>
          <w:sz w:val="21"/>
          <w:szCs w:val="21"/>
          <w:highlight w:val="none"/>
          <w14:textFill>
            <w14:solidFill>
              <w14:schemeClr w14:val="tx1"/>
            </w14:solidFill>
          </w14:textFill>
        </w:rPr>
        <w:t>国际</w:t>
      </w:r>
      <w:r>
        <w:rPr>
          <w:rFonts w:ascii="Times New Roman" w:hAnsi="Times New Roman" w:eastAsia="宋体" w:cs="Times New Roman"/>
          <w:color w:val="000000" w:themeColor="text1"/>
          <w:sz w:val="21"/>
          <w:szCs w:val="21"/>
          <w:highlight w:val="none"/>
          <w14:textFill>
            <w14:solidFill>
              <w14:schemeClr w14:val="tx1"/>
            </w14:solidFill>
          </w14:textFill>
        </w:rPr>
        <w:t>标准；</w:t>
      </w:r>
    </w:p>
    <w:p w14:paraId="12FD0B04">
      <w:pPr>
        <w:pageBreakBefore w:val="0"/>
        <w:numPr>
          <w:ilvl w:val="0"/>
          <w:numId w:val="2"/>
        </w:numPr>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建筑、结构</w:t>
      </w:r>
      <w:r>
        <w:rPr>
          <w:rFonts w:hint="default" w:ascii="Times New Roman" w:hAnsi="Times New Roman" w:eastAsia="宋体" w:cs="Times New Roman"/>
          <w:color w:val="000000" w:themeColor="text1"/>
          <w:sz w:val="21"/>
          <w:szCs w:val="21"/>
          <w:highlight w:val="none"/>
          <w14:textFill>
            <w14:solidFill>
              <w14:schemeClr w14:val="tx1"/>
            </w14:solidFill>
          </w14:textFill>
        </w:rPr>
        <w:t>、电气等</w:t>
      </w:r>
      <w:r>
        <w:rPr>
          <w:rFonts w:ascii="Times New Roman" w:hAnsi="Times New Roman" w:eastAsia="宋体" w:cs="Times New Roman"/>
          <w:color w:val="000000" w:themeColor="text1"/>
          <w:sz w:val="21"/>
          <w:szCs w:val="21"/>
          <w:highlight w:val="none"/>
          <w14:textFill>
            <w14:solidFill>
              <w14:schemeClr w14:val="tx1"/>
            </w14:solidFill>
          </w14:textFill>
        </w:rPr>
        <w:t>执行中国电力行业标准或中国相应的行业标准。</w:t>
      </w:r>
    </w:p>
    <w:p w14:paraId="55E25DF8">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应针对本工程的勘察、设计、采购、施工性能考核等要求，提交所有相关标准、规定及相关标准的清单。</w:t>
      </w:r>
    </w:p>
    <w:p w14:paraId="4AF0468D">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GB 50797-2012《光伏发电站设计规范》</w:t>
      </w:r>
    </w:p>
    <w:p w14:paraId="0305D1B8">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GB 50794-2012《光伏发电站施工规范》</w:t>
      </w:r>
    </w:p>
    <w:p w14:paraId="2E1C752C">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GB/T 50796-2012《光伏发电工程验收规范》</w:t>
      </w:r>
    </w:p>
    <w:p w14:paraId="5B4B1F9C">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GB/T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33593-2017《分布式电源并网技术要求》</w:t>
      </w:r>
    </w:p>
    <w:p w14:paraId="2F792C47">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GB/T 51338-2018《分布式电源并网工程调试与验收标准》</w:t>
      </w:r>
    </w:p>
    <w:p w14:paraId="076D14EC">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GB/T 19964-2024</w:t>
      </w:r>
      <w:r>
        <w:rPr>
          <w:rFonts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光伏发电站接入电力系统技术规定</w:t>
      </w:r>
      <w:r>
        <w:rPr>
          <w:rFonts w:ascii="Times New Roman" w:hAnsi="Times New Roman" w:eastAsia="宋体" w:cs="Times New Roman"/>
          <w:color w:val="000000" w:themeColor="text1"/>
          <w:sz w:val="21"/>
          <w:szCs w:val="21"/>
          <w:highlight w:val="none"/>
          <w14:textFill>
            <w14:solidFill>
              <w14:schemeClr w14:val="tx1"/>
            </w14:solidFill>
          </w14:textFill>
        </w:rPr>
        <w:t>》</w:t>
      </w:r>
    </w:p>
    <w:p w14:paraId="6C29E316">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（7）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GB</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50303-2015《建筑电气工程施工质量验收规范》</w:t>
      </w:r>
    </w:p>
    <w:p w14:paraId="46D9B0C3">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GB 51101-2016《大阳能发电站支架基础技术规范》</w:t>
      </w:r>
    </w:p>
    <w:p w14:paraId="3056D546">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GB/T 51368《建筑光伏系统应用技术标准》</w:t>
      </w:r>
    </w:p>
    <w:p w14:paraId="79F68E86">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GB</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39857-2021《光伏发电效率技术规范》</w:t>
      </w:r>
    </w:p>
    <w:p w14:paraId="43270CF2">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14:textFill>
            <w14:solidFill>
              <w14:schemeClr w14:val="tx1"/>
            </w14:solidFill>
          </w14:textFill>
        </w:rPr>
        <w:t>GB/T 29319-2024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14:textFill>
            <w14:solidFill>
              <w14:schemeClr w14:val="tx1"/>
            </w14:solidFill>
          </w14:textFill>
        </w:rPr>
        <w:t>光伏发电系统接入配电网技术规定</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05DF0AD4">
      <w:pPr>
        <w:pageBreakBefore w:val="0"/>
        <w:numPr>
          <w:ilvl w:val="0"/>
          <w:numId w:val="0"/>
        </w:numPr>
        <w:kinsoku/>
        <w:wordWrap/>
        <w:overflowPunct/>
        <w:topLinePunct w:val="0"/>
        <w:bidi w:val="0"/>
        <w:spacing w:line="400" w:lineRule="exact"/>
        <w:ind w:left="420" w:leftChars="200" w:firstLine="0" w:firstLineChars="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）GB/T 30427-2013</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b w:val="0"/>
          <w:bCs w:val="0"/>
          <w:i w:val="0"/>
          <w:iCs w:val="0"/>
          <w:caps w:val="0"/>
          <w:color w:val="000000" w:themeColor="text1"/>
          <w:spacing w:val="0"/>
          <w:sz w:val="21"/>
          <w:szCs w:val="21"/>
          <w:highlight w:val="none"/>
          <w:u w:val="none"/>
          <w:shd w:val="clear"/>
          <w14:textFill>
            <w14:solidFill>
              <w14:schemeClr w14:val="tx1"/>
            </w14:solidFill>
          </w14:textFill>
        </w:rPr>
        <w:fldChar w:fldCharType="begin"/>
      </w:r>
      <w:r>
        <w:rPr>
          <w:rFonts w:hint="eastAsia" w:ascii="Times New Roman" w:hAnsi="Times New Roman" w:eastAsia="宋体" w:cs="Times New Roman"/>
          <w:b w:val="0"/>
          <w:bCs w:val="0"/>
          <w:i w:val="0"/>
          <w:iCs w:val="0"/>
          <w:caps w:val="0"/>
          <w:color w:val="000000" w:themeColor="text1"/>
          <w:spacing w:val="0"/>
          <w:sz w:val="21"/>
          <w:szCs w:val="21"/>
          <w:highlight w:val="none"/>
          <w:u w:val="none"/>
          <w:shd w:val="clear"/>
          <w14:textFill>
            <w14:solidFill>
              <w14:schemeClr w14:val="tx1"/>
            </w14:solidFill>
          </w14:textFill>
        </w:rPr>
        <w:instrText xml:space="preserve"> HYPERLINK "javascript:void(0)" </w:instrText>
      </w:r>
      <w:r>
        <w:rPr>
          <w:rFonts w:hint="eastAsia" w:ascii="Times New Roman" w:hAnsi="Times New Roman" w:eastAsia="宋体" w:cs="Times New Roman"/>
          <w:b w:val="0"/>
          <w:bCs w:val="0"/>
          <w:i w:val="0"/>
          <w:iCs w:val="0"/>
          <w:caps w:val="0"/>
          <w:color w:val="000000" w:themeColor="text1"/>
          <w:spacing w:val="0"/>
          <w:sz w:val="21"/>
          <w:szCs w:val="21"/>
          <w:highlight w:val="none"/>
          <w:u w:val="none"/>
          <w:shd w:val="clear"/>
          <w14:textFill>
            <w14:solidFill>
              <w14:schemeClr w14:val="tx1"/>
            </w14:solidFill>
          </w14:textFill>
        </w:rPr>
        <w:fldChar w:fldCharType="separate"/>
      </w:r>
      <w:r>
        <w:rPr>
          <w:rFonts w:hint="eastAsia" w:ascii="Times New Roman" w:hAnsi="Times New Roman" w:eastAsia="宋体" w:cs="Times New Roman"/>
          <w:b w:val="0"/>
          <w:bCs w:val="0"/>
          <w:i w:val="0"/>
          <w:iCs w:val="0"/>
          <w:caps w:val="0"/>
          <w:color w:val="000000" w:themeColor="text1"/>
          <w:spacing w:val="0"/>
          <w:sz w:val="21"/>
          <w:szCs w:val="21"/>
          <w:highlight w:val="none"/>
          <w:u w:val="none"/>
          <w:shd w:val="clear"/>
          <w14:textFill>
            <w14:solidFill>
              <w14:schemeClr w14:val="tx1"/>
            </w14:solidFill>
          </w14:textFill>
        </w:rPr>
        <w:t>并网光伏发电专用逆变器技术要求和试验方法</w:t>
      </w:r>
      <w:r>
        <w:rPr>
          <w:rFonts w:hint="eastAsia" w:ascii="Times New Roman" w:hAnsi="Times New Roman" w:eastAsia="宋体" w:cs="Times New Roman"/>
          <w:b w:val="0"/>
          <w:bCs w:val="0"/>
          <w:i w:val="0"/>
          <w:iCs w:val="0"/>
          <w:caps w:val="0"/>
          <w:color w:val="000000" w:themeColor="text1"/>
          <w:spacing w:val="0"/>
          <w:sz w:val="21"/>
          <w:szCs w:val="21"/>
          <w:highlight w:val="none"/>
          <w:u w:val="none"/>
          <w:shd w:val="clear"/>
          <w14:textFill>
            <w14:solidFill>
              <w14:schemeClr w14:val="tx1"/>
            </w14:solidFill>
          </w14:textFill>
        </w:rPr>
        <w:fldChar w:fldCharType="end"/>
      </w:r>
      <w:r>
        <w:rPr>
          <w:rFonts w:hint="eastAsia" w:ascii="Times New Roman" w:hAnsi="Times New Roman" w:eastAsia="宋体" w:cs="Times New Roman"/>
          <w:color w:val="000000" w:themeColor="text1"/>
          <w:sz w:val="21"/>
          <w:szCs w:val="21"/>
          <w:highlight w:val="none"/>
          <w14:textFill>
            <w14:solidFill>
              <w14:schemeClr w14:val="tx1"/>
            </w14:solidFill>
          </w14:textFill>
        </w:rPr>
        <w:t>》</w:t>
      </w:r>
    </w:p>
    <w:p w14:paraId="4DA9CC8F">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东莞市发展和改革局分布式光伏发电项目建设管理办法</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东发改〔2022〕206号</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6DF1EEAD">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上述标准、规范及规程仅是本</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w:t>
      </w:r>
      <w:r>
        <w:rPr>
          <w:rFonts w:ascii="Times New Roman" w:hAnsi="Times New Roman" w:eastAsia="宋体" w:cs="Times New Roman"/>
          <w:color w:val="000000" w:themeColor="text1"/>
          <w:sz w:val="21"/>
          <w:szCs w:val="21"/>
          <w:highlight w:val="none"/>
          <w14:textFill>
            <w14:solidFill>
              <w14:schemeClr w14:val="tx1"/>
            </w14:solidFill>
          </w14:textFill>
        </w:rPr>
        <w:t>的最基本依据，并未包括实施中所涉及到的所有标准、规范和规程，并且所用标准和技术规范均为合同签订之日为止时的最新版本。</w:t>
      </w:r>
    </w:p>
    <w:p w14:paraId="076E6BCA">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399" w:name="_Toc32625"/>
      <w:r>
        <w:rPr>
          <w:rFonts w:ascii="Times New Roman" w:hAnsi="Times New Roman" w:eastAsia="宋体" w:cs="Times New Roman"/>
          <w:b/>
          <w:color w:val="000000" w:themeColor="text1"/>
          <w:sz w:val="21"/>
          <w:szCs w:val="21"/>
          <w:highlight w:val="none"/>
          <w14:textFill>
            <w14:solidFill>
              <w14:schemeClr w14:val="tx1"/>
            </w14:solidFill>
          </w14:textFill>
        </w:rPr>
        <w:t xml:space="preserve">2 </w:t>
      </w: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主要设备及系统要求</w:t>
      </w:r>
      <w:bookmarkEnd w:id="399"/>
    </w:p>
    <w:p w14:paraId="44E5C3F8">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00" w:name="_Toc18030"/>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.1 </w:t>
      </w:r>
      <w:r>
        <w:rPr>
          <w:rFonts w:hint="default" w:ascii="Times New Roman" w:hAnsi="Times New Roman" w:eastAsia="宋体" w:cs="Times New Roman"/>
          <w:b/>
          <w:color w:val="000000" w:themeColor="text1"/>
          <w:sz w:val="21"/>
          <w:szCs w:val="21"/>
          <w:highlight w:val="none"/>
          <w14:textFill>
            <w14:solidFill>
              <w14:schemeClr w14:val="tx1"/>
            </w14:solidFill>
          </w14:textFill>
        </w:rPr>
        <w:t>光伏组件</w:t>
      </w:r>
      <w:bookmarkEnd w:id="400"/>
    </w:p>
    <w:p w14:paraId="184ADA28">
      <w:pPr>
        <w:pageBreakBefore w:val="0"/>
        <w:numPr>
          <w:ilvl w:val="2"/>
          <w:numId w:val="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光伏项目建设使用的太阳能组件须为A级品质，其生产企业要纳入国家工信部名录或产品通过TUV国际产品质量认证或CQC认证。</w:t>
      </w:r>
    </w:p>
    <w:p w14:paraId="24EC8F52">
      <w:pPr>
        <w:pageBreakBefore w:val="0"/>
        <w:numPr>
          <w:ilvl w:val="2"/>
          <w:numId w:val="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组件使用寿命不低于25年，晶硅组件光电转换效率不低于20%，并提供10 年功率不低于额定功率90%和25年功率不低于额定功率80%有限质保。</w:t>
      </w:r>
    </w:p>
    <w:p w14:paraId="1B7EE63A">
      <w:pPr>
        <w:pageBreakBefore w:val="0"/>
        <w:numPr>
          <w:ilvl w:val="2"/>
          <w:numId w:val="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光伏组件防护等级不低于IP66</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在雨、雾、露水的湿气的环境下能正常工作，耐火等级达到A级不燃。并提供</w:t>
      </w:r>
      <w:r>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t>具有相应资质</w:t>
      </w:r>
      <w:r>
        <w:rPr>
          <w:rFonts w:hint="default" w:ascii="Times New Roman" w:hAnsi="Times New Roman" w:eastAsia="宋体" w:cs="Times New Roman"/>
          <w:color w:val="000000" w:themeColor="text1"/>
          <w:sz w:val="21"/>
          <w:szCs w:val="21"/>
          <w:highlight w:val="none"/>
          <w14:textFill>
            <w14:solidFill>
              <w14:schemeClr w14:val="tx1"/>
            </w14:solidFill>
          </w14:textFill>
        </w:rPr>
        <w:t>机构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出具的</w:t>
      </w:r>
      <w:r>
        <w:rPr>
          <w:rFonts w:hint="default" w:ascii="Times New Roman" w:hAnsi="Times New Roman" w:eastAsia="宋体" w:cs="Times New Roman"/>
          <w:color w:val="000000" w:themeColor="text1"/>
          <w:sz w:val="21"/>
          <w:szCs w:val="21"/>
          <w:highlight w:val="none"/>
          <w14:textFill>
            <w14:solidFill>
              <w14:schemeClr w14:val="tx1"/>
            </w14:solidFill>
          </w14:textFill>
        </w:rPr>
        <w:t>检测报告，若检测机构为英文版则需提供中文版检测报告。</w:t>
      </w:r>
    </w:p>
    <w:p w14:paraId="564C52A8">
      <w:pPr>
        <w:pageBreakBefore w:val="0"/>
        <w:numPr>
          <w:ilvl w:val="2"/>
          <w:numId w:val="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所供电池组件需满足抗25mm冰雹的撞击要求，冰雹实验需满足 IEC61215 相关规定，并提供实验冰球质量、尺寸及试验速度，同时提供组件适应安装的气候条件，并对所供组件的抗冰雹能力加以说明并提供证明文件。</w:t>
      </w:r>
    </w:p>
    <w:p w14:paraId="2F4B034F">
      <w:pPr>
        <w:pageBreakBefore w:val="0"/>
        <w:numPr>
          <w:ilvl w:val="2"/>
          <w:numId w:val="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所供组电池组件需具备防盐雾腐蚀功能，不因盐雾腐蚀出现绝缘降低、发电量减少情况。</w:t>
      </w:r>
    </w:p>
    <w:p w14:paraId="48041132">
      <w:pPr>
        <w:pageBreakBefore w:val="0"/>
        <w:numPr>
          <w:ilvl w:val="2"/>
          <w:numId w:val="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电池组件需具备一定的抗潮湿能力，组件在雨、雾、露水的湿气的环境下，组件能正常工作，绝缘性能满足要求，不允许出现漏电现象，湿漏电流试验需满足IEC61215相关条款规定。</w:t>
      </w:r>
    </w:p>
    <w:p w14:paraId="10CB97CF">
      <w:pPr>
        <w:pageBreakBefore w:val="0"/>
        <w:numPr>
          <w:ilvl w:val="2"/>
          <w:numId w:val="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要求同一光伏发电单元内光伏组件的电池片需为同一批次原料，表面颜色均匀一致，无机械损伤，焊点无氧化斑，电池组件的I-V曲线基本相同。</w:t>
      </w:r>
    </w:p>
    <w:p w14:paraId="31F45A99">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01" w:name="_Toc31386"/>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.2 </w:t>
      </w:r>
      <w:r>
        <w:rPr>
          <w:rFonts w:hint="default" w:ascii="Times New Roman" w:hAnsi="Times New Roman" w:eastAsia="宋体" w:cs="Times New Roman"/>
          <w:b/>
          <w:color w:val="000000" w:themeColor="text1"/>
          <w:sz w:val="21"/>
          <w:szCs w:val="21"/>
          <w:highlight w:val="none"/>
          <w14:textFill>
            <w14:solidFill>
              <w14:schemeClr w14:val="tx1"/>
            </w14:solidFill>
          </w14:textFill>
        </w:rPr>
        <w:t>光伏支架</w:t>
      </w:r>
      <w:bookmarkEnd w:id="401"/>
    </w:p>
    <w:p w14:paraId="32CDCE75">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2.2.1 基本要求</w:t>
      </w:r>
    </w:p>
    <w:p w14:paraId="509CA24F">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根据本项目涉及污水处理厂现场的生产构建筑物情况，本项目光伏支架布置形式包含混凝土屋面光伏支架、彩钢瓦轻钢屋面光伏支架、一体化光伏车棚、生化池池面</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光伏</w:t>
      </w:r>
      <w:r>
        <w:rPr>
          <w:rFonts w:hint="default" w:ascii="Times New Roman" w:hAnsi="Times New Roman" w:eastAsia="宋体" w:cs="Times New Roman"/>
          <w:color w:val="000000" w:themeColor="text1"/>
          <w:sz w:val="21"/>
          <w:szCs w:val="21"/>
          <w:highlight w:val="none"/>
          <w14:textFill>
            <w14:solidFill>
              <w14:schemeClr w14:val="tx1"/>
            </w14:solidFill>
          </w14:textFill>
        </w:rPr>
        <w:t>支架及地面大跨度</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光伏</w:t>
      </w:r>
      <w:r>
        <w:rPr>
          <w:rFonts w:hint="default" w:ascii="Times New Roman" w:hAnsi="Times New Roman" w:eastAsia="宋体" w:cs="Times New Roman"/>
          <w:color w:val="000000" w:themeColor="text1"/>
          <w:sz w:val="21"/>
          <w:szCs w:val="21"/>
          <w:highlight w:val="none"/>
          <w14:textFill>
            <w14:solidFill>
              <w14:schemeClr w14:val="tx1"/>
            </w14:solidFill>
          </w14:textFill>
        </w:rPr>
        <w:t>支架。</w:t>
      </w:r>
    </w:p>
    <w:p w14:paraId="4CFF455D">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支架的强度应满足在自重、风荷载和地震荷载共同作用下的使用要求，设计时光伏支架基础设计使用年限5</w:t>
      </w:r>
      <w:r>
        <w:rPr>
          <w:rFonts w:ascii="Times New Roman" w:hAnsi="Times New Roman" w:eastAsia="宋体" w:cs="Times New Roman"/>
          <w:color w:val="000000" w:themeColor="text1"/>
          <w:sz w:val="21"/>
          <w:szCs w:val="21"/>
          <w:highlight w:val="none"/>
          <w14:textFill>
            <w14:solidFill>
              <w14:schemeClr w14:val="tx1"/>
            </w14:solidFill>
          </w14:textFill>
        </w:rPr>
        <w:t>0年，光伏支架结构</w:t>
      </w:r>
      <w:r>
        <w:rPr>
          <w:rFonts w:hint="default" w:ascii="Times New Roman" w:hAnsi="Times New Roman" w:eastAsia="宋体" w:cs="Times New Roman"/>
          <w:color w:val="000000" w:themeColor="text1"/>
          <w:sz w:val="21"/>
          <w:szCs w:val="21"/>
          <w:highlight w:val="none"/>
          <w14:textFill>
            <w14:solidFill>
              <w14:schemeClr w14:val="tx1"/>
            </w14:solidFill>
          </w14:textFill>
        </w:rPr>
        <w:t>设计</w:t>
      </w:r>
      <w:r>
        <w:rPr>
          <w:rFonts w:ascii="Times New Roman" w:hAnsi="Times New Roman" w:eastAsia="宋体" w:cs="Times New Roman"/>
          <w:color w:val="000000" w:themeColor="text1"/>
          <w:sz w:val="21"/>
          <w:szCs w:val="21"/>
          <w:highlight w:val="none"/>
          <w14:textFill>
            <w14:solidFill>
              <w14:schemeClr w14:val="tx1"/>
            </w14:solidFill>
          </w14:textFill>
        </w:rPr>
        <w:t>使用年限</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ascii="Times New Roman" w:hAnsi="Times New Roman" w:eastAsia="宋体" w:cs="Times New Roman"/>
          <w:color w:val="000000" w:themeColor="text1"/>
          <w:sz w:val="21"/>
          <w:szCs w:val="21"/>
          <w:highlight w:val="none"/>
          <w14:textFill>
            <w14:solidFill>
              <w14:schemeClr w14:val="tx1"/>
            </w14:solidFill>
          </w14:textFill>
        </w:rPr>
        <w:t>5年，</w:t>
      </w:r>
      <w:r>
        <w:rPr>
          <w:rFonts w:hint="default" w:ascii="Times New Roman" w:hAnsi="Times New Roman" w:eastAsia="宋体" w:cs="Times New Roman"/>
          <w:color w:val="000000" w:themeColor="text1"/>
          <w:sz w:val="21"/>
          <w:szCs w:val="21"/>
          <w:highlight w:val="none"/>
          <w14:textFill>
            <w14:solidFill>
              <w14:schemeClr w14:val="tx1"/>
            </w14:solidFill>
          </w14:textFill>
        </w:rPr>
        <w:t>表面防腐应满足10年内可拆卸再利用和25年内安全使用的要求</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highlight w:val="none"/>
          <w:shd w:val="clear"/>
          <w14:textFill>
            <w14:solidFill>
              <w14:schemeClr w14:val="tx1"/>
            </w14:solidFill>
          </w14:textFill>
        </w:rPr>
        <w:t>建筑光伏一体化</w:t>
      </w:r>
      <w:r>
        <w:rPr>
          <w:rFonts w:hint="default" w:ascii="Times New Roman" w:hAnsi="Times New Roman" w:eastAsia="宋体" w:cs="Times New Roman"/>
          <w:i w:val="0"/>
          <w:iCs w:val="0"/>
          <w:caps w:val="0"/>
          <w:color w:val="000000" w:themeColor="text1"/>
          <w:spacing w:val="0"/>
          <w:sz w:val="21"/>
          <w:szCs w:val="21"/>
          <w:highlight w:val="none"/>
          <w:shd w:val="clear" w:fill="auto"/>
          <w14:textFill>
            <w14:solidFill>
              <w14:schemeClr w14:val="tx1"/>
            </w14:solidFill>
          </w14:textFill>
        </w:rPr>
        <w:t>的光伏支架设计使用年限应与一体化建筑主体结构一致</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3ECDED48">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支架设计必须满足12级台风（即风速在32.6米/秒以上的热带气旋）的抗风要求。</w:t>
      </w:r>
    </w:p>
    <w:p w14:paraId="07CB67D6">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本项目混凝土屋顶支架形式采用固定式钢支架，需选用Q235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highlight w:val="none"/>
          <w14:textFill>
            <w14:solidFill>
              <w14:schemeClr w14:val="tx1"/>
            </w14:solidFill>
          </w14:textFill>
        </w:rPr>
        <w:t>及以上钢材，钢材防腐可采用热浸锌和镀镁铝锌两种方式。若采用热浸锌防腐，镀锌层厚度应满足《光伏支架结构设计规程》（NB/T 10115-2018）、《金属覆盖层 钢铁制件热浸镀锌层技术要求及试验方法》（GB/T13912-2020）的相关要求。钢构件厚度＞</w:t>
      </w:r>
      <w:r>
        <w:rPr>
          <w:rFonts w:ascii="Times New Roman" w:hAnsi="Times New Roman" w:eastAsia="宋体" w:cs="Times New Roman"/>
          <w:color w:val="000000" w:themeColor="text1"/>
          <w:sz w:val="21"/>
          <w:szCs w:val="21"/>
          <w:highlight w:val="none"/>
          <w14:textFill>
            <w14:solidFill>
              <w14:schemeClr w14:val="tx1"/>
            </w14:solidFill>
          </w14:textFill>
        </w:rPr>
        <w:t xml:space="preserve">6mm </w:t>
      </w:r>
      <w:r>
        <w:rPr>
          <w:rFonts w:hint="default" w:ascii="Times New Roman" w:hAnsi="Times New Roman" w:eastAsia="宋体" w:cs="Times New Roman"/>
          <w:color w:val="000000" w:themeColor="text1"/>
          <w:sz w:val="21"/>
          <w:szCs w:val="21"/>
          <w:highlight w:val="none"/>
          <w14:textFill>
            <w14:solidFill>
              <w14:schemeClr w14:val="tx1"/>
            </w14:solidFill>
          </w14:textFill>
        </w:rPr>
        <w:t>时，热浸镀锌平均厚度不应小于</w:t>
      </w:r>
      <w:r>
        <w:rPr>
          <w:rFonts w:ascii="Times New Roman" w:hAnsi="Times New Roman" w:eastAsia="宋体" w:cs="Times New Roman"/>
          <w:color w:val="000000" w:themeColor="text1"/>
          <w:sz w:val="21"/>
          <w:szCs w:val="21"/>
          <w:highlight w:val="none"/>
          <w14:textFill>
            <w14:solidFill>
              <w14:schemeClr w14:val="tx1"/>
            </w14:solidFill>
          </w14:textFill>
        </w:rPr>
        <w:t>85</w:t>
      </w:r>
      <w:r>
        <w:rPr>
          <w:rFonts w:hint="default" w:ascii="Times New Roman" w:hAnsi="Times New Roman" w:eastAsia="宋体" w:cs="Times New Roman"/>
          <w:color w:val="000000" w:themeColor="text1"/>
          <w:sz w:val="21"/>
          <w:szCs w:val="21"/>
          <w:highlight w:val="none"/>
          <w14:textFill>
            <w14:solidFill>
              <w14:schemeClr w14:val="tx1"/>
            </w14:solidFill>
          </w14:textFill>
        </w:rPr>
        <w:t>μ</w:t>
      </w:r>
      <w:r>
        <w:rPr>
          <w:rFonts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14:textFill>
            <w14:solidFill>
              <w14:schemeClr w14:val="tx1"/>
            </w14:solidFill>
          </w14:textFill>
        </w:rPr>
        <w:t>，局部镀锌厚度不应小于</w:t>
      </w:r>
      <w:r>
        <w:rPr>
          <w:rFonts w:ascii="Times New Roman" w:hAnsi="Times New Roman" w:eastAsia="宋体" w:cs="Times New Roman"/>
          <w:color w:val="000000" w:themeColor="text1"/>
          <w:sz w:val="21"/>
          <w:szCs w:val="21"/>
          <w:highlight w:val="none"/>
          <w14:textFill>
            <w14:solidFill>
              <w14:schemeClr w14:val="tx1"/>
            </w14:solidFill>
          </w14:textFill>
        </w:rPr>
        <w:t>70</w:t>
      </w:r>
      <w:r>
        <w:rPr>
          <w:rFonts w:hint="default" w:ascii="Times New Roman" w:hAnsi="Times New Roman" w:eastAsia="宋体" w:cs="Times New Roman"/>
          <w:color w:val="000000" w:themeColor="text1"/>
          <w:sz w:val="21"/>
          <w:szCs w:val="21"/>
          <w:highlight w:val="none"/>
          <w14:textFill>
            <w14:solidFill>
              <w14:schemeClr w14:val="tx1"/>
            </w14:solidFill>
          </w14:textFill>
        </w:rPr>
        <w:t>μ</w:t>
      </w:r>
      <w:r>
        <w:rPr>
          <w:rFonts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14:textFill>
            <w14:solidFill>
              <w14:schemeClr w14:val="tx1"/>
            </w14:solidFill>
          </w14:textFill>
        </w:rPr>
        <w:t>；对于</w:t>
      </w:r>
      <w:r>
        <w:rPr>
          <w:rFonts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＜钢构件厚度≤</w:t>
      </w:r>
      <w:r>
        <w:rPr>
          <w:rFonts w:ascii="Times New Roman" w:hAnsi="Times New Roman" w:eastAsia="宋体" w:cs="Times New Roman"/>
          <w:color w:val="000000" w:themeColor="text1"/>
          <w:sz w:val="21"/>
          <w:szCs w:val="21"/>
          <w:highlight w:val="none"/>
          <w14:textFill>
            <w14:solidFill>
              <w14:schemeClr w14:val="tx1"/>
            </w14:solidFill>
          </w14:textFill>
        </w:rPr>
        <w:t xml:space="preserve">6mm </w:t>
      </w:r>
      <w:r>
        <w:rPr>
          <w:rFonts w:hint="default" w:ascii="Times New Roman" w:hAnsi="Times New Roman" w:eastAsia="宋体" w:cs="Times New Roman"/>
          <w:color w:val="000000" w:themeColor="text1"/>
          <w:sz w:val="21"/>
          <w:szCs w:val="21"/>
          <w:highlight w:val="none"/>
          <w14:textFill>
            <w14:solidFill>
              <w14:schemeClr w14:val="tx1"/>
            </w14:solidFill>
          </w14:textFill>
        </w:rPr>
        <w:t>时，热浸镀锌平均厚度不应小于</w:t>
      </w:r>
      <w:r>
        <w:rPr>
          <w:rFonts w:ascii="Times New Roman" w:hAnsi="Times New Roman" w:eastAsia="宋体" w:cs="Times New Roman"/>
          <w:color w:val="000000" w:themeColor="text1"/>
          <w:sz w:val="21"/>
          <w:szCs w:val="21"/>
          <w:highlight w:val="none"/>
          <w14:textFill>
            <w14:solidFill>
              <w14:schemeClr w14:val="tx1"/>
            </w14:solidFill>
          </w14:textFill>
        </w:rPr>
        <w:t>70</w:t>
      </w:r>
      <w:r>
        <w:rPr>
          <w:rFonts w:hint="default" w:ascii="Times New Roman" w:hAnsi="Times New Roman" w:eastAsia="宋体" w:cs="Times New Roman"/>
          <w:color w:val="000000" w:themeColor="text1"/>
          <w:sz w:val="21"/>
          <w:szCs w:val="21"/>
          <w:highlight w:val="none"/>
          <w14:textFill>
            <w14:solidFill>
              <w14:schemeClr w14:val="tx1"/>
            </w14:solidFill>
          </w14:textFill>
        </w:rPr>
        <w:t>μ</w:t>
      </w:r>
      <w:r>
        <w:rPr>
          <w:rFonts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14:textFill>
            <w14:solidFill>
              <w14:schemeClr w14:val="tx1"/>
            </w14:solidFill>
          </w14:textFill>
        </w:rPr>
        <w:t>，局部镀锌厚度不应小于</w:t>
      </w:r>
      <w:r>
        <w:rPr>
          <w:rFonts w:ascii="Times New Roman" w:hAnsi="Times New Roman" w:eastAsia="宋体" w:cs="Times New Roman"/>
          <w:color w:val="000000" w:themeColor="text1"/>
          <w:sz w:val="21"/>
          <w:szCs w:val="21"/>
          <w:highlight w:val="none"/>
          <w14:textFill>
            <w14:solidFill>
              <w14:schemeClr w14:val="tx1"/>
            </w14:solidFill>
          </w14:textFill>
        </w:rPr>
        <w:t>55</w:t>
      </w:r>
      <w:r>
        <w:rPr>
          <w:rFonts w:hint="default" w:ascii="Times New Roman" w:hAnsi="Times New Roman" w:eastAsia="宋体" w:cs="Times New Roman"/>
          <w:color w:val="000000" w:themeColor="text1"/>
          <w:sz w:val="21"/>
          <w:szCs w:val="21"/>
          <w:highlight w:val="none"/>
          <w14:textFill>
            <w14:solidFill>
              <w14:schemeClr w14:val="tx1"/>
            </w14:solidFill>
          </w14:textFill>
        </w:rPr>
        <w:t>μ</w:t>
      </w:r>
      <w:r>
        <w:rPr>
          <w:rFonts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14:textFill>
            <w14:solidFill>
              <w14:schemeClr w14:val="tx1"/>
            </w14:solidFill>
          </w14:textFill>
        </w:rPr>
        <w:t>；镀镁铝锌不低于</w:t>
      </w:r>
      <w:r>
        <w:rPr>
          <w:rFonts w:ascii="Times New Roman" w:hAnsi="Times New Roman" w:eastAsia="宋体" w:cs="Times New Roman"/>
          <w:color w:val="000000" w:themeColor="text1"/>
          <w:sz w:val="21"/>
          <w:szCs w:val="21"/>
          <w:highlight w:val="none"/>
          <w14:textFill>
            <w14:solidFill>
              <w14:schemeClr w14:val="tx1"/>
            </w14:solidFill>
          </w14:textFill>
        </w:rPr>
        <w:t>275mg/m</w:t>
      </w:r>
      <w:r>
        <w:rPr>
          <w:rFonts w:ascii="Times New Roman" w:hAnsi="Times New Roman" w:eastAsia="宋体"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；光伏支架铝构件阳极氧化膜平均厚度不应小于</w:t>
      </w:r>
      <w:r>
        <w:rPr>
          <w:rFonts w:ascii="Times New Roman" w:hAnsi="Times New Roman" w:eastAsia="宋体" w:cs="Times New Roman"/>
          <w:color w:val="000000" w:themeColor="text1"/>
          <w:sz w:val="21"/>
          <w:szCs w:val="21"/>
          <w:highlight w:val="none"/>
          <w14:textFill>
            <w14:solidFill>
              <w14:schemeClr w14:val="tx1"/>
            </w14:solidFill>
          </w14:textFill>
        </w:rPr>
        <w:t>15</w:t>
      </w:r>
      <w:r>
        <w:rPr>
          <w:rFonts w:hint="default" w:ascii="Times New Roman" w:hAnsi="Times New Roman" w:eastAsia="宋体" w:cs="Times New Roman"/>
          <w:color w:val="000000" w:themeColor="text1"/>
          <w:sz w:val="21"/>
          <w:szCs w:val="21"/>
          <w:highlight w:val="none"/>
          <w14:textFill>
            <w14:solidFill>
              <w14:schemeClr w14:val="tx1"/>
            </w14:solidFill>
          </w14:textFill>
        </w:rPr>
        <w:t>μ</w:t>
      </w:r>
      <w:r>
        <w:rPr>
          <w:rFonts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14:textFill>
            <w14:solidFill>
              <w14:schemeClr w14:val="tx1"/>
            </w14:solidFill>
          </w14:textFill>
        </w:rPr>
        <w:t>，局部厚度不应小于</w:t>
      </w:r>
      <w:r>
        <w:rPr>
          <w:rFonts w:ascii="Times New Roman" w:hAnsi="Times New Roman" w:eastAsia="宋体" w:cs="Times New Roman"/>
          <w:color w:val="000000" w:themeColor="text1"/>
          <w:sz w:val="21"/>
          <w:szCs w:val="21"/>
          <w:highlight w:val="none"/>
          <w14:textFill>
            <w14:solidFill>
              <w14:schemeClr w14:val="tx1"/>
            </w14:solidFill>
          </w14:textFill>
        </w:rPr>
        <w:t>12</w:t>
      </w:r>
      <w:r>
        <w:rPr>
          <w:rFonts w:hint="default" w:ascii="Times New Roman" w:hAnsi="Times New Roman" w:eastAsia="宋体" w:cs="Times New Roman"/>
          <w:color w:val="000000" w:themeColor="text1"/>
          <w:sz w:val="21"/>
          <w:szCs w:val="21"/>
          <w:highlight w:val="none"/>
          <w14:textFill>
            <w14:solidFill>
              <w14:schemeClr w14:val="tx1"/>
            </w14:solidFill>
          </w14:textFill>
        </w:rPr>
        <w:t>μ</w:t>
      </w:r>
      <w:r>
        <w:rPr>
          <w:rFonts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14:textFill>
            <w14:solidFill>
              <w14:schemeClr w14:val="tx1"/>
            </w14:solidFill>
          </w14:textFill>
        </w:rPr>
        <w:t>，铝合金连接件阳极氧化膜平均厚度不应小于</w:t>
      </w:r>
      <w:r>
        <w:rPr>
          <w:rFonts w:ascii="Times New Roman" w:hAnsi="Times New Roman" w:eastAsia="宋体" w:cs="Times New Roman"/>
          <w:color w:val="000000" w:themeColor="text1"/>
          <w:sz w:val="21"/>
          <w:szCs w:val="21"/>
          <w:highlight w:val="none"/>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t>μ</w:t>
      </w:r>
      <w:r>
        <w:rPr>
          <w:rFonts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14:textFill>
            <w14:solidFill>
              <w14:schemeClr w14:val="tx1"/>
            </w14:solidFill>
          </w14:textFill>
        </w:rPr>
        <w:t>，局部厚度不应小于</w:t>
      </w:r>
      <w:r>
        <w:rPr>
          <w:rFonts w:ascii="Times New Roman" w:hAnsi="Times New Roman" w:eastAsia="宋体" w:cs="Times New Roman"/>
          <w:color w:val="000000" w:themeColor="text1"/>
          <w:sz w:val="21"/>
          <w:szCs w:val="21"/>
          <w:highlight w:val="none"/>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μ</w:t>
      </w:r>
      <w:r>
        <w:rPr>
          <w:rFonts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446CECA3">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彩钢瓦屋面采用夹具固定，夹具、压块及安装龙骨均采用600铝合金，强度等级不低于6063-T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铝合金支架的使用寿命应在25年以上。结构主材化学成分和力学性能应符合《铝合金结构设计规范》（GB50429-2007）规定。铝合金型材经阳极氧化处理，氧化膜平均厚度不小于15μm，并满足《光伏发电站设计规范》</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GB50797-2012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中相关要求。</w:t>
      </w:r>
    </w:p>
    <w:p w14:paraId="7CAABB50">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池面</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光伏</w:t>
      </w:r>
      <w:r>
        <w:rPr>
          <w:rFonts w:hint="default" w:ascii="Times New Roman" w:hAnsi="Times New Roman" w:eastAsia="宋体" w:cs="Times New Roman"/>
          <w:color w:val="000000" w:themeColor="text1"/>
          <w:sz w:val="21"/>
          <w:szCs w:val="21"/>
          <w:highlight w:val="none"/>
          <w14:textFill>
            <w14:solidFill>
              <w14:schemeClr w14:val="tx1"/>
            </w14:solidFill>
          </w14:textFill>
        </w:rPr>
        <w:t>支架施工图设计应根据</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建构筑物</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承载力检测报告</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进行</w:t>
      </w:r>
      <w:r>
        <w:rPr>
          <w:rFonts w:hint="default" w:ascii="Times New Roman" w:hAnsi="Times New Roman" w:eastAsia="宋体" w:cs="Times New Roman"/>
          <w:color w:val="000000" w:themeColor="text1"/>
          <w:sz w:val="21"/>
          <w:szCs w:val="21"/>
          <w:highlight w:val="none"/>
          <w14:textFill>
            <w14:solidFill>
              <w14:schemeClr w14:val="tx1"/>
            </w14:solidFill>
          </w14:textFill>
        </w:rPr>
        <w:t>深化，并在过程中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征得招标人同意</w:t>
      </w:r>
      <w:r>
        <w:rPr>
          <w:rFonts w:hint="default" w:ascii="Times New Roman" w:hAnsi="Times New Roman" w:eastAsia="宋体" w:cs="Times New Roman"/>
          <w:color w:val="000000" w:themeColor="text1"/>
          <w:sz w:val="21"/>
          <w:szCs w:val="21"/>
          <w:highlight w:val="none"/>
          <w14:textFill>
            <w14:solidFill>
              <w14:schemeClr w14:val="tx1"/>
            </w14:solidFill>
          </w14:textFill>
        </w:rPr>
        <w:t>，钢材选用及防腐要求同混凝土屋面支架要求。</w:t>
      </w:r>
    </w:p>
    <w:p w14:paraId="22909D8A">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光伏车棚钢材选用及防腐要求同混凝土屋面支架要求。</w:t>
      </w:r>
    </w:p>
    <w:p w14:paraId="5E28EF5A">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光伏</w:t>
      </w:r>
      <w:r>
        <w:rPr>
          <w:rFonts w:hint="default" w:ascii="Times New Roman" w:hAnsi="Times New Roman" w:eastAsia="宋体" w:cs="Times New Roman"/>
          <w:color w:val="000000" w:themeColor="text1"/>
          <w:sz w:val="21"/>
          <w:szCs w:val="21"/>
          <w:highlight w:val="none"/>
          <w14:textFill>
            <w14:solidFill>
              <w14:schemeClr w14:val="tx1"/>
            </w14:solidFill>
          </w14:textFill>
        </w:rPr>
        <w:t>支架布置必须考虑光伏电站的建设和后期运行不能影响污水处理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厂</w:t>
      </w:r>
      <w:r>
        <w:rPr>
          <w:rFonts w:hint="default" w:ascii="Times New Roman" w:hAnsi="Times New Roman" w:eastAsia="宋体" w:cs="Times New Roman"/>
          <w:color w:val="000000" w:themeColor="text1"/>
          <w:sz w:val="21"/>
          <w:szCs w:val="21"/>
          <w:highlight w:val="none"/>
          <w14:textFill>
            <w14:solidFill>
              <w14:schemeClr w14:val="tx1"/>
            </w14:solidFill>
          </w14:textFill>
        </w:rPr>
        <w:t>的正常运作，厂区地下管网错综复杂，支架基础要注意避开地下管网，基础桩基施工过程注意对污水处理厂生产构筑物</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管道、电缆</w:t>
      </w:r>
      <w:r>
        <w:rPr>
          <w:rFonts w:hint="default" w:ascii="Times New Roman" w:hAnsi="Times New Roman" w:eastAsia="宋体" w:cs="Times New Roman"/>
          <w:color w:val="000000" w:themeColor="text1"/>
          <w:sz w:val="21"/>
          <w:szCs w:val="21"/>
          <w:highlight w:val="none"/>
          <w14:textFill>
            <w14:solidFill>
              <w14:schemeClr w14:val="tx1"/>
            </w14:solidFill>
          </w14:textFill>
        </w:rPr>
        <w:t>的安全监测，如因施工原因造成安全隐患，</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需无条件修复。</w:t>
      </w:r>
    </w:p>
    <w:p w14:paraId="06CC81FA">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混凝土屋面光伏支架根据</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建构筑物</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承载力检测报告</w:t>
      </w:r>
      <w:r>
        <w:rPr>
          <w:rFonts w:hint="default" w:ascii="Times New Roman" w:hAnsi="Times New Roman" w:eastAsia="宋体" w:cs="Times New Roman"/>
          <w:color w:val="000000" w:themeColor="text1"/>
          <w:sz w:val="21"/>
          <w:szCs w:val="21"/>
          <w:highlight w:val="none"/>
          <w14:textFill>
            <w14:solidFill>
              <w14:schemeClr w14:val="tx1"/>
            </w14:solidFill>
          </w14:textFill>
        </w:rPr>
        <w:t>，首选混凝土支墩配重抗风荷载的安装方式，如确因屋面承载力不满足抗风荷载要求，光伏支架可采用膨胀螺栓或化学螺栓锚固，但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需及时修复锚固过程中破损的屋面防水层，并保障屋面的防水性能不低于本项目工程实施前</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要求在项目建成后对有关建构筑物屋面防水性能进行鉴定</w:t>
      </w:r>
      <w:r>
        <w:rPr>
          <w:rFonts w:hint="default" w:ascii="Times New Roman" w:hAnsi="Times New Roman" w:eastAsia="宋体" w:cs="Times New Roman"/>
          <w:color w:val="000000" w:themeColor="text1"/>
          <w:sz w:val="21"/>
          <w:szCs w:val="21"/>
          <w:highlight w:val="none"/>
          <w14:textFill>
            <w14:solidFill>
              <w14:schemeClr w14:val="tx1"/>
            </w14:solidFill>
          </w14:textFill>
        </w:rPr>
        <w:t>。若因光伏项目造成屋面漏水的，由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负责处理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修复完好</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92915DF">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光伏</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支架</w:t>
      </w:r>
      <w:r>
        <w:rPr>
          <w:rFonts w:hint="default" w:ascii="Times New Roman" w:hAnsi="Times New Roman" w:eastAsia="宋体" w:cs="Times New Roman"/>
          <w:color w:val="000000" w:themeColor="text1"/>
          <w:sz w:val="21"/>
          <w:szCs w:val="21"/>
          <w:highlight w:val="none"/>
          <w14:textFill>
            <w14:solidFill>
              <w14:schemeClr w14:val="tx1"/>
            </w14:solidFill>
          </w14:textFill>
        </w:rPr>
        <w:t>布置需为后期光伏板机器人自动清洗</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污水处理厂维护运营</w:t>
      </w:r>
      <w:r>
        <w:rPr>
          <w:rFonts w:hint="default" w:ascii="Times New Roman" w:hAnsi="Times New Roman" w:eastAsia="宋体" w:cs="Times New Roman"/>
          <w:color w:val="000000" w:themeColor="text1"/>
          <w:sz w:val="21"/>
          <w:szCs w:val="21"/>
          <w:highlight w:val="none"/>
          <w14:textFill>
            <w14:solidFill>
              <w14:schemeClr w14:val="tx1"/>
            </w14:solidFill>
          </w14:textFill>
        </w:rPr>
        <w:t>预留操作路径。</w:t>
      </w:r>
    </w:p>
    <w:p w14:paraId="6F509653">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设计时，整个支架结构的强度、挠度、稳定性应符合国家结构设计相关规范的安全性要求；同时，支架结构的的节点连接也应满足国家结构设计规范的结构安全性的要求。</w:t>
      </w:r>
    </w:p>
    <w:p w14:paraId="047961AF">
      <w:pPr>
        <w:pageBreakBefore w:val="0"/>
        <w:numPr>
          <w:ilvl w:val="2"/>
          <w:numId w:val="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组件安装螺栓选用不锈钢304及以上材质，表面需钝化，安装前须点胶或采用防松动螺母。</w:t>
      </w:r>
    </w:p>
    <w:p w14:paraId="0757CD30">
      <w:pPr>
        <w:pageBreakBefore w:val="0"/>
        <w:widowControl w:val="0"/>
        <w:numPr>
          <w:ilvl w:val="-1"/>
          <w:numId w:val="0"/>
        </w:numPr>
        <w:tabs>
          <w:tab w:val="left" w:pos="735"/>
          <w:tab w:val="left" w:pos="2160"/>
        </w:tabs>
        <w:kinsoku/>
        <w:wordWrap/>
        <w:overflowPunct/>
        <w:topLinePunct w:val="0"/>
        <w:autoSpaceDE w:val="0"/>
        <w:autoSpaceDN w:val="0"/>
        <w:bidi w:val="0"/>
        <w:adjustRightInd w:val="0"/>
        <w:snapToGrid w:val="0"/>
        <w:spacing w:line="400" w:lineRule="exact"/>
        <w:ind w:left="420" w:leftChars="200" w:firstLine="0" w:firstLineChars="0"/>
        <w:jc w:val="left"/>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2.2.2 </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柔性</w:t>
      </w: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支架详细要求</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（如需要）</w:t>
      </w:r>
    </w:p>
    <w:p w14:paraId="041F10AF">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1）支架体系</w:t>
      </w:r>
    </w:p>
    <w:p w14:paraId="3FE1D93C">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支架系统应采用三索方案，严禁采用两索方案。上部2 根预应力镀锌钢绞线作为承重索，下面1 根预应力镀锌钢绞线作为主索，承载力极限状态下预应力镀锌钢绞线所承受的荷载不得大于其破断力的66.67%。设计采用定制压块式连接件用于组件和钢绞线之间的连接安装。相邻两排之间应设置空间稳定措施连成整体，防止组件的翻转及碰撞，在方阵的边缘采取可恢复型阻尼器系统措施抵抗风吸、温度变化等影响的作用。</w:t>
      </w:r>
    </w:p>
    <w:p w14:paraId="3C092A2B">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（2）性能要求</w:t>
      </w:r>
    </w:p>
    <w:p w14:paraId="48248C60">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1）支架结构在风荷载作用下满足抗风稳定性的要求</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柔性支架设计必须满足12级台风（即风速在32.6米/秒以上的热带气旋）的抗风要求</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7B71F786">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2）支架结构在各种荷载作用下应满足钢结构强度、刚度及稳定性的要求，即：承载能力极限状态下，预应力钢绞线内力小于</w:t>
      </w:r>
      <w:r>
        <w:rPr>
          <w:rFonts w:ascii="Times New Roman" w:hAnsi="Times New Roman" w:eastAsia="宋体" w:cs="Times New Roman"/>
          <w:color w:val="000000" w:themeColor="text1"/>
          <w:sz w:val="21"/>
          <w:szCs w:val="21"/>
          <w:highlight w:val="none"/>
          <w14:textFill>
            <w14:solidFill>
              <w14:schemeClr w14:val="tx1"/>
            </w14:solidFill>
          </w14:textFill>
        </w:rPr>
        <w:t xml:space="preserve">0.667 </w:t>
      </w:r>
      <w:r>
        <w:rPr>
          <w:rFonts w:hint="default" w:ascii="Times New Roman" w:hAnsi="Times New Roman" w:eastAsia="宋体" w:cs="Times New Roman"/>
          <w:color w:val="000000" w:themeColor="text1"/>
          <w:sz w:val="21"/>
          <w:szCs w:val="21"/>
          <w:highlight w:val="none"/>
          <w14:textFill>
            <w14:solidFill>
              <w14:schemeClr w14:val="tx1"/>
            </w14:solidFill>
          </w14:textFill>
        </w:rPr>
        <w:t>倍最小破断力，横梁、撑杆以及稳定杆等构件无屈服和屈曲；</w:t>
      </w:r>
    </w:p>
    <w:p w14:paraId="201B187C">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3）恒载作用下挠度和跨度的比值控制在1/100L，风荷载作用下控制在1/50L；</w:t>
      </w:r>
    </w:p>
    <w:p w14:paraId="0452BF9E">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4）需考虑温度作用的影响；</w:t>
      </w:r>
    </w:p>
    <w:p w14:paraId="3D255CFF">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5）结构在安装和使用过程中应满足强度、稳定性要求；</w:t>
      </w:r>
    </w:p>
    <w:p w14:paraId="5FEF7D1D">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6）光伏组件与预应力钢绞线之间采用压块式连接件和不锈钢螺栓连接。</w:t>
      </w:r>
    </w:p>
    <w:p w14:paraId="489F9FCB">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（3）构件材质</w:t>
      </w:r>
    </w:p>
    <w:p w14:paraId="454D1585">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1）钢支架</w:t>
      </w:r>
    </w:p>
    <w:p w14:paraId="62534EA6">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按照国家</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金属覆盖层钢铁制件热浸镀锌层技术要求及试验方法</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GB/T13912-2020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要求，本工程支架及配件采用</w:t>
      </w:r>
      <w:r>
        <w:rPr>
          <w:rFonts w:ascii="Times New Roman" w:hAnsi="Times New Roman" w:eastAsia="宋体" w:cs="Times New Roman"/>
          <w:color w:val="000000" w:themeColor="text1"/>
          <w:sz w:val="21"/>
          <w:szCs w:val="21"/>
          <w:highlight w:val="none"/>
          <w14:textFill>
            <w14:solidFill>
              <w14:schemeClr w14:val="tx1"/>
            </w14:solidFill>
          </w14:textFill>
        </w:rPr>
        <w:t>Q235B</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Q355B</w:t>
      </w:r>
      <w:r>
        <w:rPr>
          <w:rFonts w:hint="default" w:ascii="Times New Roman" w:hAnsi="Times New Roman" w:eastAsia="宋体" w:cs="Times New Roman"/>
          <w:color w:val="000000" w:themeColor="text1"/>
          <w:sz w:val="21"/>
          <w:szCs w:val="21"/>
          <w:highlight w:val="none"/>
          <w14:textFill>
            <w14:solidFill>
              <w14:schemeClr w14:val="tx1"/>
            </w14:solidFill>
          </w14:textFill>
        </w:rPr>
        <w:t>；纵向稳定构件采用</w:t>
      </w:r>
      <w:r>
        <w:rPr>
          <w:rFonts w:ascii="Times New Roman" w:hAnsi="Times New Roman" w:eastAsia="宋体" w:cs="Times New Roman"/>
          <w:color w:val="000000" w:themeColor="text1"/>
          <w:sz w:val="21"/>
          <w:szCs w:val="21"/>
          <w:highlight w:val="none"/>
          <w14:textFill>
            <w14:solidFill>
              <w14:schemeClr w14:val="tx1"/>
            </w14:solidFill>
          </w14:textFill>
        </w:rPr>
        <w:t xml:space="preserve">Q235B </w:t>
      </w:r>
      <w:r>
        <w:rPr>
          <w:rFonts w:hint="default" w:ascii="Times New Roman" w:hAnsi="Times New Roman" w:eastAsia="宋体" w:cs="Times New Roman"/>
          <w:color w:val="000000" w:themeColor="text1"/>
          <w:sz w:val="21"/>
          <w:szCs w:val="21"/>
          <w:highlight w:val="none"/>
          <w14:textFill>
            <w14:solidFill>
              <w14:schemeClr w14:val="tx1"/>
            </w14:solidFill>
          </w14:textFill>
        </w:rPr>
        <w:t>或</w:t>
      </w:r>
      <w:r>
        <w:rPr>
          <w:rFonts w:ascii="Times New Roman" w:hAnsi="Times New Roman" w:eastAsia="宋体" w:cs="Times New Roman"/>
          <w:color w:val="000000" w:themeColor="text1"/>
          <w:sz w:val="21"/>
          <w:szCs w:val="21"/>
          <w:highlight w:val="none"/>
          <w14:textFill>
            <w14:solidFill>
              <w14:schemeClr w14:val="tx1"/>
            </w14:solidFill>
          </w14:textFill>
        </w:rPr>
        <w:t xml:space="preserve">Q355B </w:t>
      </w:r>
      <w:r>
        <w:rPr>
          <w:rFonts w:hint="default" w:ascii="Times New Roman" w:hAnsi="Times New Roman" w:eastAsia="宋体" w:cs="Times New Roman"/>
          <w:color w:val="000000" w:themeColor="text1"/>
          <w:sz w:val="21"/>
          <w:szCs w:val="21"/>
          <w:highlight w:val="none"/>
          <w14:textFill>
            <w14:solidFill>
              <w14:schemeClr w14:val="tx1"/>
            </w14:solidFill>
          </w14:textFill>
        </w:rPr>
        <w:t>，若采用锌镁铝冷弯型钢时，镀层厚度不低于</w:t>
      </w:r>
      <w:r>
        <w:rPr>
          <w:rFonts w:ascii="Times New Roman" w:hAnsi="Times New Roman" w:eastAsia="宋体" w:cs="Times New Roman"/>
          <w:color w:val="000000" w:themeColor="text1"/>
          <w:sz w:val="21"/>
          <w:szCs w:val="21"/>
          <w:highlight w:val="none"/>
          <w14:textFill>
            <w14:solidFill>
              <w14:schemeClr w14:val="tx1"/>
            </w14:solidFill>
          </w14:textFill>
        </w:rPr>
        <w:t>275g/</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双面</w:t>
      </w:r>
      <w:r>
        <w:rPr>
          <w:rFonts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。支架及配件进行热浸镀锌防腐处理，具体参见《金属覆盖层钢铁制件热浸镀锌层技术要求及试验方法》</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GB/T 13912-2020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1020CEC6">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2）钢索</w:t>
      </w:r>
    </w:p>
    <w:p w14:paraId="64070036">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钢索性能需满足在项目地极端气候条件下光伏组件的承载力要求。钢索结构（含护套）及防腐性能需满足</w:t>
      </w:r>
      <w:r>
        <w:rPr>
          <w:rFonts w:ascii="Times New Roman" w:hAnsi="Times New Roman" w:eastAsia="宋体" w:cs="Times New Roman"/>
          <w:color w:val="000000" w:themeColor="text1"/>
          <w:sz w:val="21"/>
          <w:szCs w:val="21"/>
          <w:highlight w:val="none"/>
          <w14:textFill>
            <w14:solidFill>
              <w14:schemeClr w14:val="tx1"/>
            </w14:solidFill>
          </w14:textFill>
        </w:rPr>
        <w:t xml:space="preserve">25 </w:t>
      </w:r>
      <w:r>
        <w:rPr>
          <w:rFonts w:hint="default" w:ascii="Times New Roman" w:hAnsi="Times New Roman" w:eastAsia="宋体" w:cs="Times New Roman"/>
          <w:color w:val="000000" w:themeColor="text1"/>
          <w:sz w:val="21"/>
          <w:szCs w:val="21"/>
          <w:highlight w:val="none"/>
          <w14:textFill>
            <w14:solidFill>
              <w14:schemeClr w14:val="tx1"/>
            </w14:solidFill>
          </w14:textFill>
        </w:rPr>
        <w:t>年的使用要求。钢索采用镀锌钢绞线，经灌油脂处理后外表需包裹</w:t>
      </w:r>
      <w:r>
        <w:rPr>
          <w:rFonts w:ascii="Times New Roman" w:hAnsi="Times New Roman" w:eastAsia="宋体" w:cs="Times New Roman"/>
          <w:color w:val="000000" w:themeColor="text1"/>
          <w:sz w:val="21"/>
          <w:szCs w:val="21"/>
          <w:highlight w:val="none"/>
          <w14:textFill>
            <w14:solidFill>
              <w14:schemeClr w14:val="tx1"/>
            </w14:solidFill>
          </w14:textFill>
        </w:rPr>
        <w:t xml:space="preserve">PE </w:t>
      </w:r>
      <w:r>
        <w:rPr>
          <w:rFonts w:hint="default" w:ascii="Times New Roman" w:hAnsi="Times New Roman" w:eastAsia="宋体" w:cs="Times New Roman"/>
          <w:color w:val="000000" w:themeColor="text1"/>
          <w:sz w:val="21"/>
          <w:szCs w:val="21"/>
          <w:highlight w:val="none"/>
          <w14:textFill>
            <w14:solidFill>
              <w14:schemeClr w14:val="tx1"/>
            </w14:solidFill>
          </w14:textFill>
        </w:rPr>
        <w:t>蓝色护套。钢索强度等级根据设计要求而定但不应小于</w:t>
      </w:r>
      <w:r>
        <w:rPr>
          <w:rFonts w:ascii="Times New Roman" w:hAnsi="Times New Roman" w:eastAsia="宋体" w:cs="Times New Roman"/>
          <w:color w:val="000000" w:themeColor="text1"/>
          <w:sz w:val="21"/>
          <w:szCs w:val="21"/>
          <w:highlight w:val="none"/>
          <w14:textFill>
            <w14:solidFill>
              <w14:schemeClr w14:val="tx1"/>
            </w14:solidFill>
          </w14:textFill>
        </w:rPr>
        <w:t>1860MPa</w:t>
      </w:r>
      <w:r>
        <w:rPr>
          <w:rFonts w:hint="default" w:ascii="Times New Roman" w:hAnsi="Times New Roman" w:eastAsia="宋体" w:cs="Times New Roman"/>
          <w:color w:val="000000" w:themeColor="text1"/>
          <w:sz w:val="21"/>
          <w:szCs w:val="21"/>
          <w:highlight w:val="none"/>
          <w14:textFill>
            <w14:solidFill>
              <w14:schemeClr w14:val="tx1"/>
            </w14:solidFill>
          </w14:textFill>
        </w:rPr>
        <w:t>，材质及性能要求满足国家规范要求。</w:t>
      </w:r>
    </w:p>
    <w:p w14:paraId="09DD7A0C">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3）锚具、夹具和连接器</w:t>
      </w:r>
    </w:p>
    <w:p w14:paraId="29CCE505">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锚固预应力钢绞线的锚具采用夹片锚或挤压锚等专用锚具，其材料、性能应满足《预应力筋用锚具、夹具和连接器》（</w:t>
      </w:r>
      <w:r>
        <w:rPr>
          <w:rFonts w:ascii="Times New Roman" w:hAnsi="Times New Roman" w:eastAsia="宋体" w:cs="Times New Roman"/>
          <w:color w:val="000000" w:themeColor="text1"/>
          <w:sz w:val="21"/>
          <w:szCs w:val="21"/>
          <w:highlight w:val="none"/>
          <w14:textFill>
            <w14:solidFill>
              <w14:schemeClr w14:val="tx1"/>
            </w14:solidFill>
          </w14:textFill>
        </w:rPr>
        <w:t>GB/T 14370-2015</w:t>
      </w:r>
      <w:r>
        <w:rPr>
          <w:rFonts w:hint="default" w:ascii="Times New Roman" w:hAnsi="Times New Roman" w:eastAsia="宋体" w:cs="Times New Roman"/>
          <w:color w:val="000000" w:themeColor="text1"/>
          <w:sz w:val="21"/>
          <w:szCs w:val="21"/>
          <w:highlight w:val="none"/>
          <w14:textFill>
            <w14:solidFill>
              <w14:schemeClr w14:val="tx1"/>
            </w14:solidFill>
          </w14:textFill>
        </w:rPr>
        <w:t>）和《公路桥梁预应力钢绞线用锚具、夹具和连接器》（</w:t>
      </w:r>
      <w:r>
        <w:rPr>
          <w:rFonts w:ascii="Times New Roman" w:hAnsi="Times New Roman" w:eastAsia="宋体" w:cs="Times New Roman"/>
          <w:color w:val="000000" w:themeColor="text1"/>
          <w:sz w:val="21"/>
          <w:szCs w:val="21"/>
          <w:highlight w:val="none"/>
          <w14:textFill>
            <w14:solidFill>
              <w14:schemeClr w14:val="tx1"/>
            </w14:solidFill>
          </w14:textFill>
        </w:rPr>
        <w:t>JTT329-2010</w:t>
      </w:r>
      <w:r>
        <w:rPr>
          <w:rFonts w:hint="default" w:ascii="Times New Roman" w:hAnsi="Times New Roman" w:eastAsia="宋体" w:cs="Times New Roman"/>
          <w:color w:val="000000" w:themeColor="text1"/>
          <w:sz w:val="21"/>
          <w:szCs w:val="21"/>
          <w:highlight w:val="none"/>
          <w14:textFill>
            <w14:solidFill>
              <w14:schemeClr w14:val="tx1"/>
            </w14:solidFill>
          </w14:textFill>
        </w:rPr>
        <w:t>）的规定，张拉锚固后钢绞线内缩量小于</w:t>
      </w:r>
      <w:r>
        <w:rPr>
          <w:rFonts w:ascii="Times New Roman" w:hAnsi="Times New Roman" w:eastAsia="宋体" w:cs="Times New Roman"/>
          <w:color w:val="000000" w:themeColor="text1"/>
          <w:sz w:val="21"/>
          <w:szCs w:val="21"/>
          <w:highlight w:val="none"/>
          <w14:textFill>
            <w14:solidFill>
              <w14:schemeClr w14:val="tx1"/>
            </w14:solidFill>
          </w14:textFill>
        </w:rPr>
        <w:t>6mm</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37DA4F96">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高强螺栓、螺母、和垫圈采用《优质碳素结构钢技术条件》（</w:t>
      </w:r>
      <w:r>
        <w:rPr>
          <w:rFonts w:ascii="Times New Roman" w:hAnsi="Times New Roman" w:eastAsia="宋体" w:cs="Times New Roman"/>
          <w:color w:val="000000" w:themeColor="text1"/>
          <w:sz w:val="21"/>
          <w:szCs w:val="21"/>
          <w:highlight w:val="none"/>
          <w14:textFill>
            <w14:solidFill>
              <w14:schemeClr w14:val="tx1"/>
            </w14:solidFill>
          </w14:textFill>
        </w:rPr>
        <w:t>GB/T699-2015</w:t>
      </w:r>
      <w:r>
        <w:rPr>
          <w:rFonts w:hint="default" w:ascii="Times New Roman" w:hAnsi="Times New Roman" w:eastAsia="宋体" w:cs="Times New Roman"/>
          <w:color w:val="000000" w:themeColor="text1"/>
          <w:sz w:val="21"/>
          <w:szCs w:val="21"/>
          <w:highlight w:val="none"/>
          <w14:textFill>
            <w14:solidFill>
              <w14:schemeClr w14:val="tx1"/>
            </w14:solidFill>
          </w14:textFill>
        </w:rPr>
        <w:t>）中规定的钢材制作；其热处理、制作和技术要求应符合《钢结构用高强度大六角头螺栓、大六角头螺母、垫圈技术条件》（</w:t>
      </w:r>
      <w:r>
        <w:rPr>
          <w:rFonts w:ascii="Times New Roman" w:hAnsi="Times New Roman" w:eastAsia="宋体" w:cs="Times New Roman"/>
          <w:color w:val="000000" w:themeColor="text1"/>
          <w:sz w:val="21"/>
          <w:szCs w:val="21"/>
          <w:highlight w:val="none"/>
          <w14:textFill>
            <w14:solidFill>
              <w14:schemeClr w14:val="tx1"/>
            </w14:solidFill>
          </w14:textFill>
        </w:rPr>
        <w:t>GB/T1231-2006</w:t>
      </w:r>
      <w:r>
        <w:rPr>
          <w:rFonts w:hint="default" w:ascii="Times New Roman" w:hAnsi="Times New Roman" w:eastAsia="宋体" w:cs="Times New Roman"/>
          <w:color w:val="000000" w:themeColor="text1"/>
          <w:sz w:val="21"/>
          <w:szCs w:val="21"/>
          <w:highlight w:val="none"/>
          <w14:textFill>
            <w14:solidFill>
              <w14:schemeClr w14:val="tx1"/>
            </w14:solidFill>
          </w14:textFill>
        </w:rPr>
        <w:t>）的规定。</w:t>
      </w:r>
    </w:p>
    <w:p w14:paraId="3BC57347">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钢架斜撑等次要连接采用普通螺栓，普通螺栓应符合国家现行标准。</w:t>
      </w:r>
    </w:p>
    <w:p w14:paraId="2C66CE5D">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所有零件外观均不得有裂纹出现。</w:t>
      </w:r>
    </w:p>
    <w:p w14:paraId="74A6F75A">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）组装和拼装</w:t>
      </w:r>
    </w:p>
    <w:p w14:paraId="09611D96">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钢构件在批量制作生产前，应进行少量模拟加工制作，组装检验合格后，再进行批量加工制作。构件组装和拼装应符合</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冷湾薄壁型钢结构技术规范</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GB50018-2002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第</w:t>
      </w:r>
      <w:r>
        <w:rPr>
          <w:rFonts w:ascii="Times New Roman" w:hAnsi="Times New Roman" w:eastAsia="宋体" w:cs="Times New Roman"/>
          <w:color w:val="000000" w:themeColor="text1"/>
          <w:sz w:val="21"/>
          <w:szCs w:val="21"/>
          <w:highlight w:val="none"/>
          <w14:textFill>
            <w14:solidFill>
              <w14:schemeClr w14:val="tx1"/>
            </w14:solidFill>
          </w14:textFill>
        </w:rPr>
        <w:t xml:space="preserve">11.1.5 </w:t>
      </w:r>
      <w:r>
        <w:rPr>
          <w:rFonts w:hint="default" w:ascii="Times New Roman" w:hAnsi="Times New Roman" w:eastAsia="宋体" w:cs="Times New Roman"/>
          <w:color w:val="000000" w:themeColor="text1"/>
          <w:sz w:val="21"/>
          <w:szCs w:val="21"/>
          <w:highlight w:val="none"/>
          <w14:textFill>
            <w14:solidFill>
              <w14:schemeClr w14:val="tx1"/>
            </w14:solidFill>
          </w14:textFill>
        </w:rPr>
        <w:t>的有关规定。焊接连接组装的允许偏差应符合</w:t>
      </w:r>
      <w:r>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t>GB50205-2020</w:t>
      </w:r>
      <w:r>
        <w:rPr>
          <w:rFonts w:hint="default" w:ascii="Times New Roman" w:hAnsi="Times New Roman" w:eastAsia="宋体" w:cs="Times New Roman"/>
          <w:color w:val="000000" w:themeColor="text1"/>
          <w:sz w:val="21"/>
          <w:szCs w:val="21"/>
          <w:highlight w:val="none"/>
          <w14:textFill>
            <w14:solidFill>
              <w14:schemeClr w14:val="tx1"/>
            </w14:solidFill>
          </w14:textFill>
        </w:rPr>
        <w:t>的规定。对顶紧接触面应有</w:t>
      </w:r>
      <w:r>
        <w:rPr>
          <w:rFonts w:ascii="Times New Roman" w:hAnsi="Times New Roman" w:eastAsia="宋体" w:cs="Times New Roman"/>
          <w:color w:val="000000" w:themeColor="text1"/>
          <w:sz w:val="21"/>
          <w:szCs w:val="21"/>
          <w:highlight w:val="none"/>
          <w14:textFill>
            <w14:solidFill>
              <w14:schemeClr w14:val="tx1"/>
            </w14:solidFill>
          </w14:textFill>
        </w:rPr>
        <w:t>75%</w:t>
      </w:r>
      <w:r>
        <w:rPr>
          <w:rFonts w:hint="default" w:ascii="Times New Roman" w:hAnsi="Times New Roman" w:eastAsia="宋体" w:cs="Times New Roman"/>
          <w:color w:val="000000" w:themeColor="text1"/>
          <w:sz w:val="21"/>
          <w:szCs w:val="21"/>
          <w:highlight w:val="none"/>
          <w14:textFill>
            <w14:solidFill>
              <w14:schemeClr w14:val="tx1"/>
            </w14:solidFill>
          </w14:textFill>
        </w:rPr>
        <w:t>的部位以上的面积紧贴，检查方法应满足</w:t>
      </w:r>
      <w:r>
        <w:rPr>
          <w:rFonts w:ascii="Times New Roman" w:hAnsi="Times New Roman" w:eastAsia="宋体" w:cs="Times New Roman"/>
          <w:color w:val="000000" w:themeColor="text1"/>
          <w:sz w:val="21"/>
          <w:szCs w:val="21"/>
          <w:highlight w:val="none"/>
          <w14:textFill>
            <w14:solidFill>
              <w14:schemeClr w14:val="tx1"/>
            </w14:solidFill>
          </w14:textFill>
        </w:rPr>
        <w:t xml:space="preserve">GB50205-2020 </w:t>
      </w:r>
      <w:r>
        <w:rPr>
          <w:rFonts w:hint="default" w:ascii="Times New Roman" w:hAnsi="Times New Roman" w:eastAsia="宋体" w:cs="Times New Roman"/>
          <w:color w:val="000000" w:themeColor="text1"/>
          <w:sz w:val="21"/>
          <w:szCs w:val="21"/>
          <w:highlight w:val="none"/>
          <w14:textFill>
            <w14:solidFill>
              <w14:schemeClr w14:val="tx1"/>
            </w14:solidFill>
          </w14:textFill>
        </w:rPr>
        <w:t>的规定，经检查合格后方能施焊，并作好记录。</w:t>
      </w:r>
    </w:p>
    <w:p w14:paraId="2F84BDE3">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）柔性支架基础</w:t>
      </w:r>
    </w:p>
    <w:p w14:paraId="0D469FF8">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柔性支架基础桩基形式需采用泥浆护壁钻孔灌注桩。桩基施工前需桩基周边管线情况进行复探，必要时对于重要生产工艺管可以采用开挖验证，</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提供管线物探资料仅做参考。柔性支架桩基施工过程中需要加强对现有厂区管线的保护及重要生产工艺管线的运行监测。</w:t>
      </w:r>
    </w:p>
    <w:p w14:paraId="3B190324">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02" w:name="_Toc14433"/>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.3 </w:t>
      </w:r>
      <w:r>
        <w:rPr>
          <w:rFonts w:hint="default" w:ascii="Times New Roman" w:hAnsi="Times New Roman" w:eastAsia="宋体" w:cs="Times New Roman"/>
          <w:b/>
          <w:color w:val="000000" w:themeColor="text1"/>
          <w:sz w:val="21"/>
          <w:szCs w:val="21"/>
          <w:highlight w:val="none"/>
          <w14:textFill>
            <w14:solidFill>
              <w14:schemeClr w14:val="tx1"/>
            </w14:solidFill>
          </w14:textFill>
        </w:rPr>
        <w:t>逆变器</w:t>
      </w:r>
      <w:bookmarkEnd w:id="402"/>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w:t>
      </w:r>
    </w:p>
    <w:p w14:paraId="52C9B9BA">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逆变器必须是经国家认监委批准的认证机构认证且达标的产品（须具备直流拉弧检测功能），并提供不低于5年的质保。</w:t>
      </w:r>
    </w:p>
    <w:p w14:paraId="1CBFF980">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最大逆变效率≥98.6%，中国效率≥98.1%，满载MPPT范围200~1500V或更宽。</w:t>
      </w:r>
    </w:p>
    <w:p w14:paraId="72A5220D">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逆变器输出功率大于其额定功率的50%时，功率因数应不小于0.98，输出有功功率在20%-50%之间时，功率因数不小于0.95。同时逆变器功率因素必须满足项目所在地电网要求。</w:t>
      </w:r>
    </w:p>
    <w:p w14:paraId="462E0E0A">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额定功率及以上下电流总谐波畸变率≤3%；交流输出三相电压的允许偏差不超过额定电压的±7%；直流分量不超过其交流额定值的0.5%；具有电网过/欠压保护、过/欠频保护、防孤岛保护、恢复并网保护、过流保护、极性反接保护、过载保护功能、Anti-PID功能，具备远程操作功能。</w:t>
      </w:r>
    </w:p>
    <w:p w14:paraId="10B535A4">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逆变器要求能够自动化运行，运行状态可视化程度高。逆变器应提供大尺寸的人机界面，采用液晶显示屏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LCD</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和轻触按键组合，作为人机界面。显示屏可清晰显示实时各项运行数据，实时故障数据，历史故障数据，总发电量数据，历史发电量（按月、按年查询）数据。显示界面具有按键功能，工作人员可随时翻看所需运行数据；逆变器镶有设备的铭牌。</w:t>
      </w:r>
    </w:p>
    <w:p w14:paraId="66D1C9BA">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逆变器≥110kW需安装高温排风装置，在环境温度高于45℃时自动启动排风装置，排风口应具有防尘措施。</w:t>
      </w:r>
    </w:p>
    <w:p w14:paraId="2508F600">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组串式逆变器箱体须具备防盐雾腐蚀措施，具备防盐雾腐蚀功能，确保箱体内部25年内无任何腐蚀现象。</w:t>
      </w:r>
    </w:p>
    <w:p w14:paraId="044394F8">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要求配置每路组串电压电流检测功能。</w:t>
      </w:r>
    </w:p>
    <w:p w14:paraId="588075DF">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具有直流拉弧检测功能。</w:t>
      </w:r>
    </w:p>
    <w:p w14:paraId="7BBDB595">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逆变器必须满足系统抗PID功能和修复PID功能。</w:t>
      </w:r>
    </w:p>
    <w:p w14:paraId="38C2BD7E">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逆变器内置交直流防雷和直流开关，交直流浪涌保护II 级以上，具备良好的电气隔离性，整机符合国家相关标准。</w:t>
      </w:r>
    </w:p>
    <w:p w14:paraId="709D6BB8">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逆变器直流输入支路必须配置光伏专用熔断器，确保当直流侧发生短路或热斑效应时，可快速隔离故障点。</w:t>
      </w:r>
    </w:p>
    <w:p w14:paraId="7B4D4CF9">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支持通讯，能将光伏电站现场实时监测数据联通传送至数据控制中心，实现集中监控。</w:t>
      </w:r>
    </w:p>
    <w:p w14:paraId="531A8B2E">
      <w:pPr>
        <w:pageBreakBefore w:val="0"/>
        <w:numPr>
          <w:ilvl w:val="2"/>
          <w:numId w:val="5"/>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户外安装时，要求具备遮阳挡雨措施，挡雨板材质应采用304及以上不锈钢材质。</w:t>
      </w:r>
    </w:p>
    <w:p w14:paraId="2CC7FA37">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03" w:name="_Toc15861"/>
      <w:r>
        <w:rPr>
          <w:rFonts w:ascii="Times New Roman" w:hAnsi="Times New Roman" w:eastAsia="宋体" w:cs="Times New Roman"/>
          <w:b/>
          <w:color w:val="000000" w:themeColor="text1"/>
          <w:sz w:val="21"/>
          <w:szCs w:val="21"/>
          <w:highlight w:val="none"/>
          <w14:textFill>
            <w14:solidFill>
              <w14:schemeClr w14:val="tx1"/>
            </w14:solidFill>
          </w14:textFill>
        </w:rPr>
        <w:t xml:space="preserve">2.4 </w:t>
      </w:r>
      <w:r>
        <w:rPr>
          <w:rFonts w:hint="default" w:ascii="Times New Roman" w:hAnsi="Times New Roman" w:eastAsia="宋体" w:cs="Times New Roman"/>
          <w:b/>
          <w:color w:val="000000" w:themeColor="text1"/>
          <w:sz w:val="21"/>
          <w:szCs w:val="21"/>
          <w:highlight w:val="none"/>
          <w14:textFill>
            <w14:solidFill>
              <w14:schemeClr w14:val="tx1"/>
            </w14:solidFill>
          </w14:textFill>
        </w:rPr>
        <w:t>交流汇流箱</w:t>
      </w:r>
      <w:bookmarkEnd w:id="403"/>
    </w:p>
    <w:p w14:paraId="3985632F">
      <w:pPr>
        <w:pageBreakBefore w:val="0"/>
        <w:numPr>
          <w:ilvl w:val="2"/>
          <w:numId w:val="6"/>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配电箱必须是成套配电箱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成套配电箱内开关要提供3C认证和出厂检验报告。箱内并网设备要配备符合安全需求的闸刀、断路器、浪涌保护器，并应具备光伏元件故障、漏电自动断开光伏输出总开关。</w:t>
      </w:r>
    </w:p>
    <w:p w14:paraId="29BBC21A">
      <w:pPr>
        <w:pageBreakBefore w:val="0"/>
        <w:numPr>
          <w:ilvl w:val="2"/>
          <w:numId w:val="6"/>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采用的内置漏电保护和浪涌保护，采用交直II级防雷保护，整体符合国家相关标准。</w:t>
      </w:r>
    </w:p>
    <w:p w14:paraId="3C4FC356">
      <w:pPr>
        <w:pageBreakBefore w:val="0"/>
        <w:numPr>
          <w:ilvl w:val="2"/>
          <w:numId w:val="6"/>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箱体的防护等级不低于IP65，适合户外安装，满足防水、防尘、防紫外线、防盐雾、耐腐蚀等，安装位置干燥、通风良好。</w:t>
      </w:r>
    </w:p>
    <w:p w14:paraId="0AD46503">
      <w:pPr>
        <w:pageBreakBefore w:val="0"/>
        <w:numPr>
          <w:ilvl w:val="2"/>
          <w:numId w:val="6"/>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箱体需采用冷扎钢板制作，钢板的厚度≥1.5mm，经过静电喷塑处理，内部全部的金属结构都需经过防腐处理，内外表面平整、光洁，无锈蚀、涂层脱落和磕碰损伤现象。</w:t>
      </w:r>
    </w:p>
    <w:p w14:paraId="611E8A79">
      <w:pPr>
        <w:pageBreakBefore w:val="0"/>
        <w:numPr>
          <w:ilvl w:val="2"/>
          <w:numId w:val="6"/>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箱体内部结构具有足够的机械强度，保证元器件安装后及操作时无摇晃、不变形；元器 件安装走线应整齐、可靠、合理布置；电器间绝缘应符合国家有关标准，进出线必须通过接线端子。</w:t>
      </w:r>
    </w:p>
    <w:p w14:paraId="3B21B149">
      <w:pPr>
        <w:pageBreakBefore w:val="0"/>
        <w:numPr>
          <w:ilvl w:val="2"/>
          <w:numId w:val="6"/>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箱体内应该针对接入的设备及线路，拥有明显的电气开断元件，能够确保检修时能够逐级断开系统，每个汇流箱必须给出一次及二次接线图。</w:t>
      </w:r>
    </w:p>
    <w:p w14:paraId="313B0FC0">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04" w:name="_Toc11978"/>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.5 </w:t>
      </w:r>
      <w:r>
        <w:rPr>
          <w:rFonts w:hint="default" w:ascii="Times New Roman" w:hAnsi="Times New Roman" w:eastAsia="宋体" w:cs="Times New Roman"/>
          <w:b/>
          <w:color w:val="000000" w:themeColor="text1"/>
          <w:sz w:val="21"/>
          <w:szCs w:val="21"/>
          <w:highlight w:val="none"/>
          <w14:textFill>
            <w14:solidFill>
              <w14:schemeClr w14:val="tx1"/>
            </w14:solidFill>
          </w14:textFill>
        </w:rPr>
        <w:t>光伏并网柜</w:t>
      </w:r>
      <w:bookmarkEnd w:id="404"/>
    </w:p>
    <w:p w14:paraId="3BFBC162">
      <w:pPr>
        <w:pageBreakBefore w:val="0"/>
        <w:numPr>
          <w:ilvl w:val="2"/>
          <w:numId w:val="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中压10千伏项目中配置的配电箱应为自动化成套配电箱。</w:t>
      </w:r>
    </w:p>
    <w:p w14:paraId="26DB4B20">
      <w:pPr>
        <w:pageBreakBefore w:val="0"/>
        <w:numPr>
          <w:ilvl w:val="2"/>
          <w:numId w:val="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并网柜与电气元件均应具备国内3C认证。</w:t>
      </w:r>
    </w:p>
    <w:p w14:paraId="00DD4BBC">
      <w:pPr>
        <w:pageBreakBefore w:val="0"/>
        <w:numPr>
          <w:ilvl w:val="2"/>
          <w:numId w:val="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并网柜具备被动孤岛检测、有压自动重合闸、失压跳闸、过欠压保护、过电流保护、防雷保护、短路保护、高低频保护、防孤岛保护等基本功能，若当地供电部门要求，还需配置逆功率保护；同时具备智能通讯功能，可以和后台系统通讯组网，远程操作断路器分合闸，远程查看并网柜各种电参量及开关位置信息。</w:t>
      </w:r>
    </w:p>
    <w:p w14:paraId="1551B7E0">
      <w:pPr>
        <w:pageBreakBefore w:val="0"/>
        <w:numPr>
          <w:ilvl w:val="2"/>
          <w:numId w:val="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光伏并网柜可以加装计量仓，计量表具备双向计量功能，计量表有功电能精度不低于0.5S 级，电压互感器、电流互感器不低于0.2S 级。计量电表数据均接入到监控系统后台。</w:t>
      </w:r>
    </w:p>
    <w:p w14:paraId="48F7499A">
      <w:pPr>
        <w:pageBreakBefore w:val="0"/>
        <w:numPr>
          <w:ilvl w:val="2"/>
          <w:numId w:val="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柜体的防护等级不低于IP30，配电房内安装，柜型按照原有配电房开关柜定做，整体符合国家相关标准。</w:t>
      </w:r>
    </w:p>
    <w:p w14:paraId="01847010">
      <w:pPr>
        <w:pageBreakBefore w:val="0"/>
        <w:numPr>
          <w:ilvl w:val="2"/>
          <w:numId w:val="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柜体需采用冷轧钢板制作，钢板的厚度≥1.5mm，经过静电喷塑处理，内部全部的金属结构都需经过防腐处理，内外表面平整、光洁，无锈蚀、涂层脱落和磕碰损伤现象。</w:t>
      </w:r>
    </w:p>
    <w:p w14:paraId="5CD29F32">
      <w:pPr>
        <w:pageBreakBefore w:val="0"/>
        <w:numPr>
          <w:ilvl w:val="2"/>
          <w:numId w:val="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630A及以上低压断路器采用固定式框架式断路器，要求配置具有三段保护的数显智能模块，630A以下采用塑壳式断路器。</w:t>
      </w:r>
    </w:p>
    <w:p w14:paraId="04105C33">
      <w:pPr>
        <w:pageBreakBefore w:val="0"/>
        <w:numPr>
          <w:ilvl w:val="2"/>
          <w:numId w:val="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柜体内应该针对接入的设备及线路，拥有明显的电气开断元件，能够确保检修时能够逐级断开系统，每个并网柜必须给出一次及二次接线图。</w:t>
      </w:r>
    </w:p>
    <w:p w14:paraId="65F54277">
      <w:pPr>
        <w:pageBreakBefore w:val="0"/>
        <w:numPr>
          <w:ilvl w:val="2"/>
          <w:numId w:val="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有光伏系统接入的配电房需配置含有光伏并网柜的电力系统图版。</w:t>
      </w:r>
    </w:p>
    <w:p w14:paraId="1D904FEA">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05" w:name="_Toc24772"/>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.6 </w:t>
      </w:r>
      <w:r>
        <w:rPr>
          <w:rFonts w:hint="default" w:ascii="Times New Roman" w:hAnsi="Times New Roman" w:eastAsia="宋体" w:cs="Times New Roman"/>
          <w:b/>
          <w:color w:val="000000" w:themeColor="text1"/>
          <w:sz w:val="21"/>
          <w:szCs w:val="21"/>
          <w:highlight w:val="none"/>
          <w14:textFill>
            <w14:solidFill>
              <w14:schemeClr w14:val="tx1"/>
            </w14:solidFill>
          </w14:textFill>
        </w:rPr>
        <w:t>箱变</w:t>
      </w:r>
      <w:bookmarkEnd w:id="405"/>
    </w:p>
    <w:p w14:paraId="04CA2DBE">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干式变压器应选用最新二级能效节能干式电力变压器（SCB14-NX2），硅钢片采用优质硅钢片，绕组为全铜绕组。变压器应在过负荷1.1倍时可长期运行。</w:t>
      </w:r>
    </w:p>
    <w:p w14:paraId="1C5809E7">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箱体要求：户外型，箱壳应采用高品质的镀锌冷轧钢板厚度不低于2.5mm，具有防腐、防紫外线、抗氧化能力。</w:t>
      </w:r>
    </w:p>
    <w:p w14:paraId="71CBA752">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体金属框架均应有良好的接地，有接地端子，并标有接地符号，箱体金属结构应电气连通，具有电磁屏蔽能力，通过箱体框架外部预留接地点与外部接地装置连接。箱体材质及结构需保证在本工程条件下正常使用25年。</w:t>
      </w:r>
    </w:p>
    <w:p w14:paraId="351BFFB6">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箱变壳体的防护等级不低于IP54。</w:t>
      </w:r>
    </w:p>
    <w:p w14:paraId="4664647F">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低压母排采用绝缘套密封。</w:t>
      </w:r>
    </w:p>
    <w:p w14:paraId="31939E06">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箱体应有足够的机械强度，在运输、安装中不发生变形。外壳油漆喷涂均匀，抗暴晒、抗腐蚀，并有牢固的附着力。</w:t>
      </w:r>
    </w:p>
    <w:p w14:paraId="43080C23">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箱体金属框架均应有良好的接地，并标有接地符号。</w:t>
      </w:r>
    </w:p>
    <w:p w14:paraId="2188411A">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箱壳门应向外开，开启角度应大于90°，并设定位装置。箱式变应装有把手、暗闩和能防雨、防堵、防锈的暗锁。</w:t>
      </w:r>
    </w:p>
    <w:p w14:paraId="68BC1ED5">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一体化箱式变电站内部的操作空间应适于进行任何操作、巡视和检试，符合相关安全操作规范要求。</w:t>
      </w:r>
    </w:p>
    <w:p w14:paraId="51FC8324">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箱式变压器的噪音水平不应大于规范规定的变压器噪音水平。</w:t>
      </w:r>
    </w:p>
    <w:p w14:paraId="3458DCCB">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预制箱式变电站内部应预留检修孔。</w:t>
      </w:r>
    </w:p>
    <w:p w14:paraId="3494663E">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箱体顶盖的倾斜度不应小于3°。</w:t>
      </w:r>
    </w:p>
    <w:p w14:paraId="2253F9C2">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箱体设计应考虑防潮及避免内部元件发生凝露的措施。</w:t>
      </w:r>
    </w:p>
    <w:p w14:paraId="5D7A8FBB">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箱式变的箱体应设专用接地体</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该接地导体上应设有与接地网相连的固定连接端子，其数量不少于两个，并应有明显的接地标志。接地端子孔径满足12mm的螺栓连接要求。</w:t>
      </w:r>
    </w:p>
    <w:p w14:paraId="30D2ACAB">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箱式变的金属骨架、箱门、高、低配电装置及变压器部分的金属支架均应有符合技术条件的接地端子，并与专用接地导体可靠地连接在一起。</w:t>
      </w:r>
    </w:p>
    <w:p w14:paraId="0E086261">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高压室门加装电磁锁和带电显示器，高压侧带电时高压室门不能打开，箱变外门加装机械锁。</w:t>
      </w:r>
    </w:p>
    <w:p w14:paraId="19214DA5">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箱体必须具备通风散热能力，并且可按温控设置，通风机具备自动启停功能。变压器工作温度要求上传至后台。</w:t>
      </w:r>
    </w:p>
    <w:p w14:paraId="7AE6AA15">
      <w:pPr>
        <w:pageBreakBefore w:val="0"/>
        <w:numPr>
          <w:ilvl w:val="2"/>
          <w:numId w:val="8"/>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箱变低压侧应满足逆变器接入回路数需求，并留有至少一路备用回路。</w:t>
      </w:r>
    </w:p>
    <w:p w14:paraId="752F877D">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color w:val="000000" w:themeColor="text1"/>
          <w:szCs w:val="21"/>
          <w:highlight w:val="none"/>
          <w14:textFill>
            <w14:solidFill>
              <w14:schemeClr w14:val="tx1"/>
            </w14:solidFill>
          </w14:textFill>
        </w:rPr>
      </w:pPr>
      <w:bookmarkStart w:id="406" w:name="_Toc18263"/>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.7 </w:t>
      </w:r>
      <w:r>
        <w:rPr>
          <w:rFonts w:hint="default" w:ascii="Times New Roman" w:hAnsi="Times New Roman" w:eastAsia="宋体" w:cs="Times New Roman"/>
          <w:b/>
          <w:color w:val="000000" w:themeColor="text1"/>
          <w:sz w:val="21"/>
          <w:szCs w:val="21"/>
          <w:highlight w:val="none"/>
          <w14:textFill>
            <w14:solidFill>
              <w14:schemeClr w14:val="tx1"/>
            </w14:solidFill>
          </w14:textFill>
        </w:rPr>
        <w:t>电缆桥架技术要求</w:t>
      </w:r>
      <w:bookmarkEnd w:id="406"/>
    </w:p>
    <w:p w14:paraId="4D205BAA">
      <w:pPr>
        <w:pageBreakBefore w:val="0"/>
        <w:numPr>
          <w:ilvl w:val="2"/>
          <w:numId w:val="9"/>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光伏项目建设采用的光伏支架要采用防腐防锈材质，材质符合《太阳能光伏系统支架通用技术要求》</w:t>
      </w:r>
      <w:r>
        <w:rPr>
          <w:rFonts w:hint="eastAsia" w:ascii="Times New Roman" w:hAnsi="Times New Roman" w:eastAsia="宋体" w:cs="Times New Roman"/>
          <w:color w:val="000000" w:themeColor="text1"/>
          <w:sz w:val="21"/>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4"/>
          <w:highlight w:val="none"/>
          <w14:textFill>
            <w14:solidFill>
              <w14:schemeClr w14:val="tx1"/>
            </w14:solidFill>
          </w14:textFill>
        </w:rPr>
        <w:t>JG/T</w:t>
      </w:r>
      <w:r>
        <w:rPr>
          <w:rFonts w:hint="eastAsia" w:ascii="Times New Roman" w:hAnsi="Times New Roman" w:eastAsia="宋体" w:cs="Times New Roman"/>
          <w:color w:val="000000" w:themeColor="text1"/>
          <w:sz w:val="21"/>
          <w:szCs w:val="24"/>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4"/>
          <w:highlight w:val="none"/>
          <w14:textFill>
            <w14:solidFill>
              <w14:schemeClr w14:val="tx1"/>
            </w14:solidFill>
          </w14:textFill>
        </w:rPr>
        <w:t>490</w:t>
      </w:r>
      <w:r>
        <w:rPr>
          <w:rFonts w:hint="eastAsia" w:ascii="Times New Roman" w:hAnsi="Times New Roman" w:eastAsia="宋体" w:cs="Times New Roman"/>
          <w:color w:val="000000" w:themeColor="text1"/>
          <w:sz w:val="21"/>
          <w:szCs w:val="24"/>
          <w:highlight w:val="none"/>
          <w:lang w:val="en-US" w:eastAsia="zh-CN"/>
          <w14:textFill>
            <w14:solidFill>
              <w14:schemeClr w14:val="tx1"/>
            </w14:solidFill>
          </w14:textFill>
        </w:rPr>
        <w:t>-2016</w:t>
      </w:r>
      <w:r>
        <w:rPr>
          <w:rFonts w:hint="eastAsia" w:ascii="Times New Roman" w:hAnsi="Times New Roman" w:eastAsia="宋体" w:cs="Times New Roman"/>
          <w:color w:val="000000" w:themeColor="text1"/>
          <w:sz w:val="21"/>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，光伏支架风力荷载与重力荷载等级符合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钢结构工程施工质量验收</w:t>
      </w:r>
      <w:r>
        <w:rPr>
          <w:rFonts w:hint="eastAsia" w:ascii="宋体" w:hAnsi="宋体" w:eastAsia="宋体" w:cs="宋体"/>
          <w:color w:val="000000" w:themeColor="text1"/>
          <w:sz w:val="21"/>
          <w:szCs w:val="21"/>
          <w:highlight w:val="none"/>
          <w:lang w:eastAsia="zh-CN"/>
          <w14:textFill>
            <w14:solidFill>
              <w14:schemeClr w14:val="tx1"/>
            </w14:solidFill>
          </w14:textFill>
        </w:rPr>
        <w:t>标准》</w:t>
      </w:r>
      <w:r>
        <w:rPr>
          <w:rFonts w:hint="eastAsia" w:ascii="Times New Roman" w:hAnsi="Times New Roman" w:eastAsia="宋体" w:cs="Times New Roman"/>
          <w:color w:val="000000" w:themeColor="text1"/>
          <w:sz w:val="21"/>
          <w:szCs w:val="24"/>
          <w:highlight w:val="none"/>
          <w14:textFill>
            <w14:solidFill>
              <w14:schemeClr w14:val="tx1"/>
            </w14:solidFill>
          </w14:textFill>
        </w:rPr>
        <w:t>（GB 50205</w:t>
      </w:r>
      <w:r>
        <w:rPr>
          <w:rFonts w:hint="eastAsia" w:ascii="Times New Roman" w:hAnsi="Times New Roman" w:eastAsia="宋体" w:cs="Times New Roman"/>
          <w:color w:val="000000" w:themeColor="text1"/>
          <w:sz w:val="21"/>
          <w:szCs w:val="24"/>
          <w:highlight w:val="none"/>
          <w:lang w:val="en-US" w:eastAsia="zh-CN"/>
          <w14:textFill>
            <w14:solidFill>
              <w14:schemeClr w14:val="tx1"/>
            </w14:solidFill>
          </w14:textFill>
        </w:rPr>
        <w:t>-2020</w:t>
      </w:r>
      <w:r>
        <w:rPr>
          <w:rFonts w:hint="eastAsia" w:ascii="Times New Roman" w:hAnsi="Times New Roman" w:eastAsia="宋体" w:cs="Times New Roman"/>
          <w:color w:val="000000" w:themeColor="text1"/>
          <w:sz w:val="21"/>
          <w:szCs w:val="24"/>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EC06F32">
      <w:pPr>
        <w:pageBreakBefore w:val="0"/>
        <w:numPr>
          <w:ilvl w:val="2"/>
          <w:numId w:val="9"/>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电缆走廊均采用底部开放的梯形桥架或封闭式电缆沟，所有电缆桥架及套管应采用金属 材质，桥架表面应有防火涂料，涂料耐火时间不低于1h。电缆沟内桥架采用金属托架。所有电缆桥架均密闭。</w:t>
      </w:r>
    </w:p>
    <w:p w14:paraId="011695D7">
      <w:pPr>
        <w:pageBreakBefore w:val="0"/>
        <w:numPr>
          <w:ilvl w:val="2"/>
          <w:numId w:val="9"/>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彩钢瓦屋面要求在选用底部开放的梯形桥架时，应在底部铺满防火隔热板，防止电缆发生火灾时，燃烧物溅落至彩钢瓦屋面，烧坏屋顶。桥架结合处用非自攻螺钉连接，所有联接件为304及以上不锈钢质材料。</w:t>
      </w:r>
    </w:p>
    <w:p w14:paraId="4B0B4FE9">
      <w:pPr>
        <w:pageBreakBefore w:val="0"/>
        <w:numPr>
          <w:ilvl w:val="2"/>
          <w:numId w:val="9"/>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所有桥架每隔一定距离均必须用金属抱箍（扎带）固定，避免桥架上下部分变形与移位，且需考虑25年使用寿命。汇流箱和逆变器线缆进出线也需考虑转弯半径，预留操作空间。桥架壁厚不少于2.0mm。</w:t>
      </w:r>
    </w:p>
    <w:p w14:paraId="35E0D863">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07" w:name="_Toc16455"/>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.8 </w:t>
      </w:r>
      <w:r>
        <w:rPr>
          <w:rFonts w:hint="default" w:ascii="Times New Roman" w:hAnsi="Times New Roman" w:eastAsia="宋体" w:cs="Times New Roman"/>
          <w:b/>
          <w:color w:val="000000" w:themeColor="text1"/>
          <w:sz w:val="21"/>
          <w:szCs w:val="21"/>
          <w:highlight w:val="none"/>
          <w14:textFill>
            <w14:solidFill>
              <w14:schemeClr w14:val="tx1"/>
            </w14:solidFill>
          </w14:textFill>
        </w:rPr>
        <w:t>防雷系统技术要求</w:t>
      </w:r>
      <w:bookmarkEnd w:id="407"/>
    </w:p>
    <w:p w14:paraId="51D47E14">
      <w:pPr>
        <w:pageBreakBefore w:val="0"/>
        <w:numPr>
          <w:ilvl w:val="2"/>
          <w:numId w:val="10"/>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光伏系统的防雷设计</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应满足雷电防护分区、分级确定的防雷等级要求。各连接点的连接 电阻应小于4Ω。接地网的制作应符合国家相关规范要求。屋顶必须有等电位接地地网作为接地连接。</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防雷接地设施符合国家《建筑物防雷设计规范》（GB50057-2010）。</w:t>
      </w:r>
    </w:p>
    <w:p w14:paraId="1C6E51E0">
      <w:pPr>
        <w:pageBreakBefore w:val="0"/>
        <w:numPr>
          <w:ilvl w:val="2"/>
          <w:numId w:val="10"/>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提供的并网逆变器安全可靠，能确保25年内有效防止光伏组件PID现象的发生。</w:t>
      </w:r>
    </w:p>
    <w:p w14:paraId="60F4E182">
      <w:pPr>
        <w:pageBreakBefore w:val="0"/>
        <w:numPr>
          <w:ilvl w:val="2"/>
          <w:numId w:val="10"/>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带边框的光伏太阳能组件防雷接地要牢靠，并网逆变器将外壳可靠接地，避雷针、避雷扁钢、接地线及接地级要符合规范要求。</w:t>
      </w:r>
    </w:p>
    <w:p w14:paraId="5707360C">
      <w:pPr>
        <w:pageBreakBefore w:val="0"/>
        <w:numPr>
          <w:ilvl w:val="2"/>
          <w:numId w:val="10"/>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组件与组件之间、组件与导轨之间需用接地线连接，线槽需做好等电位连接与接地。</w:t>
      </w:r>
    </w:p>
    <w:p w14:paraId="0560B5F2">
      <w:pPr>
        <w:pageBreakBefore w:val="0"/>
        <w:numPr>
          <w:ilvl w:val="2"/>
          <w:numId w:val="10"/>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组件作为建筑一部分，本身要具备很好的防雷措施，能够与建筑物的防雷带有很明显的防雷连接点。在并网逆变器、交流汇流箱，光伏并网柜都应该有分级别的防雷防浪涌保护模块，保护相关的电气设备和线路。</w:t>
      </w:r>
    </w:p>
    <w:p w14:paraId="7BC45E97">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08" w:name="_Toc10479"/>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.9 </w:t>
      </w:r>
      <w:r>
        <w:rPr>
          <w:rFonts w:hint="default" w:ascii="Times New Roman" w:hAnsi="Times New Roman" w:eastAsia="宋体" w:cs="Times New Roman"/>
          <w:b/>
          <w:color w:val="000000" w:themeColor="text1"/>
          <w:sz w:val="21"/>
          <w:szCs w:val="21"/>
          <w:highlight w:val="none"/>
          <w14:textFill>
            <w14:solidFill>
              <w14:schemeClr w14:val="tx1"/>
            </w14:solidFill>
          </w14:textFill>
        </w:rPr>
        <w:t>油漆、设备标牌</w:t>
      </w:r>
      <w:bookmarkEnd w:id="408"/>
    </w:p>
    <w:p w14:paraId="6660187C">
      <w:pPr>
        <w:pageBreakBefore w:val="0"/>
        <w:numPr>
          <w:ilvl w:val="2"/>
          <w:numId w:val="11"/>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设备采用满足区域防腐要求的优质油漆，涂刷不少于二底二面，采用环氧富锌底漆，漆膜厚度不低于150微米，面漆采用聚氨酯面漆，漆膜厚度不低于80微米。运输途中如有掉漆或其他情况需在现场补漆时，由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提供底漆和面漆并在现场完成。</w:t>
      </w:r>
    </w:p>
    <w:p w14:paraId="23445CC1">
      <w:pPr>
        <w:pageBreakBefore w:val="0"/>
        <w:numPr>
          <w:ilvl w:val="2"/>
          <w:numId w:val="11"/>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组串、逆变器、开关站等光伏区系统设备按行业通用要求设置标识牌，内容包括设备名称、编号等，</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负责提供和安装。配电室内新增的配电柜外形及颜色应与原有设备保持一致。</w:t>
      </w:r>
    </w:p>
    <w:p w14:paraId="78819BEA">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09" w:name="_Toc10299"/>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.10 </w:t>
      </w:r>
      <w:r>
        <w:rPr>
          <w:rFonts w:hint="default" w:ascii="Times New Roman" w:hAnsi="Times New Roman" w:eastAsia="宋体" w:cs="Times New Roman"/>
          <w:b/>
          <w:color w:val="000000" w:themeColor="text1"/>
          <w:szCs w:val="21"/>
          <w:highlight w:val="none"/>
          <w14:textFill>
            <w14:solidFill>
              <w14:schemeClr w14:val="tx1"/>
            </w14:solidFill>
          </w14:textFill>
        </w:rPr>
        <w:t>光伏</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发电</w:t>
      </w:r>
      <w:r>
        <w:rPr>
          <w:rFonts w:hint="default" w:ascii="Times New Roman" w:hAnsi="Times New Roman" w:eastAsia="宋体" w:cs="Times New Roman"/>
          <w:b/>
          <w:color w:val="000000" w:themeColor="text1"/>
          <w:szCs w:val="21"/>
          <w:highlight w:val="none"/>
          <w14:textFill>
            <w14:solidFill>
              <w14:schemeClr w14:val="tx1"/>
            </w14:solidFill>
          </w14:textFill>
        </w:rPr>
        <w:t>监控和运维系统</w:t>
      </w:r>
      <w:bookmarkEnd w:id="409"/>
      <w:r>
        <w:rPr>
          <w:rFonts w:hint="default" w:ascii="Times New Roman" w:hAnsi="Times New Roman" w:eastAsia="宋体" w:cs="Times New Roman"/>
          <w:b/>
          <w:color w:val="000000" w:themeColor="text1"/>
          <w:szCs w:val="21"/>
          <w:highlight w:val="none"/>
          <w14:textFill>
            <w14:solidFill>
              <w14:schemeClr w14:val="tx1"/>
            </w14:solidFill>
          </w14:textFill>
        </w:rPr>
        <w:t xml:space="preserve"> </w:t>
      </w:r>
    </w:p>
    <w:p w14:paraId="1747C968">
      <w:pPr>
        <w:pageBreakBefore w:val="0"/>
        <w:numPr>
          <w:ilvl w:val="2"/>
          <w:numId w:val="12"/>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必须全部采集电气设备所有数据信息。</w:t>
      </w:r>
    </w:p>
    <w:p w14:paraId="13196F4F">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画面设备和线路应具有电网拓扑识别功能，实现带电设备的颜色标识。光伏电站的监控系统采用高可靠性工控机进行集中控制和数据采集，具有遥测、遥信、遥控功能。LCD 液晶屏显示，可测量和显示光伏发电各系统的各类参数。</w:t>
      </w:r>
    </w:p>
    <w:p w14:paraId="4838DB5A">
      <w:pPr>
        <w:pageBreakBefore w:val="0"/>
        <w:numPr>
          <w:ilvl w:val="2"/>
          <w:numId w:val="12"/>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本项目的监控系统至少可以采集以下信息</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05F20475">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环境参数：主要包括日照强度、风速、风向、温度、湿度等参量。</w:t>
      </w:r>
    </w:p>
    <w:p w14:paraId="68823E64">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光伏系统运行参数：可查看每台逆变器的运行参数，主要包括：直流电压、直流电流、直流功率、交流电压、交流电流、逆变器机内温度、时钟、频率、功率因数、当前发电功率等；</w:t>
      </w:r>
    </w:p>
    <w:p w14:paraId="6597A411">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低压柜的电流、电压等参数；</w:t>
      </w:r>
    </w:p>
    <w:p w14:paraId="507F441A">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视频监控：逆变器、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光伏</w:t>
      </w:r>
      <w:r>
        <w:rPr>
          <w:rFonts w:hint="default" w:ascii="Times New Roman" w:hAnsi="Times New Roman" w:eastAsia="宋体" w:cs="Times New Roman"/>
          <w:color w:val="000000" w:themeColor="text1"/>
          <w:sz w:val="21"/>
          <w:szCs w:val="21"/>
          <w:highlight w:val="none"/>
          <w14:textFill>
            <w14:solidFill>
              <w14:schemeClr w14:val="tx1"/>
            </w14:solidFill>
          </w14:textFill>
        </w:rPr>
        <w:t>组件安装区域需安装高清视频摄像头，400万像素，IP66</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内置256G容量SD卡，360°自由转动巡检。</w:t>
      </w:r>
    </w:p>
    <w:p w14:paraId="103001E3">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光伏电站内配置一套环境监测仪，实时监测日照强度、风速、风向、温度等参数； </w:t>
      </w:r>
    </w:p>
    <w:p w14:paraId="79037871">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节能减排参数：日发电量、累计发电量、节省标煤、CO2、NOx、SO2 减排量。</w:t>
      </w:r>
    </w:p>
    <w:p w14:paraId="3AE4725B">
      <w:pPr>
        <w:pageBreakBefore w:val="0"/>
        <w:numPr>
          <w:ilvl w:val="2"/>
          <w:numId w:val="12"/>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监控系统的功能</w:t>
      </w:r>
    </w:p>
    <w:p w14:paraId="4F9CF5E3">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应至少满足以下功能：</w:t>
      </w:r>
    </w:p>
    <w:p w14:paraId="7FF34698">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数据采集与显示：实时信息包括：模拟量、开关量、脉冲量、温度等信号。</w:t>
      </w:r>
    </w:p>
    <w:p w14:paraId="1DA8A1C6">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安全监视：监控的故障信息包括但不限于以下内容：电网故障参数、以及通讯接口及网络故障，汇流箱数据异常等。</w:t>
      </w:r>
    </w:p>
    <w:p w14:paraId="3C97E765">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事件顺序记录：光伏发电站系统或设备发生故障时，应对异常状态变化的时间顺序自动记录、存储、远传，事件记录分辨率小于1ms。</w:t>
      </w:r>
    </w:p>
    <w:p w14:paraId="56C90D81">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控制操作：控制对象为断路器、光伏逆变器、和其他重要设备。控制方式应具有自动控制和人工控制两种方式，控制方式应能满足电气五防闭锁要求。</w:t>
      </w:r>
    </w:p>
    <w:p w14:paraId="67D6B25C">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统计分析：可实现有功和无功电度的计算和电度量分时统计、运行参数的统计分析。</w:t>
      </w:r>
    </w:p>
    <w:p w14:paraId="366A9EB5">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智能云平台：可实时显示光伏发电系统运行状态。</w:t>
      </w:r>
    </w:p>
    <w:p w14:paraId="4F98EDAB">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监控系统显示的主要画面至少如下：电气主接线图，包括显示设备运行状态、潮流方向、各主要电气量(电流、电压、频率、有功、无功、功率因素)等的实时值</w:t>
      </w:r>
    </w:p>
    <w:p w14:paraId="7D67B413">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rPr>
          <w:rFonts w:hint="default" w:ascii="Times New Roman" w:hAnsi="Times New Roman" w:eastAsia="黑体" w:cs="Times New Roman"/>
          <w:color w:val="000000" w:themeColor="text1"/>
          <w:sz w:val="28"/>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其它功能：本工程计算机监控系统具有时间记录远传功能。具有标准的通信规约，具有多个远方接口，必要时服从主站端的通信规约进行非常规的数据通信。</w:t>
      </w:r>
    </w:p>
    <w:p w14:paraId="50B8521B">
      <w:pPr>
        <w:pageBreakBefore w:val="0"/>
        <w:numPr>
          <w:ilvl w:val="2"/>
          <w:numId w:val="12"/>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监控设备要求</w:t>
      </w:r>
    </w:p>
    <w:p w14:paraId="5A3BF7AB">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交换机：配置冗余的工业级核心交换机。</w:t>
      </w:r>
    </w:p>
    <w:p w14:paraId="7C837D03">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服务器：</w:t>
      </w:r>
      <w:r>
        <w:rPr>
          <w:rFonts w:hint="default" w:ascii="Times New Roman" w:hAnsi="Times New Roman" w:eastAsia="宋体" w:cs="Times New Roman"/>
          <w:b w:val="0"/>
          <w:color w:val="000000" w:themeColor="text1"/>
          <w:szCs w:val="21"/>
          <w:highlight w:val="none"/>
          <w:lang w:val="en-US" w:eastAsia="zh-CN"/>
          <w14:textFill>
            <w14:solidFill>
              <w14:schemeClr w14:val="tx1"/>
            </w14:solidFill>
          </w14:textFill>
        </w:rPr>
        <w:t>要求</w:t>
      </w:r>
      <w:r>
        <w:rPr>
          <w:rFonts w:hint="default" w:ascii="Times New Roman" w:hAnsi="Times New Roman" w:eastAsia="宋体" w:cs="Times New Roman"/>
          <w:b w:val="0"/>
          <w:color w:val="000000" w:themeColor="text1"/>
          <w:szCs w:val="21"/>
          <w:highlight w:val="none"/>
          <w14:textFill>
            <w14:solidFill>
              <w14:schemeClr w14:val="tx1"/>
            </w14:solidFill>
          </w14:textFill>
        </w:rPr>
        <w:t>监控和运维系统</w:t>
      </w:r>
      <w:r>
        <w:rPr>
          <w:rFonts w:hint="default" w:ascii="Times New Roman" w:hAnsi="Times New Roman" w:eastAsia="宋体" w:cs="Times New Roman"/>
          <w:b w:val="0"/>
          <w:color w:val="000000" w:themeColor="text1"/>
          <w:szCs w:val="21"/>
          <w:highlight w:val="none"/>
          <w:lang w:val="en-US" w:eastAsia="zh-CN"/>
          <w14:textFill>
            <w14:solidFill>
              <w14:schemeClr w14:val="tx1"/>
            </w14:solidFill>
          </w14:textFill>
        </w:rPr>
        <w:t>厂商提供云服务，满足7×24小时服务</w:t>
      </w:r>
      <w:r>
        <w:rPr>
          <w:rFonts w:hint="default" w:ascii="Times New Roman" w:hAnsi="Times New Roman" w:eastAsia="宋体" w:cs="Times New Roman"/>
          <w:b w:val="0"/>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 w:val="0"/>
          <w:color w:val="000000" w:themeColor="text1"/>
          <w:szCs w:val="21"/>
          <w:highlight w:val="none"/>
          <w:lang w:val="en-US" w:eastAsia="zh-CN"/>
          <w14:textFill>
            <w14:solidFill>
              <w14:schemeClr w14:val="tx1"/>
            </w14:solidFill>
          </w14:textFill>
        </w:rPr>
        <w:t>满足</w:t>
      </w:r>
      <w:r>
        <w:rPr>
          <w:rFonts w:hint="default" w:ascii="Times New Roman" w:hAnsi="Times New Roman" w:eastAsia="宋体" w:cs="Times New Roman"/>
          <w:color w:val="000000" w:themeColor="text1"/>
          <w:szCs w:val="21"/>
          <w:highlight w:val="none"/>
          <w14:textFill>
            <w14:solidFill>
              <w14:schemeClr w14:val="tx1"/>
            </w14:solidFill>
          </w14:textFill>
        </w:rPr>
        <w:t>存储可扩展、服务可扩展要求</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p>
    <w:p w14:paraId="586138D6">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操作站：使用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原厂品牌</w:t>
      </w:r>
      <w:r>
        <w:rPr>
          <w:rFonts w:hint="default" w:ascii="Times New Roman" w:hAnsi="Times New Roman" w:eastAsia="宋体" w:cs="Times New Roman"/>
          <w:color w:val="000000" w:themeColor="text1"/>
          <w:sz w:val="21"/>
          <w:szCs w:val="21"/>
          <w:highlight w:val="none"/>
          <w14:textFill>
            <w14:solidFill>
              <w14:schemeClr w14:val="tx1"/>
            </w14:solidFill>
          </w14:textFill>
        </w:rPr>
        <w:t>工控机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处理器：</w:t>
      </w:r>
      <w:r>
        <w:rPr>
          <w:rFonts w:hint="default" w:ascii="Times New Roman" w:hAnsi="Times New Roman" w:eastAsia="宋体" w:cs="Times New Roman"/>
          <w:color w:val="000000" w:themeColor="text1"/>
          <w:szCs w:val="21"/>
          <w:highlight w:val="none"/>
          <w14:textFill>
            <w14:solidFill>
              <w14:schemeClr w14:val="tx1"/>
            </w14:solidFill>
          </w14:textFill>
        </w:rPr>
        <w:t>英特尔</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I5-12500以上，内存：DDR4，容量32GB，硬盘：1000GB固态，显示器：</w:t>
      </w:r>
      <w:r>
        <w:rPr>
          <w:rFonts w:hint="default" w:ascii="Times New Roman" w:hAnsi="Times New Roman" w:eastAsia="宋体" w:cs="Times New Roman"/>
          <w:color w:val="000000" w:themeColor="text1"/>
          <w:sz w:val="21"/>
          <w:szCs w:val="21"/>
          <w:highlight w:val="none"/>
          <w14:textFill>
            <w14:solidFill>
              <w14:schemeClr w14:val="tx1"/>
            </w14:solidFill>
          </w14:textFill>
        </w:rPr>
        <w:t>24寸及以上2K分辨率。</w:t>
      </w:r>
    </w:p>
    <w:p w14:paraId="70388BCC">
      <w:pPr>
        <w:pageBreakBefore w:val="0"/>
        <w:numPr>
          <w:ilvl w:val="3"/>
          <w:numId w:val="12"/>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显示大屏：全彩led无缝拼接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不低于55寸，P1.86，平均无故障运行时间</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MTBF</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达60000小时。</w:t>
      </w:r>
    </w:p>
    <w:p w14:paraId="0133AB01">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10" w:name="_Toc9082"/>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.11 </w:t>
      </w:r>
      <w:r>
        <w:rPr>
          <w:rFonts w:hint="default" w:ascii="Times New Roman" w:hAnsi="Times New Roman" w:eastAsia="宋体" w:cs="Times New Roman"/>
          <w:b/>
          <w:color w:val="000000" w:themeColor="text1"/>
          <w:sz w:val="21"/>
          <w:szCs w:val="21"/>
          <w:highlight w:val="none"/>
          <w14:textFill>
            <w14:solidFill>
              <w14:schemeClr w14:val="tx1"/>
            </w14:solidFill>
          </w14:textFill>
        </w:rPr>
        <w:t>非入侵式的红外抄表</w:t>
      </w:r>
      <w:bookmarkEnd w:id="410"/>
    </w:p>
    <w:p w14:paraId="635BC30B">
      <w:pPr>
        <w:pageBreakBefore w:val="0"/>
        <w:numPr>
          <w:ilvl w:val="2"/>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系统结构</w:t>
      </w:r>
    </w:p>
    <w:p w14:paraId="12113B30">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红外抄表系统包括红外探头、数据采集器和智能云平台。</w:t>
      </w:r>
    </w:p>
    <w:p w14:paraId="0EDB752E">
      <w:pPr>
        <w:pageBreakBefore w:val="0"/>
        <w:numPr>
          <w:ilvl w:val="2"/>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红外探头</w:t>
      </w:r>
    </w:p>
    <w:p w14:paraId="365B7590">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将外置红外抄表器固定在电能表附近，通过与电能表的红外光口实现近距离红外通信，定时读取智能电表的参数信息；</w:t>
      </w:r>
    </w:p>
    <w:p w14:paraId="06355742">
      <w:pPr>
        <w:pageBreakBefore w:val="0"/>
        <w:numPr>
          <w:ilvl w:val="2"/>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数据采集器</w:t>
      </w:r>
    </w:p>
    <w:p w14:paraId="087C3779">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采用4G无线通信方式，可采集南网电表的电能数据、电压、电流、功率因数等电参数数据，适合各种具备红外通信接口的电表等仪表的抄表场景；</w:t>
      </w:r>
    </w:p>
    <w:p w14:paraId="523B7380">
      <w:pPr>
        <w:pageBreakBefore w:val="0"/>
        <w:numPr>
          <w:ilvl w:val="2"/>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智能云平台</w:t>
      </w:r>
    </w:p>
    <w:p w14:paraId="131E2B61">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通过数据采集器CG2022F/CG2302将数据上传至智能云平台，用户可以通过APP或WEB平台访问查询电量信息。</w:t>
      </w:r>
    </w:p>
    <w:p w14:paraId="78CD2C37">
      <w:pPr>
        <w:pageBreakBefore w:val="0"/>
        <w:numPr>
          <w:ilvl w:val="3"/>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支持抄读正反向有功无功电能、分时电能等电表开放数据；</w:t>
      </w:r>
    </w:p>
    <w:p w14:paraId="7210F521">
      <w:pPr>
        <w:pageBreakBefore w:val="0"/>
        <w:numPr>
          <w:ilvl w:val="3"/>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与电力公司度数保持高度一致，无误差；</w:t>
      </w:r>
    </w:p>
    <w:p w14:paraId="7469F5CD">
      <w:pPr>
        <w:pageBreakBefore w:val="0"/>
        <w:numPr>
          <w:ilvl w:val="3"/>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工业级器件选型，满足-25℃～+85℃的恶劣工作环境；</w:t>
      </w:r>
    </w:p>
    <w:p w14:paraId="6F86C47D">
      <w:pPr>
        <w:pageBreakBefore w:val="0"/>
        <w:numPr>
          <w:ilvl w:val="3"/>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抗干扰能力强，与电表一对一抄读，无误读、串读等导致数据异常的情况；</w:t>
      </w:r>
    </w:p>
    <w:p w14:paraId="3CF984FC">
      <w:pPr>
        <w:pageBreakBefore w:val="0"/>
        <w:numPr>
          <w:ilvl w:val="3"/>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一台采集器支持连接多个红外抄表探头，实现自发自用场景下发电侧电表与并网侧电表同时采集；</w:t>
      </w:r>
    </w:p>
    <w:p w14:paraId="78185D8D">
      <w:pPr>
        <w:pageBreakBefore w:val="0"/>
        <w:numPr>
          <w:ilvl w:val="3"/>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采集抄读标配吸盘天线，信号微弱地区可加强信号；</w:t>
      </w:r>
    </w:p>
    <w:p w14:paraId="5E888EFF">
      <w:pPr>
        <w:pageBreakBefore w:val="0"/>
        <w:numPr>
          <w:ilvl w:val="3"/>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数据采集器即插即用，实现远程抄表；</w:t>
      </w:r>
    </w:p>
    <w:p w14:paraId="55BEBB2A">
      <w:pPr>
        <w:pageBreakBefore w:val="0"/>
        <w:numPr>
          <w:ilvl w:val="3"/>
          <w:numId w:val="13"/>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安装模式方便灵活，探头和电表红外口之间无遮挡即可实现采集。</w:t>
      </w:r>
    </w:p>
    <w:p w14:paraId="60F43471">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11" w:name="_Toc6022"/>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.12 </w:t>
      </w:r>
      <w:r>
        <w:rPr>
          <w:rFonts w:hint="default" w:ascii="Times New Roman" w:hAnsi="Times New Roman" w:eastAsia="宋体" w:cs="Times New Roman"/>
          <w:b/>
          <w:color w:val="000000" w:themeColor="text1"/>
          <w:sz w:val="21"/>
          <w:szCs w:val="21"/>
          <w:highlight w:val="none"/>
          <w14:textFill>
            <w14:solidFill>
              <w14:schemeClr w14:val="tx1"/>
            </w14:solidFill>
          </w14:textFill>
        </w:rPr>
        <w:t>电气安装要求</w:t>
      </w:r>
      <w:bookmarkEnd w:id="411"/>
    </w:p>
    <w:p w14:paraId="447A4839">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光伏电站必须在逆变器输出汇总点设置易于操作、可闭锁、且具有明显断开点的并网总断路器，以保证电力设备检修维护人员的人身安全。</w:t>
      </w:r>
    </w:p>
    <w:p w14:paraId="2678B4B0">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光伏电站和并网点设备的防雷和接地应符合南方电网公司规定要求，光伏电站接地网接地电阻合格，接地电阻应按规定周期进行测试。</w:t>
      </w:r>
    </w:p>
    <w:p w14:paraId="0A3E29CA">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光伏电站或电网异常、故障时为保护设备和人身安全，应具有相应继电保护功能，保护 电网和光伏设备的安全运行，确保维护人员和公众人身安全。光伏电站的保护应符合南方电网规定的可靠性、选择性、灵活性和速动性的要求。</w:t>
      </w:r>
    </w:p>
    <w:p w14:paraId="761D9D77">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光伏电站的过流与短路保护、防孤岛能力、逆变器保护、恢复并网等应满足南方电网规定的要求。</w:t>
      </w:r>
    </w:p>
    <w:p w14:paraId="00F24F61">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光伏电站的二次用直流系统的设计配置及蓄电池的放电容量应符合相关规程的技术要求。</w:t>
      </w:r>
    </w:p>
    <w:p w14:paraId="0A7E605A">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光伏电站的电能质量满足规程要求，电压谐波和波形畸变、电压偏差、电压波动和闪变、电压不平衡度、直流分量在南方电网规定的范围内，保证功率因素在0.98以上。</w:t>
      </w:r>
    </w:p>
    <w:p w14:paraId="5CB3385F">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光伏电站的安全自动装置应按国家规定配置齐全。</w:t>
      </w:r>
    </w:p>
    <w:p w14:paraId="2BCF72AB">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直流部分和交流低压部分的总线路损耗应控制在2%以内。</w:t>
      </w:r>
    </w:p>
    <w:p w14:paraId="5BBFA984">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配线线槽在建筑物上的布置应美观，与整个建筑协调一致，布线应隐蔽，从底部不能明显的看到线缆。各方阵的线缆便于连接，并有足够的强度，线缆连接附件应防水、抗老化。</w:t>
      </w:r>
    </w:p>
    <w:p w14:paraId="69DA6F82">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直流侧电缆要以减少线损并防止外界干扰的原则选型，选用双绝缘防紫外线阻燃铜芯电缆，电缆性能符合</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《橡胶和塑料软管 实验室光源暴露试验法 颜色、外观和其他物理性能变化的测定》（</w:t>
      </w:r>
      <w:r>
        <w:rPr>
          <w:rFonts w:hint="default" w:ascii="Times New Roman" w:hAnsi="Times New Roman" w:eastAsia="宋体" w:cs="Times New Roman"/>
          <w:color w:val="000000" w:themeColor="text1"/>
          <w:sz w:val="21"/>
          <w:szCs w:val="21"/>
          <w:highlight w:val="none"/>
          <w14:textFill>
            <w14:solidFill>
              <w14:schemeClr w14:val="tx1"/>
            </w14:solidFill>
          </w14:textFill>
        </w:rPr>
        <w:t>GB/T18950-20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性能测试的要求；交流侧需要考虑敷设的形式和安全来选择，应采用铜芯阻燃5芯电缆。</w:t>
      </w:r>
    </w:p>
    <w:p w14:paraId="0BECAC00">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电缆要采用铜芯电缆，其中直流电缆采用中国质量中心认证的光伏专用电缆</w:t>
      </w:r>
      <w:r>
        <w:rPr>
          <w:rFonts w:hint="default" w:ascii="Times New Roman" w:hAnsi="Times New Roman" w:eastAsia="宋体" w:cs="Times New Roman"/>
          <w:color w:val="000000" w:themeColor="text1"/>
          <w:sz w:val="21"/>
          <w:szCs w:val="21"/>
          <w:highlight w:val="none"/>
          <w14:textFill>
            <w14:solidFill>
              <w14:schemeClr w14:val="tx1"/>
            </w14:solidFill>
          </w14:textFill>
        </w:rPr>
        <w:t>，能满足室外30年的使用年限。</w:t>
      </w:r>
    </w:p>
    <w:p w14:paraId="1181BE86">
      <w:pPr>
        <w:pageBreakBefore w:val="0"/>
        <w:numPr>
          <w:ilvl w:val="2"/>
          <w:numId w:val="14"/>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光伏线缆 MC4 插头制作应严格按规范进行，各类线缆不能裸露。</w:t>
      </w:r>
    </w:p>
    <w:p w14:paraId="4794754B">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12" w:name="_Toc22137"/>
      <w:r>
        <w:rPr>
          <w:rFonts w:hint="default" w:ascii="Times New Roman" w:hAnsi="Times New Roman" w:eastAsia="宋体" w:cs="Times New Roman"/>
          <w:b/>
          <w:color w:val="000000" w:themeColor="text1"/>
          <w:sz w:val="21"/>
          <w:szCs w:val="21"/>
          <w:highlight w:val="none"/>
          <w14:textFill>
            <w14:solidFill>
              <w14:schemeClr w14:val="tx1"/>
            </w14:solidFill>
          </w14:textFill>
        </w:rPr>
        <w:t>3</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14:textFill>
            <w14:solidFill>
              <w14:schemeClr w14:val="tx1"/>
            </w14:solidFill>
          </w14:textFill>
        </w:rPr>
        <w:t>运维辅助设施技术要求</w:t>
      </w:r>
      <w:bookmarkEnd w:id="412"/>
    </w:p>
    <w:p w14:paraId="0BB892DF">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13" w:name="_Toc8972"/>
      <w:r>
        <w:rPr>
          <w:rFonts w:hint="default" w:ascii="Times New Roman" w:hAnsi="Times New Roman" w:eastAsia="宋体" w:cs="Times New Roman"/>
          <w:b/>
          <w:color w:val="000000" w:themeColor="text1"/>
          <w:sz w:val="21"/>
          <w:szCs w:val="21"/>
          <w:highlight w:val="none"/>
          <w14:textFill>
            <w14:solidFill>
              <w14:schemeClr w14:val="tx1"/>
            </w14:solidFill>
          </w14:textFill>
        </w:rPr>
        <w:t>3</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.1 </w:t>
      </w:r>
      <w:r>
        <w:rPr>
          <w:rFonts w:hint="default" w:ascii="Times New Roman" w:hAnsi="Times New Roman" w:eastAsia="宋体" w:cs="Times New Roman"/>
          <w:b/>
          <w:color w:val="000000" w:themeColor="text1"/>
          <w:sz w:val="21"/>
          <w:szCs w:val="21"/>
          <w:highlight w:val="none"/>
          <w14:textFill>
            <w14:solidFill>
              <w14:schemeClr w14:val="tx1"/>
            </w14:solidFill>
          </w14:textFill>
        </w:rPr>
        <w:t>上水系统</w:t>
      </w:r>
      <w:bookmarkEnd w:id="413"/>
    </w:p>
    <w:p w14:paraId="5D5723F0">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考虑到后期清洗，每个混凝土屋面光伏区域设计上水系统，要求在组件排布屋面安装水龙头，并配置相应的计量水表。系统冲洗端设置增压泵，出口压力可调节，最小出口压力保证三个终端同时开启时冲洗压力大于0.2MPa，泵入口设置可拆卸式滤网保证冲洗水不含杂质，所有的冲洗水管采用镀锌钢管。</w:t>
      </w:r>
    </w:p>
    <w:p w14:paraId="19DAE205">
      <w:pPr>
        <w:pageBreakBefore w:val="0"/>
        <w:kinsoku/>
        <w:wordWrap/>
        <w:overflowPunct/>
        <w:topLinePunct w:val="0"/>
        <w:bidi w:val="0"/>
        <w:spacing w:line="400" w:lineRule="exact"/>
        <w:ind w:left="0" w:leftChars="0" w:firstLine="422" w:firstLineChars="200"/>
        <w:outlineLvl w:val="2"/>
        <w:rPr>
          <w:rFonts w:ascii="Times New Roman" w:hAnsi="Times New Roman" w:eastAsia="宋体" w:cs="Times New Roman"/>
          <w:b/>
          <w:color w:val="000000" w:themeColor="text1"/>
          <w:sz w:val="21"/>
          <w:szCs w:val="21"/>
          <w:highlight w:val="none"/>
          <w14:textFill>
            <w14:solidFill>
              <w14:schemeClr w14:val="tx1"/>
            </w14:solidFill>
          </w14:textFill>
        </w:rPr>
      </w:pPr>
      <w:bookmarkStart w:id="414" w:name="_Toc20736"/>
      <w:r>
        <w:rPr>
          <w:rFonts w:hint="default" w:ascii="Times New Roman" w:hAnsi="Times New Roman" w:eastAsia="宋体" w:cs="Times New Roman"/>
          <w:b/>
          <w:color w:val="000000" w:themeColor="text1"/>
          <w:sz w:val="21"/>
          <w:szCs w:val="21"/>
          <w:highlight w:val="none"/>
          <w14:textFill>
            <w14:solidFill>
              <w14:schemeClr w14:val="tx1"/>
            </w14:solidFill>
          </w14:textFill>
        </w:rPr>
        <w:t>3</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.2 </w:t>
      </w:r>
      <w:r>
        <w:rPr>
          <w:rFonts w:hint="default" w:ascii="Times New Roman" w:hAnsi="Times New Roman" w:eastAsia="宋体" w:cs="Times New Roman"/>
          <w:b/>
          <w:color w:val="000000" w:themeColor="text1"/>
          <w:sz w:val="21"/>
          <w:szCs w:val="21"/>
          <w:highlight w:val="none"/>
          <w14:textFill>
            <w14:solidFill>
              <w14:schemeClr w14:val="tx1"/>
            </w14:solidFill>
          </w14:textFill>
        </w:rPr>
        <w:t>安全护栏、斜梯、采光带标识</w:t>
      </w:r>
      <w:bookmarkEnd w:id="414"/>
    </w:p>
    <w:p w14:paraId="615BB624">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无护栏或女儿墙的屋顶，以保护运维修人身安全，需设置安全绳挂钩点。</w:t>
      </w:r>
    </w:p>
    <w:p w14:paraId="6C629938">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为方便运维，未设置钢梯的屋面，须增设钢斜梯。钢斜梯入口要有带锁的活动门，钢斜梯旁边需设置安全警示牌看板。</w:t>
      </w:r>
    </w:p>
    <w:p w14:paraId="2B123C38">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采光带周围需用宽度不少于100mm 黄色油漆标识，涂上荧光涂料，并喷上禁止踩踏字样；同时设置保护，起到保护人员不踩空的作用，同时对厂房采光影响较小。</w:t>
      </w:r>
    </w:p>
    <w:p w14:paraId="39E3FC54">
      <w:pPr>
        <w:pageBreakBefore w:val="0"/>
        <w:kinsoku/>
        <w:wordWrap/>
        <w:overflowPunct/>
        <w:topLinePunct w:val="0"/>
        <w:bidi w:val="0"/>
        <w:adjustRightInd w:val="0"/>
        <w:snapToGrid w:val="0"/>
        <w:spacing w:line="400" w:lineRule="exact"/>
        <w:ind w:left="0" w:leftChars="0" w:firstLine="420" w:firstLineChars="200"/>
        <w:rPr>
          <w:rFonts w:ascii="Times New Roman" w:hAnsi="Times New Roman" w:eastAsia="黑体" w:cs="Times New Roman"/>
          <w:color w:val="000000" w:themeColor="text1"/>
          <w:sz w:val="28"/>
          <w:szCs w:val="24"/>
          <w:highlight w:val="none"/>
          <w14:textFill>
            <w14:solidFill>
              <w14:schemeClr w14:val="tx1"/>
            </w14:solidFill>
          </w14:textFill>
        </w:rPr>
      </w:pP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出于安全考虑，</w:t>
      </w:r>
      <w:r>
        <w:rPr>
          <w:rFonts w:hint="default" w:ascii="Times New Roman" w:hAnsi="Times New Roman" w:eastAsia="宋体" w:cs="Times New Roman"/>
          <w:color w:val="000000" w:themeColor="text1"/>
          <w:szCs w:val="24"/>
          <w:highlight w:val="none"/>
          <w14:textFill>
            <w14:solidFill>
              <w14:schemeClr w14:val="tx1"/>
            </w14:solidFill>
          </w14:textFill>
        </w:rPr>
        <w:t>如果需要加装栏杆，</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中标人应积极响应并负责相关费用，</w:t>
      </w:r>
      <w:r>
        <w:rPr>
          <w:rFonts w:hint="default" w:ascii="Times New Roman" w:hAnsi="Times New Roman" w:eastAsia="宋体" w:cs="Times New Roman"/>
          <w:color w:val="000000" w:themeColor="text1"/>
          <w:szCs w:val="24"/>
          <w:highlight w:val="none"/>
          <w14:textFill>
            <w14:solidFill>
              <w14:schemeClr w14:val="tx1"/>
            </w14:solidFill>
          </w14:textFill>
        </w:rPr>
        <w:t>按</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招标人</w:t>
      </w:r>
      <w:r>
        <w:rPr>
          <w:rFonts w:hint="default" w:ascii="Times New Roman" w:hAnsi="Times New Roman" w:eastAsia="宋体" w:cs="Times New Roman"/>
          <w:color w:val="000000" w:themeColor="text1"/>
          <w:szCs w:val="24"/>
          <w:highlight w:val="none"/>
          <w14:textFill>
            <w14:solidFill>
              <w14:schemeClr w14:val="tx1"/>
            </w14:solidFill>
          </w14:textFill>
        </w:rPr>
        <w:t>标准</w:t>
      </w:r>
      <w:r>
        <w:rPr>
          <w:rFonts w:hint="default" w:ascii="Times New Roman" w:hAnsi="Times New Roman" w:eastAsia="宋体" w:cs="Times New Roman"/>
          <w:color w:val="000000" w:themeColor="text1"/>
          <w:szCs w:val="24"/>
          <w:highlight w:val="none"/>
          <w:lang w:val="en-US" w:eastAsia="zh-CN"/>
          <w14:textFill>
            <w14:solidFill>
              <w14:schemeClr w14:val="tx1"/>
            </w14:solidFill>
          </w14:textFill>
        </w:rPr>
        <w:t>执行</w:t>
      </w:r>
      <w:r>
        <w:rPr>
          <w:rFonts w:hint="default" w:ascii="Times New Roman" w:hAnsi="Times New Roman" w:eastAsia="宋体" w:cs="Times New Roman"/>
          <w:color w:val="000000" w:themeColor="text1"/>
          <w:szCs w:val="24"/>
          <w:highlight w:val="none"/>
          <w14:textFill>
            <w14:solidFill>
              <w14:schemeClr w14:val="tx1"/>
            </w14:solidFill>
          </w14:textFill>
        </w:rPr>
        <w:t>。</w:t>
      </w:r>
    </w:p>
    <w:p w14:paraId="31AE069B">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15" w:name="_Toc15435"/>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4</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14:textFill>
            <w14:solidFill>
              <w14:schemeClr w14:val="tx1"/>
            </w14:solidFill>
          </w14:textFill>
        </w:rPr>
        <w:t>设备品牌</w:t>
      </w:r>
      <w:bookmarkEnd w:id="415"/>
    </w:p>
    <w:p w14:paraId="529AB97A">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下表中的设备，其性能品质不能低于表中推荐品牌</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09"/>
        <w:gridCol w:w="6238"/>
      </w:tblGrid>
      <w:tr w14:paraId="2DF5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17AE714">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序号</w:t>
            </w:r>
          </w:p>
        </w:tc>
        <w:tc>
          <w:tcPr>
            <w:tcW w:w="2009" w:type="dxa"/>
            <w:vAlign w:val="center"/>
          </w:tcPr>
          <w:p w14:paraId="4AA889C9">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名称</w:t>
            </w:r>
          </w:p>
        </w:tc>
        <w:tc>
          <w:tcPr>
            <w:tcW w:w="6238" w:type="dxa"/>
            <w:vAlign w:val="center"/>
          </w:tcPr>
          <w:p w14:paraId="6C4288E2">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推荐品牌</w:t>
            </w:r>
          </w:p>
        </w:tc>
      </w:tr>
      <w:tr w14:paraId="6E8D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E6CE793">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1</w:t>
            </w:r>
          </w:p>
        </w:tc>
        <w:tc>
          <w:tcPr>
            <w:tcW w:w="2009" w:type="dxa"/>
            <w:vAlign w:val="center"/>
          </w:tcPr>
          <w:p w14:paraId="32BC34B3">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光伏组件</w:t>
            </w:r>
          </w:p>
        </w:tc>
        <w:tc>
          <w:tcPr>
            <w:tcW w:w="6238" w:type="dxa"/>
            <w:vAlign w:val="center"/>
          </w:tcPr>
          <w:p w14:paraId="48989C17">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隆基绿能、晶科能源、晶澳能源、天合光能或具备同等质量的品牌</w:t>
            </w:r>
          </w:p>
        </w:tc>
      </w:tr>
      <w:tr w14:paraId="35A0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B9823AE">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2</w:t>
            </w:r>
          </w:p>
        </w:tc>
        <w:tc>
          <w:tcPr>
            <w:tcW w:w="2009" w:type="dxa"/>
            <w:vAlign w:val="center"/>
          </w:tcPr>
          <w:p w14:paraId="40FB3CA8">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逆变器</w:t>
            </w:r>
          </w:p>
        </w:tc>
        <w:tc>
          <w:tcPr>
            <w:tcW w:w="6238" w:type="dxa"/>
            <w:vAlign w:val="center"/>
          </w:tcPr>
          <w:p w14:paraId="57CFA4A1">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华为、阳光电源、上能电气、特变电工或具备同等质量的品牌</w:t>
            </w:r>
          </w:p>
        </w:tc>
      </w:tr>
      <w:tr w14:paraId="7A0C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4" w:type="dxa"/>
            <w:vAlign w:val="center"/>
          </w:tcPr>
          <w:p w14:paraId="562DA572">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3</w:t>
            </w:r>
          </w:p>
        </w:tc>
        <w:tc>
          <w:tcPr>
            <w:tcW w:w="2009" w:type="dxa"/>
            <w:vAlign w:val="center"/>
          </w:tcPr>
          <w:p w14:paraId="0FC9AE22">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高低压柜</w:t>
            </w:r>
          </w:p>
        </w:tc>
        <w:tc>
          <w:tcPr>
            <w:tcW w:w="6238" w:type="dxa"/>
            <w:vAlign w:val="center"/>
          </w:tcPr>
          <w:p w14:paraId="28A80936">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施耐德、ABB、西门子或具备同等质量的品牌</w:t>
            </w:r>
          </w:p>
        </w:tc>
      </w:tr>
    </w:tbl>
    <w:p w14:paraId="3DE70FD5">
      <w:pPr>
        <w:pageBreakBefore w:val="0"/>
        <w:widowControl w:val="0"/>
        <w:kinsoku/>
        <w:wordWrap/>
        <w:overflowPunct/>
        <w:topLinePunct w:val="0"/>
        <w:bidi w:val="0"/>
        <w:spacing w:after="0" w:line="400" w:lineRule="exact"/>
        <w:ind w:left="0" w:leftChars="0" w:firstLine="420" w:firstLineChars="200"/>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14:paraId="3E547485">
      <w:pPr>
        <w:pageBreakBefore w:val="0"/>
        <w:widowControl w:val="0"/>
        <w:kinsoku/>
        <w:wordWrap/>
        <w:overflowPunct/>
        <w:topLinePunct w:val="0"/>
        <w:bidi w:val="0"/>
        <w:spacing w:after="0" w:line="400" w:lineRule="exact"/>
        <w:ind w:left="0" w:leftChars="0" w:firstLine="0" w:firstLineChars="0"/>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14:paraId="3C2A2F30">
      <w:pPr>
        <w:pageBreakBefore w:val="0"/>
        <w:kinsoku/>
        <w:wordWrap/>
        <w:overflowPunct/>
        <w:topLinePunct w:val="0"/>
        <w:bidi w:val="0"/>
        <w:spacing w:after="0" w:line="400" w:lineRule="exact"/>
        <w:ind w:left="0" w:leftChars="0" w:firstLine="0" w:firstLineChars="0"/>
        <w:rPr>
          <w:rFonts w:ascii="Times New Roman" w:hAnsi="Times New Roman" w:cs="Times New Roman"/>
          <w:color w:val="000000" w:themeColor="text1"/>
          <w:sz w:val="21"/>
          <w:szCs w:val="21"/>
          <w:highlight w:val="none"/>
          <w14:textFill>
            <w14:solidFill>
              <w14:schemeClr w14:val="tx1"/>
            </w14:solidFill>
          </w14:textFill>
        </w:rPr>
        <w:sectPr>
          <w:pgSz w:w="11906" w:h="16838"/>
          <w:pgMar w:top="1418" w:right="1418" w:bottom="1418" w:left="1418" w:header="851" w:footer="873" w:gutter="0"/>
          <w:cols w:space="720" w:num="1"/>
          <w:titlePg/>
          <w:docGrid w:linePitch="312" w:charSpace="0"/>
        </w:sectPr>
      </w:pPr>
    </w:p>
    <w:p w14:paraId="02CCD015">
      <w:pPr>
        <w:pageBreakBefore w:val="0"/>
        <w:kinsoku/>
        <w:wordWrap/>
        <w:overflowPunct/>
        <w:topLinePunct w:val="0"/>
        <w:bidi w:val="0"/>
        <w:spacing w:line="400" w:lineRule="exact"/>
        <w:ind w:left="0" w:leftChars="0" w:firstLine="422" w:firstLineChars="200"/>
        <w:jc w:val="center"/>
        <w:outlineLvl w:val="0"/>
        <w:rPr>
          <w:rFonts w:ascii="Times New Roman" w:hAnsi="Times New Roman" w:eastAsia="宋体" w:cs="Times New Roman"/>
          <w:b/>
          <w:color w:val="000000" w:themeColor="text1"/>
          <w:sz w:val="21"/>
          <w:szCs w:val="21"/>
          <w:highlight w:val="none"/>
          <w14:textFill>
            <w14:solidFill>
              <w14:schemeClr w14:val="tx1"/>
            </w14:solidFill>
          </w14:textFill>
        </w:rPr>
      </w:pPr>
      <w:bookmarkStart w:id="416" w:name="_Toc19051"/>
      <w:r>
        <w:rPr>
          <w:rFonts w:hint="default" w:ascii="Times New Roman" w:hAnsi="Times New Roman" w:eastAsia="宋体" w:cs="Times New Roman"/>
          <w:b/>
          <w:color w:val="000000" w:themeColor="text1"/>
          <w:sz w:val="21"/>
          <w:szCs w:val="21"/>
          <w:highlight w:val="none"/>
          <w14:textFill>
            <w14:solidFill>
              <w14:schemeClr w14:val="tx1"/>
            </w14:solidFill>
          </w14:textFill>
        </w:rPr>
        <w:t>第三节 设计范围、要求</w:t>
      </w:r>
      <w:bookmarkEnd w:id="416"/>
    </w:p>
    <w:p w14:paraId="7BA03CD0">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17" w:name="_Toc25016"/>
      <w:r>
        <w:rPr>
          <w:rFonts w:hint="default" w:ascii="Times New Roman" w:hAnsi="Times New Roman" w:eastAsia="宋体" w:cs="Times New Roman"/>
          <w:b/>
          <w:color w:val="000000" w:themeColor="text1"/>
          <w:sz w:val="21"/>
          <w:szCs w:val="21"/>
          <w:highlight w:val="none"/>
          <w14:textFill>
            <w14:solidFill>
              <w14:schemeClr w14:val="tx1"/>
            </w14:solidFill>
          </w14:textFill>
        </w:rPr>
        <w:t>1 设计范围</w:t>
      </w:r>
      <w:bookmarkEnd w:id="417"/>
    </w:p>
    <w:p w14:paraId="274F5F8D">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太阳能光伏电站系统工艺、电气、系统、通信和设备基础、支架结构等专业的施工图设计及竣工后的竣工图编制。</w:t>
      </w:r>
    </w:p>
    <w:p w14:paraId="11BF5825">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以上设计如有遗漏，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应根据技术规范补足遗漏设计。</w:t>
      </w:r>
    </w:p>
    <w:p w14:paraId="3FA9AA52">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（1）现场物探及检测鉴定</w:t>
      </w:r>
    </w:p>
    <w:p w14:paraId="0C2B5F46">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投标人开始施工图设计前，投标人必须开展施工现场摸查及管线探测工作并委托第三方具备资质单位出具物探报告，以合理确定光伏板支架基础位置及埋地电缆位置；且必须委托第三方具备资质单位鉴定污水处理厂现状建构筑物的承载能力并出具建构筑物承载力检测报告，包括但不限于布置光伏支架的建构筑物（支架与建构筑物发生连接关系）；并且在建成后、并网验收前委托第三方具备资质单位对布置光伏支架的建构筑物进行安全（含防水性能）鉴定，并出具建构筑物安全鉴定报告。</w:t>
      </w:r>
    </w:p>
    <w:p w14:paraId="42C59123">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（2）施工图设计</w:t>
      </w:r>
    </w:p>
    <w:p w14:paraId="6CAF6553">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8"/>
          <w:szCs w:val="24"/>
          <w:highlight w:val="none"/>
          <w:lang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应基于污水处理厂竣工图、可利用设置光伏区的区域、物探报告、承载力检测报告等资料，开展本项目分布式光伏电站至并网点的全部工程施工图设计深化、预算编制及竣工图编制工作，包括但不限于光伏组件阵列设计、光伏组件支架及基础（混凝土屋面、彩钢瓦轻钢屋面、光伏车棚、露天水池上方柔性或刚性支架）设计、逆变器选型及布置设计、连接电缆设计、并网接入系统设计、远程红外抄表管理系统设计、视频监控及中控室设计等。最终施工图设计以通过第三方具备资质审图单位审查及招标人审核同意的为准。</w:t>
      </w:r>
    </w:p>
    <w:p w14:paraId="69959BEC">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18" w:name="_Toc438"/>
      <w:r>
        <w:rPr>
          <w:rFonts w:ascii="Times New Roman" w:hAnsi="Times New Roman" w:eastAsia="宋体" w:cs="Times New Roman"/>
          <w:b/>
          <w:color w:val="000000" w:themeColor="text1"/>
          <w:sz w:val="21"/>
          <w:szCs w:val="21"/>
          <w:highlight w:val="none"/>
          <w14:textFill>
            <w14:solidFill>
              <w14:schemeClr w14:val="tx1"/>
            </w14:solidFill>
          </w14:textFill>
        </w:rPr>
        <w:t>2</w:t>
      </w: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设计要求</w:t>
      </w:r>
      <w:bookmarkEnd w:id="418"/>
    </w:p>
    <w:p w14:paraId="35DB97A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本项目设计单位须</w:t>
      </w: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具备承接本项目所需的</w:t>
      </w:r>
      <w:r>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有效期内</w:t>
      </w: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的</w:t>
      </w:r>
      <w:r>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以下其中一种资质：</w:t>
      </w:r>
    </w:p>
    <w:p w14:paraId="2946FC2E">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①</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工程设计综合资质【或更换资质证书前有效期内：工程设计综合甲级资质】；</w:t>
      </w:r>
    </w:p>
    <w:p w14:paraId="721053BD">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②</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工程设计电力行业乙级（或以上）资质【或更换资质证书前有效期内：工程设计电力行业乙级</w:t>
      </w:r>
      <w:r>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（或以上）</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资质】；</w:t>
      </w:r>
    </w:p>
    <w:p w14:paraId="650A8EC4">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③同时具备</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工程设计电力行业（送变电工程）专业乙级（或以上）资质</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和</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工程设计电力行业（新能源发电工程）专业乙级（或以上）资质【或更换资质证书前有效期内：工程设计电力行业（送电工程</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和</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变电工程）专业丙级（或以上）资质</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和</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工程设计电力行业（新能源发电）专业乙级资质】。</w:t>
      </w:r>
    </w:p>
    <w:p w14:paraId="45760750">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）施工图设计需</w:t>
      </w:r>
      <w:r>
        <w:rPr>
          <w:rFonts w:hint="default" w:ascii="Times New Roman" w:hAnsi="Times New Roman" w:eastAsia="宋体" w:cs="Times New Roman"/>
          <w:color w:val="000000" w:themeColor="text1"/>
          <w:sz w:val="21"/>
          <w:szCs w:val="21"/>
          <w:highlight w:val="none"/>
          <w14:textFill>
            <w14:solidFill>
              <w14:schemeClr w14:val="tx1"/>
            </w14:solidFill>
          </w14:textFill>
        </w:rPr>
        <w:t>根据</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建构筑物</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承载力检测报告</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进行</w:t>
      </w:r>
      <w:r>
        <w:rPr>
          <w:rFonts w:hint="default" w:ascii="Times New Roman" w:hAnsi="Times New Roman" w:eastAsia="宋体" w:cs="Times New Roman"/>
          <w:color w:val="000000" w:themeColor="text1"/>
          <w:sz w:val="21"/>
          <w:szCs w:val="21"/>
          <w:highlight w:val="none"/>
          <w14:textFill>
            <w14:solidFill>
              <w14:schemeClr w14:val="tx1"/>
            </w14:solidFill>
          </w14:textFill>
        </w:rPr>
        <w:t>深化，并在过程中进一步配合</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征求污水处理厂运维单位的意见</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进行深化、优化，</w:t>
      </w:r>
      <w:r>
        <w:rPr>
          <w:rFonts w:hint="default" w:ascii="Times New Roman" w:hAnsi="Times New Roman" w:eastAsia="宋体" w:cs="Times New Roman"/>
          <w:color w:val="000000" w:themeColor="text1"/>
          <w:szCs w:val="21"/>
          <w:highlight w:val="none"/>
          <w14:textFill>
            <w14:solidFill>
              <w14:schemeClr w14:val="tx1"/>
            </w14:solidFill>
          </w14:textFill>
        </w:rPr>
        <w:t>对光伏发电进行优化设计，在满足功能的情况下，提高项目经济性，确保项目收益满足</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Cs w:val="21"/>
          <w:highlight w:val="none"/>
          <w14:textFill>
            <w14:solidFill>
              <w14:schemeClr w14:val="tx1"/>
            </w14:solidFill>
          </w14:textFill>
        </w:rPr>
        <w:t>要求</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w:t>
      </w:r>
    </w:p>
    <w:p w14:paraId="11D06190">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）东城、虎门污水处理厂的电网系统</w:t>
      </w:r>
      <w:r>
        <w:rPr>
          <w:rFonts w:ascii="Times New Roman" w:hAnsi="Times New Roman" w:eastAsia="宋体" w:cs="Times New Roman"/>
          <w:color w:val="000000" w:themeColor="text1"/>
          <w:sz w:val="21"/>
          <w:szCs w:val="21"/>
          <w:highlight w:val="none"/>
          <w:lang w:bidi="en-US"/>
          <w14:textFill>
            <w14:solidFill>
              <w14:schemeClr w14:val="tx1"/>
            </w14:solidFill>
          </w14:textFill>
        </w:rPr>
        <w:t>最终接入电压等级以南方电网批复系统接入报告</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为准</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w:t>
      </w:r>
    </w:p>
    <w:p w14:paraId="0EB340AB">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）施工图设计需对</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建（构）筑物</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屋面光伏支架、池面支架基础及钢结构进一步验算复核，并提供相关验算计算书</w:t>
      </w:r>
      <w:r>
        <w:rPr>
          <w:rFonts w:ascii="Times New Roman" w:hAnsi="Times New Roman" w:eastAsia="宋体" w:cs="Times New Roman"/>
          <w:color w:val="000000" w:themeColor="text1"/>
          <w:sz w:val="21"/>
          <w:szCs w:val="21"/>
          <w:highlight w:val="none"/>
          <w:lang w:bidi="en-US"/>
          <w14:textFill>
            <w14:solidFill>
              <w14:schemeClr w14:val="tx1"/>
            </w14:solidFill>
          </w14:textFill>
        </w:rPr>
        <w:t>；</w:t>
      </w:r>
    </w:p>
    <w:p w14:paraId="11B13976">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lang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5</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）进一步量化</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光伏</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支架基础桩基位置及周边受影响管线保护或迁改方案。</w:t>
      </w:r>
    </w:p>
    <w:p w14:paraId="012F7EC7">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19" w:name="_Toc12090"/>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设计确认</w:t>
      </w:r>
      <w:bookmarkEnd w:id="419"/>
    </w:p>
    <w:p w14:paraId="282D6E5B">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Cs w:val="24"/>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所有的设计、关键图纸资料及相关变更等都需经过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确认，最终施工图</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设计</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以</w:t>
      </w:r>
      <w:r>
        <w:rPr>
          <w:rFonts w:hint="default" w:ascii="Times New Roman" w:hAnsi="Times New Roman" w:eastAsia="宋体" w:cs="Times New Roman"/>
          <w:color w:val="000000" w:themeColor="text1"/>
          <w:sz w:val="21"/>
          <w:szCs w:val="21"/>
          <w:highlight w:val="none"/>
          <w14:textFill>
            <w14:solidFill>
              <w14:schemeClr w14:val="tx1"/>
            </w14:solidFill>
          </w14:textFill>
        </w:rPr>
        <w:t>通过第三方</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具备资质审图单位审查</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以及招标人审核同意的</w:t>
      </w:r>
      <w:r>
        <w:rPr>
          <w:rFonts w:hint="default" w:ascii="Times New Roman" w:hAnsi="Times New Roman" w:eastAsia="宋体" w:cs="Times New Roman"/>
          <w:color w:val="000000" w:themeColor="text1"/>
          <w:sz w:val="21"/>
          <w:szCs w:val="21"/>
          <w:highlight w:val="none"/>
          <w14:textFill>
            <w14:solidFill>
              <w14:schemeClr w14:val="tx1"/>
            </w14:solidFill>
          </w14:textFill>
        </w:rPr>
        <w:t>为准。</w:t>
      </w:r>
    </w:p>
    <w:p w14:paraId="5B2CFE39">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20" w:name="_Toc166"/>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4</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设计文件的交付</w:t>
      </w:r>
      <w:bookmarkEnd w:id="420"/>
    </w:p>
    <w:p w14:paraId="2C31EA30">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投标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人</w:t>
      </w:r>
      <w:r>
        <w:rPr>
          <w:rFonts w:ascii="Times New Roman" w:hAnsi="Times New Roman" w:eastAsia="宋体" w:cs="Times New Roman"/>
          <w:color w:val="000000" w:themeColor="text1"/>
          <w:sz w:val="21"/>
          <w:szCs w:val="21"/>
          <w:highlight w:val="none"/>
          <w14:textFill>
            <w14:solidFill>
              <w14:schemeClr w14:val="tx1"/>
            </w14:solidFill>
          </w14:textFill>
        </w:rPr>
        <w:t>安排施工图设计应保证</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建设</w:t>
      </w:r>
      <w:r>
        <w:rPr>
          <w:rFonts w:ascii="Times New Roman" w:hAnsi="Times New Roman" w:eastAsia="宋体" w:cs="Times New Roman"/>
          <w:color w:val="000000" w:themeColor="text1"/>
          <w:sz w:val="21"/>
          <w:szCs w:val="21"/>
          <w:highlight w:val="none"/>
          <w14:textFill>
            <w14:solidFill>
              <w14:schemeClr w14:val="tx1"/>
            </w14:solidFill>
          </w14:textFill>
        </w:rPr>
        <w:t>工期需要。并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向</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ascii="Times New Roman" w:hAnsi="Times New Roman" w:eastAsia="宋体" w:cs="Times New Roman"/>
          <w:color w:val="000000" w:themeColor="text1"/>
          <w:sz w:val="21"/>
          <w:szCs w:val="21"/>
          <w:highlight w:val="none"/>
          <w14:textFill>
            <w14:solidFill>
              <w14:schemeClr w14:val="tx1"/>
            </w14:solidFill>
          </w14:textFill>
        </w:rPr>
        <w:t>提供施工图</w:t>
      </w:r>
      <w:r>
        <w:rPr>
          <w:rFonts w:hint="default" w:ascii="Times New Roman" w:hAnsi="Times New Roman" w:eastAsia="宋体" w:cs="Times New Roman"/>
          <w:color w:val="000000" w:themeColor="text1"/>
          <w:sz w:val="21"/>
          <w:szCs w:val="21"/>
          <w:highlight w:val="none"/>
          <w14:textFill>
            <w14:solidFill>
              <w14:schemeClr w14:val="tx1"/>
            </w14:solidFill>
          </w14:textFill>
        </w:rPr>
        <w:t>6</w:t>
      </w:r>
      <w:r>
        <w:rPr>
          <w:rFonts w:ascii="Times New Roman" w:hAnsi="Times New Roman" w:eastAsia="宋体" w:cs="Times New Roman"/>
          <w:color w:val="000000" w:themeColor="text1"/>
          <w:sz w:val="21"/>
          <w:szCs w:val="21"/>
          <w:highlight w:val="none"/>
          <w14:textFill>
            <w14:solidFill>
              <w14:schemeClr w14:val="tx1"/>
            </w14:solidFill>
          </w14:textFill>
        </w:rPr>
        <w:t>套、设备图纸及资料</w:t>
      </w:r>
      <w:r>
        <w:rPr>
          <w:rFonts w:hint="default" w:ascii="Times New Roman" w:hAnsi="Times New Roman" w:eastAsia="宋体" w:cs="Times New Roman"/>
          <w:color w:val="000000" w:themeColor="text1"/>
          <w:sz w:val="21"/>
          <w:szCs w:val="21"/>
          <w:highlight w:val="none"/>
          <w14:textFill>
            <w14:solidFill>
              <w14:schemeClr w14:val="tx1"/>
            </w14:solidFill>
          </w14:textFill>
        </w:rPr>
        <w:t>6</w:t>
      </w:r>
      <w:r>
        <w:rPr>
          <w:rFonts w:ascii="Times New Roman" w:hAnsi="Times New Roman" w:eastAsia="宋体" w:cs="Times New Roman"/>
          <w:color w:val="000000" w:themeColor="text1"/>
          <w:sz w:val="21"/>
          <w:szCs w:val="21"/>
          <w:highlight w:val="none"/>
          <w14:textFill>
            <w14:solidFill>
              <w14:schemeClr w14:val="tx1"/>
            </w14:solidFill>
          </w14:textFill>
        </w:rPr>
        <w:t>套，图纸及设备资料另需提供电子版（U盘）</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ascii="Times New Roman" w:hAnsi="Times New Roman" w:eastAsia="宋体" w:cs="Times New Roman"/>
          <w:color w:val="000000" w:themeColor="text1"/>
          <w:sz w:val="21"/>
          <w:szCs w:val="21"/>
          <w:highlight w:val="none"/>
          <w14:textFill>
            <w14:solidFill>
              <w14:schemeClr w14:val="tx1"/>
            </w14:solidFill>
          </w14:textFill>
        </w:rPr>
        <w:t>套。</w:t>
      </w:r>
    </w:p>
    <w:p w14:paraId="5FD0D894">
      <w:pPr>
        <w:pageBreakBefore w:val="0"/>
        <w:kinsoku/>
        <w:wordWrap/>
        <w:overflowPunct/>
        <w:topLinePunct w:val="0"/>
        <w:bidi w:val="0"/>
        <w:spacing w:line="400" w:lineRule="exact"/>
        <w:ind w:left="0" w:leftChars="0" w:firstLine="420" w:firstLineChars="200"/>
        <w:rPr>
          <w:color w:val="000000" w:themeColor="text1"/>
          <w:highlight w:val="none"/>
          <w14:textFill>
            <w14:solidFill>
              <w14:schemeClr w14:val="tx1"/>
            </w14:solidFill>
          </w14:textFill>
        </w:rPr>
        <w:sectPr>
          <w:pgSz w:w="11906" w:h="16838"/>
          <w:pgMar w:top="1418" w:right="1418" w:bottom="1418" w:left="1418" w:header="851" w:footer="873" w:gutter="0"/>
          <w:cols w:space="720" w:num="1"/>
          <w:docGrid w:linePitch="312" w:charSpace="0"/>
        </w:sectPr>
      </w:pPr>
    </w:p>
    <w:p w14:paraId="69CF1D60">
      <w:pPr>
        <w:pageBreakBefore w:val="0"/>
        <w:kinsoku/>
        <w:wordWrap/>
        <w:overflowPunct/>
        <w:topLinePunct w:val="0"/>
        <w:bidi w:val="0"/>
        <w:spacing w:line="400" w:lineRule="exact"/>
        <w:ind w:left="0" w:leftChars="0" w:firstLine="422" w:firstLineChars="200"/>
        <w:jc w:val="center"/>
        <w:outlineLvl w:val="0"/>
        <w:rPr>
          <w:rFonts w:ascii="Times New Roman" w:hAnsi="Times New Roman" w:eastAsia="宋体" w:cs="Times New Roman"/>
          <w:b/>
          <w:color w:val="000000" w:themeColor="text1"/>
          <w:sz w:val="21"/>
          <w:szCs w:val="21"/>
          <w:highlight w:val="none"/>
          <w14:textFill>
            <w14:solidFill>
              <w14:schemeClr w14:val="tx1"/>
            </w14:solidFill>
          </w14:textFill>
        </w:rPr>
      </w:pPr>
      <w:bookmarkStart w:id="421" w:name="_Toc14125"/>
      <w:r>
        <w:rPr>
          <w:rFonts w:hint="default" w:ascii="Times New Roman" w:hAnsi="Times New Roman" w:eastAsia="宋体" w:cs="Times New Roman"/>
          <w:b/>
          <w:color w:val="000000" w:themeColor="text1"/>
          <w:sz w:val="21"/>
          <w:szCs w:val="21"/>
          <w:highlight w:val="none"/>
          <w14:textFill>
            <w14:solidFill>
              <w14:schemeClr w14:val="tx1"/>
            </w14:solidFill>
          </w14:textFill>
        </w:rPr>
        <w:t>第四节 设备</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供货</w:t>
      </w:r>
      <w:r>
        <w:rPr>
          <w:rFonts w:hint="default" w:ascii="Times New Roman" w:hAnsi="Times New Roman" w:eastAsia="宋体" w:cs="Times New Roman"/>
          <w:b/>
          <w:color w:val="000000" w:themeColor="text1"/>
          <w:sz w:val="21"/>
          <w:szCs w:val="21"/>
          <w:highlight w:val="none"/>
          <w14:textFill>
            <w14:solidFill>
              <w14:schemeClr w14:val="tx1"/>
            </w14:solidFill>
          </w14:textFill>
        </w:rPr>
        <w:t>要求</w:t>
      </w:r>
      <w:bookmarkEnd w:id="421"/>
    </w:p>
    <w:p w14:paraId="0A04A99A">
      <w:pPr>
        <w:pageBreakBefore w:val="0"/>
        <w:kinsoku/>
        <w:wordWrap/>
        <w:overflowPunct/>
        <w:topLinePunct w:val="0"/>
        <w:bidi w:val="0"/>
        <w:spacing w:line="400" w:lineRule="exact"/>
        <w:ind w:left="0" w:leftChars="0" w:firstLine="420" w:firstLineChars="200"/>
        <w:outlineLvl w:val="9"/>
        <w:rPr>
          <w:rFonts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次采购项目发电并网</w:t>
      </w:r>
      <w:r>
        <w:rPr>
          <w:rFonts w:hint="default" w:ascii="Times New Roman" w:hAnsi="Times New Roman" w:eastAsia="宋体" w:cs="Times New Roman"/>
          <w:color w:val="000000" w:themeColor="text1"/>
          <w:sz w:val="21"/>
          <w:szCs w:val="21"/>
          <w:highlight w:val="none"/>
          <w14:textFill>
            <w14:solidFill>
              <w14:schemeClr w14:val="tx1"/>
            </w14:solidFill>
          </w14:textFill>
        </w:rPr>
        <w:t>所需的全部设备及材料的采购、供应、装卸、保管、运输、倒运</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到场检验、到货验收</w:t>
      </w:r>
      <w:r>
        <w:rPr>
          <w:rFonts w:hint="default" w:ascii="Times New Roman" w:hAnsi="Times New Roman" w:eastAsia="宋体" w:cs="Times New Roman"/>
          <w:color w:val="000000" w:themeColor="text1"/>
          <w:sz w:val="21"/>
          <w:szCs w:val="21"/>
          <w:highlight w:val="none"/>
          <w:lang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功能试验等均由投标人负责。</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合格的货物及相应服务满足以下要求：</w:t>
      </w:r>
    </w:p>
    <w:p w14:paraId="6E1F38CB">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）中标人对</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供应商</w:t>
      </w:r>
      <w:r>
        <w:rPr>
          <w:rFonts w:hint="default" w:ascii="Times New Roman" w:hAnsi="Times New Roman" w:eastAsia="宋体" w:cs="Times New Roman"/>
          <w:color w:val="000000" w:themeColor="text1"/>
          <w:sz w:val="21"/>
          <w:szCs w:val="21"/>
          <w:highlight w:val="none"/>
          <w14:textFill>
            <w14:solidFill>
              <w14:schemeClr w14:val="tx1"/>
            </w14:solidFill>
          </w14:textFill>
        </w:rPr>
        <w:t>的选择。中标人按投标文件列明的产品品牌及规格型号，如在设计中需要变更的，则所需更换的品牌或规格不得低于招标文件及投标文件要求，</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且需取得</w:t>
      </w:r>
      <w:r>
        <w:rPr>
          <w:rFonts w:hint="default" w:ascii="Times New Roman" w:hAnsi="Times New Roman" w:eastAsia="宋体" w:cs="Times New Roman"/>
          <w:color w:val="000000" w:themeColor="text1"/>
          <w:sz w:val="21"/>
          <w:szCs w:val="21"/>
          <w:highlight w:val="none"/>
          <w14:textFill>
            <w14:solidFill>
              <w14:schemeClr w14:val="tx1"/>
            </w14:solidFill>
          </w14:textFill>
        </w:rPr>
        <w:t>招标人书面同意</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文件后才能更换</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31BF044B">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）必须是全新、未使用过的原装合格正品（包括零部件），如安装或配置了软件的，须为正版软件。</w:t>
      </w:r>
    </w:p>
    <w:p w14:paraId="17BB1387">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）国产的货物及其有关服务必须符合中华人民共和国的设计、制造生产标准及行业标准。</w:t>
      </w:r>
    </w:p>
    <w:p w14:paraId="38EF5800">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）进口货物及其有关服务必须符合原产地和中华人民共和国的设计、制造生产标准及行业标准。进口的货物必须具有合法的进口手续和途径，并通过中华人民共和国商检部门检验。</w:t>
      </w:r>
    </w:p>
    <w:p w14:paraId="1C5EB3ED">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标人应保证，其所提供的货物通过合法正规渠道供货，</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确保</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具有完全的所有权，在使用该货物或货物的任何一部分时，不会产生因第三方提出的包括但不限于侵犯其专利权、商标权、工业设计权等知识产权和侵犯其所有权、抵押权等物权及其他权利而引发的纠纷。如有纠纷，</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标人应承担全部责任。</w:t>
      </w:r>
    </w:p>
    <w:p w14:paraId="2B36E309">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标人应保证，其所提供的货物符合国家强制性标准要求；符合相关行业标准（如具备行政主管部门颁发的资质证书或国家质量监督部门的产品《检验报告》等）。设备到货验收时，还必须提供设备的产品合格证、质量保证文件。</w:t>
      </w:r>
    </w:p>
    <w:p w14:paraId="70E2C411">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中标人负责提供的设备、材料和部件在运抵现场前5 天</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书面形式</w:t>
      </w:r>
      <w:r>
        <w:rPr>
          <w:rFonts w:hint="default" w:ascii="Times New Roman" w:hAnsi="Times New Roman" w:eastAsia="宋体" w:cs="Times New Roman"/>
          <w:color w:val="000000" w:themeColor="text1"/>
          <w:sz w:val="21"/>
          <w:szCs w:val="21"/>
          <w:highlight w:val="none"/>
          <w14:textFill>
            <w14:solidFill>
              <w14:schemeClr w14:val="tx1"/>
            </w14:solidFill>
          </w14:textFill>
        </w:rPr>
        <w:t>通知招标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人。</w:t>
      </w:r>
    </w:p>
    <w:p w14:paraId="6F11D904">
      <w:pPr>
        <w:pageBreakBefore w:val="0"/>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中标人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应</w:t>
      </w:r>
      <w:r>
        <w:rPr>
          <w:rFonts w:hint="default" w:ascii="Times New Roman" w:hAnsi="Times New Roman" w:eastAsia="宋体" w:cs="Times New Roman"/>
          <w:color w:val="000000" w:themeColor="text1"/>
          <w:sz w:val="21"/>
          <w:szCs w:val="21"/>
          <w:highlight w:val="none"/>
          <w14:textFill>
            <w14:solidFill>
              <w14:schemeClr w14:val="tx1"/>
            </w14:solidFill>
          </w14:textFill>
        </w:rPr>
        <w:t>随时接受质量监督部门、消防部门、环保部门、行业等专业检查人员对施工现场检</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查以及相关协调、整改工作等。</w:t>
      </w:r>
    </w:p>
    <w:p w14:paraId="38EDBD22">
      <w:pPr>
        <w:pageBreakBefore w:val="0"/>
        <w:kinsoku/>
        <w:wordWrap/>
        <w:overflowPunct/>
        <w:topLinePunct w:val="0"/>
        <w:bidi w:val="0"/>
        <w:spacing w:line="400" w:lineRule="exact"/>
        <w:ind w:left="0" w:leftChars="0" w:firstLine="420" w:firstLineChars="200"/>
        <w:outlineLvl w:val="9"/>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t>中标人负责工程超限物资（超重、超长、超宽、超高）的运输，超限运输和特殊措施等全部费用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已</w:t>
      </w:r>
      <w:r>
        <w:rPr>
          <w:rFonts w:hint="default" w:ascii="Times New Roman" w:hAnsi="Times New Roman" w:eastAsia="宋体" w:cs="Times New Roman"/>
          <w:color w:val="000000" w:themeColor="text1"/>
          <w:sz w:val="21"/>
          <w:szCs w:val="21"/>
          <w:highlight w:val="none"/>
          <w14:textFill>
            <w14:solidFill>
              <w14:schemeClr w14:val="tx1"/>
            </w14:solidFill>
          </w14:textFill>
        </w:rPr>
        <w:t>包含在</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项目投资</w:t>
      </w:r>
      <w:r>
        <w:rPr>
          <w:rFonts w:hint="default" w:ascii="Times New Roman" w:hAnsi="Times New Roman" w:eastAsia="宋体" w:cs="Times New Roman"/>
          <w:color w:val="000000" w:themeColor="text1"/>
          <w:sz w:val="21"/>
          <w:szCs w:val="21"/>
          <w:highlight w:val="none"/>
          <w14:textFill>
            <w14:solidFill>
              <w14:schemeClr w14:val="tx1"/>
            </w14:solidFill>
          </w14:textFill>
        </w:rPr>
        <w:t>内。因超限物资运输造成</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而增加的一切</w:t>
      </w:r>
      <w:r>
        <w:rPr>
          <w:rFonts w:hint="default" w:ascii="Times New Roman" w:hAnsi="Times New Roman" w:eastAsia="宋体" w:cs="Times New Roman"/>
          <w:color w:val="000000" w:themeColor="text1"/>
          <w:sz w:val="21"/>
          <w:szCs w:val="21"/>
          <w:highlight w:val="none"/>
          <w14:textFill>
            <w14:solidFill>
              <w14:schemeClr w14:val="tx1"/>
            </w14:solidFill>
          </w14:textFill>
        </w:rPr>
        <w:t>费用由中标人承担。</w:t>
      </w:r>
    </w:p>
    <w:p w14:paraId="3B4AA978">
      <w:pPr>
        <w:pageBreakBefore w:val="0"/>
        <w:kinsoku/>
        <w:wordWrap/>
        <w:overflowPunct/>
        <w:topLinePunct w:val="0"/>
        <w:bidi w:val="0"/>
        <w:spacing w:line="400" w:lineRule="exact"/>
        <w:ind w:left="0" w:leftChars="0" w:firstLine="420" w:firstLineChars="200"/>
        <w:outlineLvl w:val="9"/>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t>中标人负责提供的工程设备、材料和部件存在缺陷时，经中标人修复仍不合格的，由中标人负责重新订货并</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负责运输（含装卸）至</w:t>
      </w:r>
      <w:r>
        <w:rPr>
          <w:rFonts w:hint="default" w:ascii="Times New Roman" w:hAnsi="Times New Roman" w:eastAsia="宋体" w:cs="Times New Roman"/>
          <w:color w:val="000000" w:themeColor="text1"/>
          <w:sz w:val="21"/>
          <w:szCs w:val="21"/>
          <w:highlight w:val="none"/>
          <w14:textFill>
            <w14:solidFill>
              <w14:schemeClr w14:val="tx1"/>
            </w14:solidFill>
          </w14:textFill>
        </w:rPr>
        <w:t>现场。因此造成</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而增加的一切</w:t>
      </w:r>
      <w:r>
        <w:rPr>
          <w:rFonts w:hint="default" w:ascii="Times New Roman" w:hAnsi="Times New Roman" w:eastAsia="宋体" w:cs="Times New Roman"/>
          <w:color w:val="000000" w:themeColor="text1"/>
          <w:sz w:val="21"/>
          <w:szCs w:val="21"/>
          <w:highlight w:val="none"/>
          <w14:textFill>
            <w14:solidFill>
              <w14:schemeClr w14:val="tx1"/>
            </w14:solidFill>
          </w14:textFill>
        </w:rPr>
        <w:t>费用由中标人负责。造成工期延误，中标人应</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制定</w:t>
      </w:r>
      <w:r>
        <w:rPr>
          <w:rFonts w:hint="default" w:ascii="Times New Roman" w:hAnsi="Times New Roman" w:eastAsia="宋体" w:cs="Times New Roman"/>
          <w:color w:val="000000" w:themeColor="text1"/>
          <w:sz w:val="21"/>
          <w:szCs w:val="21"/>
          <w:highlight w:val="none"/>
          <w14:textFill>
            <w14:solidFill>
              <w14:schemeClr w14:val="tx1"/>
            </w14:solidFill>
          </w14:textFill>
        </w:rPr>
        <w:t>赶工措施并承担费用。</w:t>
      </w:r>
    </w:p>
    <w:p w14:paraId="5A3A3783">
      <w:pPr>
        <w:pageBreakBefore w:val="0"/>
        <w:kinsoku/>
        <w:wordWrap/>
        <w:overflowPunct/>
        <w:topLinePunct w:val="0"/>
        <w:bidi w:val="0"/>
        <w:spacing w:line="400" w:lineRule="exact"/>
        <w:ind w:left="0" w:leftChars="0" w:firstLine="420" w:firstLineChars="200"/>
        <w:rPr>
          <w:rFonts w:hint="default" w:ascii="Times New Roman" w:hAnsi="Times New Roman" w:cs="Times New Roman"/>
          <w:color w:val="000000" w:themeColor="text1"/>
          <w:szCs w:val="21"/>
          <w:highlight w:val="none"/>
          <w14:textFill>
            <w14:solidFill>
              <w14:schemeClr w14:val="tx1"/>
            </w14:solidFill>
          </w14:textFill>
        </w:rPr>
        <w:sectPr>
          <w:pgSz w:w="11906" w:h="16838"/>
          <w:pgMar w:top="1418" w:right="1418" w:bottom="1418" w:left="1418" w:header="851" w:footer="859" w:gutter="0"/>
          <w:cols w:space="720" w:num="1"/>
          <w:docGrid w:linePitch="312" w:charSpace="0"/>
        </w:sectPr>
      </w:pPr>
    </w:p>
    <w:p w14:paraId="59EF7939">
      <w:pPr>
        <w:pageBreakBefore w:val="0"/>
        <w:kinsoku/>
        <w:wordWrap/>
        <w:overflowPunct/>
        <w:topLinePunct w:val="0"/>
        <w:bidi w:val="0"/>
        <w:spacing w:line="400" w:lineRule="exact"/>
        <w:ind w:left="0" w:leftChars="0" w:firstLine="422" w:firstLineChars="200"/>
        <w:jc w:val="center"/>
        <w:outlineLvl w:val="0"/>
        <w:rPr>
          <w:rFonts w:ascii="Times New Roman" w:hAnsi="Times New Roman" w:eastAsia="宋体" w:cs="Times New Roman"/>
          <w:b/>
          <w:color w:val="000000" w:themeColor="text1"/>
          <w:sz w:val="21"/>
          <w:szCs w:val="21"/>
          <w:highlight w:val="none"/>
          <w14:textFill>
            <w14:solidFill>
              <w14:schemeClr w14:val="tx1"/>
            </w14:solidFill>
          </w14:textFill>
        </w:rPr>
      </w:pPr>
      <w:bookmarkStart w:id="422" w:name="_Toc10529"/>
      <w:r>
        <w:rPr>
          <w:rFonts w:hint="default" w:ascii="Times New Roman" w:hAnsi="Times New Roman" w:eastAsia="宋体" w:cs="Times New Roman"/>
          <w:b/>
          <w:color w:val="000000" w:themeColor="text1"/>
          <w:sz w:val="21"/>
          <w:szCs w:val="21"/>
          <w:highlight w:val="none"/>
          <w14:textFill>
            <w14:solidFill>
              <w14:schemeClr w14:val="tx1"/>
            </w14:solidFill>
          </w14:textFill>
        </w:rPr>
        <w:t>第五节 施工</w:t>
      </w:r>
      <w:r>
        <w:rPr>
          <w:rFonts w:ascii="Times New Roman" w:hAnsi="Times New Roman" w:eastAsia="宋体" w:cs="Times New Roman"/>
          <w:b/>
          <w:color w:val="000000" w:themeColor="text1"/>
          <w:sz w:val="21"/>
          <w:szCs w:val="21"/>
          <w:highlight w:val="none"/>
          <w14:textFill>
            <w14:solidFill>
              <w14:schemeClr w14:val="tx1"/>
            </w14:solidFill>
          </w14:textFill>
        </w:rPr>
        <w:t>要求</w:t>
      </w:r>
      <w:bookmarkEnd w:id="422"/>
    </w:p>
    <w:p w14:paraId="074DF022">
      <w:pPr>
        <w:pageBreakBefore w:val="0"/>
        <w:kinsoku/>
        <w:wordWrap/>
        <w:overflowPunct/>
        <w:topLinePunct w:val="0"/>
        <w:bidi w:val="0"/>
        <w:spacing w:line="400" w:lineRule="exact"/>
        <w:ind w:left="0" w:leftChars="0" w:firstLine="422" w:firstLineChars="200"/>
        <w:outlineLvl w:val="1"/>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pPr>
      <w:bookmarkStart w:id="423" w:name="_Toc4313"/>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1 资质要求</w:t>
      </w:r>
      <w:bookmarkEnd w:id="423"/>
    </w:p>
    <w:p w14:paraId="14F8A7D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本项目施工单位须</w:t>
      </w: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具备承接本项目所需的以下资质</w:t>
      </w:r>
      <w:r>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w:t>
      </w:r>
    </w:p>
    <w:p w14:paraId="76BB58BE">
      <w:pPr>
        <w:keepNext w:val="0"/>
        <w:keepLines w:val="0"/>
        <w:pageBreakBefore w:val="0"/>
        <w:widowControl/>
        <w:suppressLineNumbers w:val="0"/>
        <w:kinsoku/>
        <w:wordWrap/>
        <w:overflowPunct/>
        <w:topLinePunct w:val="0"/>
        <w:bidi w:val="0"/>
        <w:spacing w:line="400" w:lineRule="exact"/>
        <w:ind w:left="0" w:leftChars="0" w:firstLine="420" w:firstLineChars="200"/>
        <w:jc w:val="left"/>
        <w:rPr>
          <w:rFonts w:hint="default" w:ascii="Times New Roman" w:hAnsi="Times New Roman" w:eastAsia="宋体" w:cs="Times New Roman"/>
          <w:b w:val="0"/>
          <w:bCs w:val="0"/>
          <w:color w:val="000000" w:themeColor="text1"/>
          <w:szCs w:val="21"/>
          <w:highlight w:val="none"/>
          <w:lang w:bidi="en-US"/>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①具有有效期</w:t>
      </w:r>
      <w:r>
        <w:rPr>
          <w:rFonts w:hint="eastAsia"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内的</w:t>
      </w:r>
      <w:r>
        <w:rPr>
          <w:rFonts w:hint="default"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电力工程施工总承包</w:t>
      </w:r>
      <w:r>
        <w:rPr>
          <w:rFonts w:hint="default" w:ascii="Times New Roman" w:hAnsi="Times New Roman" w:eastAsia="宋体" w:cs="Times New Roman"/>
          <w:b w:val="0"/>
          <w:bCs w:val="0"/>
          <w:color w:val="000000" w:themeColor="text1"/>
          <w:sz w:val="21"/>
          <w:szCs w:val="21"/>
          <w:highlight w:val="none"/>
          <w:lang w:val="en-US" w:bidi="en-US"/>
          <w14:textFill>
            <w14:solidFill>
              <w14:schemeClr w14:val="tx1"/>
            </w14:solidFill>
          </w14:textFill>
        </w:rPr>
        <w:t>乙</w:t>
      </w:r>
      <w:r>
        <w:rPr>
          <w:rFonts w:hint="default" w:ascii="Times New Roman" w:hAnsi="Times New Roman" w:eastAsia="宋体" w:cs="Times New Roman"/>
          <w:b w:val="0"/>
          <w:bCs w:val="0"/>
          <w:color w:val="000000" w:themeColor="text1"/>
          <w:sz w:val="21"/>
          <w:szCs w:val="21"/>
          <w:highlight w:val="none"/>
          <w:lang w:bidi="en-US"/>
          <w14:textFill>
            <w14:solidFill>
              <w14:schemeClr w14:val="tx1"/>
            </w14:solidFill>
          </w14:textFill>
        </w:rPr>
        <w:t>级</w:t>
      </w:r>
      <w:r>
        <w:rPr>
          <w:rFonts w:hint="eastAsia"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（或以上）</w:t>
      </w:r>
      <w:r>
        <w:rPr>
          <w:rFonts w:hint="default"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资质【或更换资质证书前有效期内：电力工程施工总承包三级</w:t>
      </w:r>
      <w:r>
        <w:rPr>
          <w:rFonts w:hint="eastAsia"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或以上</w:t>
      </w:r>
      <w:r>
        <w:rPr>
          <w:rFonts w:hint="eastAsia"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资质】</w:t>
      </w:r>
      <w:r>
        <w:rPr>
          <w:rFonts w:hint="eastAsia"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或</w:t>
      </w:r>
      <w:r>
        <w:rPr>
          <w:rFonts w:hint="eastAsia" w:hAnsi="宋体" w:eastAsia="宋体"/>
          <w:b w:val="0"/>
          <w:bCs w:val="0"/>
          <w:color w:val="000000" w:themeColor="text1"/>
          <w:sz w:val="21"/>
          <w:szCs w:val="21"/>
          <w:highlight w:val="none"/>
          <w:lang w:val="zh-CN"/>
          <w14:textFill>
            <w14:solidFill>
              <w14:schemeClr w14:val="tx1"/>
            </w14:solidFill>
          </w14:textFill>
        </w:rPr>
        <w:t>输变电工程专业承包</w:t>
      </w:r>
      <w:r>
        <w:rPr>
          <w:rFonts w:hint="eastAsia" w:hAnsi="宋体" w:eastAsia="宋体"/>
          <w:b w:val="0"/>
          <w:bCs w:val="0"/>
          <w:color w:val="000000" w:themeColor="text1"/>
          <w:sz w:val="21"/>
          <w:szCs w:val="21"/>
          <w:highlight w:val="none"/>
          <w:lang w:val="en-US" w:eastAsia="zh-CN"/>
          <w14:textFill>
            <w14:solidFill>
              <w14:schemeClr w14:val="tx1"/>
            </w14:solidFill>
          </w14:textFill>
        </w:rPr>
        <w:t>乙级</w:t>
      </w:r>
      <w:r>
        <w:rPr>
          <w:rFonts w:hint="eastAsia" w:hAnsi="宋体" w:eastAsia="宋体"/>
          <w:b w:val="0"/>
          <w:bCs w:val="0"/>
          <w:color w:val="000000" w:themeColor="text1"/>
          <w:sz w:val="21"/>
          <w:szCs w:val="21"/>
          <w:highlight w:val="none"/>
          <w:lang w:val="zh-CN"/>
          <w14:textFill>
            <w14:solidFill>
              <w14:schemeClr w14:val="tx1"/>
            </w14:solidFill>
          </w14:textFill>
        </w:rPr>
        <w:t>（或以上）资质【</w:t>
      </w:r>
      <w:r>
        <w:rPr>
          <w:rFonts w:hint="eastAsia" w:hAnsi="宋体" w:eastAsia="宋体"/>
          <w:b w:val="0"/>
          <w:bCs w:val="0"/>
          <w:color w:val="000000" w:themeColor="text1"/>
          <w:sz w:val="21"/>
          <w:szCs w:val="21"/>
          <w:highlight w:val="none"/>
          <w:lang w:val="en-US" w:eastAsia="zh-CN"/>
          <w14:textFill>
            <w14:solidFill>
              <w14:schemeClr w14:val="tx1"/>
            </w14:solidFill>
          </w14:textFill>
        </w:rPr>
        <w:t>或更换资质证书前有效期内：</w:t>
      </w:r>
      <w:bookmarkStart w:id="424" w:name="OLE_LINK129"/>
      <w:r>
        <w:rPr>
          <w:rFonts w:hint="eastAsia" w:hAnsi="宋体" w:eastAsia="宋体"/>
          <w:b w:val="0"/>
          <w:bCs w:val="0"/>
          <w:color w:val="000000" w:themeColor="text1"/>
          <w:sz w:val="21"/>
          <w:szCs w:val="21"/>
          <w:highlight w:val="none"/>
          <w:lang w:val="zh-CN"/>
          <w14:textFill>
            <w14:solidFill>
              <w14:schemeClr w14:val="tx1"/>
            </w14:solidFill>
          </w14:textFill>
        </w:rPr>
        <w:t>输变电工程专业承包三级（或以上）资质</w:t>
      </w:r>
      <w:bookmarkEnd w:id="424"/>
      <w:r>
        <w:rPr>
          <w:rFonts w:hint="eastAsia" w:hAnsi="宋体" w:eastAsia="宋体"/>
          <w:b w:val="0"/>
          <w:bCs w:val="0"/>
          <w:color w:val="000000" w:themeColor="text1"/>
          <w:sz w:val="21"/>
          <w:szCs w:val="21"/>
          <w:highlight w:val="none"/>
          <w:lang w:val="zh-CN"/>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1"/>
          <w:highlight w:val="none"/>
          <w:lang w:val="en-US" w:eastAsia="zh-CN" w:bidi="en-US"/>
          <w14:textFill>
            <w14:solidFill>
              <w14:schemeClr w14:val="tx1"/>
            </w14:solidFill>
          </w14:textFill>
        </w:rPr>
        <w:t>。</w:t>
      </w:r>
    </w:p>
    <w:p w14:paraId="50B87419">
      <w:pPr>
        <w:widowControl/>
        <w:numPr>
          <w:ilvl w:val="0"/>
          <w:numId w:val="0"/>
        </w:numPr>
        <w:spacing w:line="400" w:lineRule="exact"/>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②具有国家能源局颁发的有效期</w:t>
      </w:r>
      <w:r>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内</w:t>
      </w: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承装类《承装（修、试）电力设施许可证》</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五</w:t>
      </w: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级</w:t>
      </w:r>
      <w:r>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（或以上）资质</w:t>
      </w: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w:t>
      </w:r>
    </w:p>
    <w:p w14:paraId="022E93F4">
      <w:pPr>
        <w:widowControl/>
        <w:numPr>
          <w:ilvl w:val="0"/>
          <w:numId w:val="0"/>
        </w:numPr>
        <w:spacing w:line="400" w:lineRule="exact"/>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③</w:t>
      </w: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具有在</w:t>
      </w:r>
      <w:r>
        <w:rPr>
          <w:rFonts w:hint="eastAsia"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有</w:t>
      </w:r>
      <w:r>
        <w:rPr>
          <w:rFonts w:hint="default" w:ascii="Times New Roman" w:hAnsi="Times New Roman" w:eastAsia="宋体" w:cs="Times New Roman"/>
          <w:color w:val="000000" w:themeColor="text1"/>
          <w:kern w:val="2"/>
          <w:sz w:val="21"/>
          <w:szCs w:val="21"/>
          <w:highlight w:val="none"/>
          <w:lang w:val="en-US" w:eastAsia="zh-CN" w:bidi="en-US"/>
          <w14:textFill>
            <w14:solidFill>
              <w14:schemeClr w14:val="tx1"/>
            </w14:solidFill>
          </w14:textFill>
        </w:rPr>
        <w:t>效期内的《安全生产许可证》。</w:t>
      </w:r>
    </w:p>
    <w:p w14:paraId="22B3C49D">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25" w:name="_Toc26218"/>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2</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14:textFill>
            <w14:solidFill>
              <w14:schemeClr w14:val="tx1"/>
            </w14:solidFill>
          </w14:textFill>
        </w:rPr>
        <w:t>施工范围</w:t>
      </w:r>
      <w:bookmarkEnd w:id="425"/>
    </w:p>
    <w:p w14:paraId="1D0AA486">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项目建设之前对原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建（构）筑物</w:t>
      </w:r>
      <w:r>
        <w:rPr>
          <w:rFonts w:hint="default" w:ascii="Times New Roman" w:hAnsi="Times New Roman" w:eastAsia="宋体" w:cs="Times New Roman"/>
          <w:color w:val="000000" w:themeColor="text1"/>
          <w:sz w:val="21"/>
          <w:szCs w:val="21"/>
          <w:highlight w:val="none"/>
          <w14:textFill>
            <w14:solidFill>
              <w14:schemeClr w14:val="tx1"/>
            </w14:solidFill>
          </w14:textFill>
        </w:rPr>
        <w:t>结构进行验算并提交验算报告；</w:t>
      </w:r>
    </w:p>
    <w:p w14:paraId="216D595B">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本次招标</w:t>
      </w:r>
      <w:r>
        <w:rPr>
          <w:rFonts w:hint="default" w:ascii="Times New Roman" w:hAnsi="Times New Roman" w:eastAsia="宋体" w:cs="Times New Roman"/>
          <w:color w:val="000000" w:themeColor="text1"/>
          <w:sz w:val="21"/>
          <w:szCs w:val="21"/>
          <w:highlight w:val="none"/>
          <w14:textFill>
            <w14:solidFill>
              <w14:schemeClr w14:val="tx1"/>
            </w14:solidFill>
          </w14:textFill>
        </w:rPr>
        <w:t>项目的建筑工程、设备安装调试工程、集电线路、通信工程、交通工程、水保恢复</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施工和围栏、绿化、场地平整等附属工程等；</w:t>
      </w:r>
    </w:p>
    <w:p w14:paraId="14C24631">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工程相关手续办理、临时用地手续办理、设施搬迁、施工后设施恢复等工作；</w:t>
      </w:r>
    </w:p>
    <w:p w14:paraId="07BC7737">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）投标人负责完成水、电接入点，施工场地，临时水电管线和临时建筑物、构筑物的设计、施工。</w:t>
      </w:r>
    </w:p>
    <w:p w14:paraId="0FAB302B">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）投标人完成设备系统的调试、试验、试运行，组织完成项目竣工验收和电网接入验收。</w:t>
      </w:r>
    </w:p>
    <w:p w14:paraId="1A9DE283">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）在</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服务期内项目</w:t>
      </w:r>
      <w:r>
        <w:rPr>
          <w:rFonts w:hint="default" w:ascii="Times New Roman" w:hAnsi="Times New Roman" w:eastAsia="宋体" w:cs="Times New Roman"/>
          <w:color w:val="000000" w:themeColor="text1"/>
          <w:sz w:val="21"/>
          <w:szCs w:val="21"/>
          <w:highlight w:val="none"/>
          <w14:textFill>
            <w14:solidFill>
              <w14:schemeClr w14:val="tx1"/>
            </w14:solidFill>
          </w14:textFill>
        </w:rPr>
        <w:t>出现故障时，投标人应保证24小时内有能力解决问题的技术人员到达现场。如果整个工艺过程不能满足运行保证中的要求，则投标人应负责修理、替换或者其它处理，以便满足运行保证要求。这部分费用由投标人负责（包括修理、替换或者处理、拆卸和安装所需要的人员费用）。在完成修理、替换或者其它处理后，整个工艺过程应重新进行</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性能</w:t>
      </w:r>
      <w:r>
        <w:rPr>
          <w:rFonts w:hint="default" w:ascii="Times New Roman" w:hAnsi="Times New Roman" w:eastAsia="宋体" w:cs="Times New Roman"/>
          <w:color w:val="000000" w:themeColor="text1"/>
          <w:sz w:val="21"/>
          <w:szCs w:val="21"/>
          <w:highlight w:val="none"/>
          <w14:textFill>
            <w14:solidFill>
              <w14:schemeClr w14:val="tx1"/>
            </w14:solidFill>
          </w14:textFill>
        </w:rPr>
        <w:t>试验，费用由投标人负责。</w:t>
      </w:r>
    </w:p>
    <w:p w14:paraId="72747FFB">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）光伏场区防水修复设施的设计、设施的采购、施工以及屋面加固属于</w:t>
      </w:r>
      <w:r>
        <w:rPr>
          <w:rFonts w:hint="eastAsia" w:ascii="Times New Roman" w:hAnsi="Times New Roman" w:eastAsia="宋体" w:cs="Times New Roman"/>
          <w:color w:val="000000" w:themeColor="text1"/>
          <w:szCs w:val="21"/>
          <w:highlight w:val="none"/>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的承包范围。</w:t>
      </w:r>
    </w:p>
    <w:p w14:paraId="4E75FFA0">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建设</w:t>
      </w:r>
      <w:r>
        <w:rPr>
          <w:rFonts w:hint="default" w:ascii="Times New Roman" w:hAnsi="Times New Roman" w:eastAsia="宋体" w:cs="Times New Roman"/>
          <w:color w:val="000000" w:themeColor="text1"/>
          <w:sz w:val="21"/>
          <w:szCs w:val="21"/>
          <w:highlight w:val="none"/>
          <w14:textFill>
            <w14:solidFill>
              <w14:schemeClr w14:val="tx1"/>
            </w14:solidFill>
          </w14:textFill>
        </w:rPr>
        <w:t>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内</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并网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验收通过前</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临时</w:t>
      </w:r>
      <w:r>
        <w:rPr>
          <w:rFonts w:hint="default" w:ascii="Times New Roman" w:hAnsi="Times New Roman" w:eastAsia="宋体" w:cs="Times New Roman"/>
          <w:color w:val="000000" w:themeColor="text1"/>
          <w:sz w:val="21"/>
          <w:szCs w:val="21"/>
          <w:highlight w:val="none"/>
          <w14:textFill>
            <w14:solidFill>
              <w14:schemeClr w14:val="tx1"/>
            </w14:solidFill>
          </w14:textFill>
        </w:rPr>
        <w:t>用水、用电</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费用</w:t>
      </w:r>
      <w:r>
        <w:rPr>
          <w:rFonts w:hint="default" w:ascii="Times New Roman" w:hAnsi="Times New Roman" w:eastAsia="宋体" w:cs="Times New Roman"/>
          <w:color w:val="000000" w:themeColor="text1"/>
          <w:sz w:val="21"/>
          <w:szCs w:val="21"/>
          <w:highlight w:val="none"/>
          <w14:textFill>
            <w14:solidFill>
              <w14:schemeClr w14:val="tx1"/>
            </w14:solidFill>
          </w14:textFill>
        </w:rPr>
        <w:t>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w:t>
      </w:r>
    </w:p>
    <w:p w14:paraId="7443DE02">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负责在现场设计并修建现场所需要的临时设施（包括临时生产、生活与管理房屋、砼搅拌站、现场的道路、需硬化的场地、供水、供电、通讯、管理网络等设施）。并在</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并网验收通过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后</w:t>
      </w:r>
      <w:r>
        <w:rPr>
          <w:rFonts w:hint="default" w:ascii="Times New Roman" w:hAnsi="Times New Roman" w:eastAsia="宋体" w:cs="Times New Roman"/>
          <w:color w:val="000000" w:themeColor="text1"/>
          <w:sz w:val="21"/>
          <w:szCs w:val="21"/>
          <w:highlight w:val="none"/>
          <w14:textFill>
            <w14:solidFill>
              <w14:schemeClr w14:val="tx1"/>
            </w14:solidFill>
          </w14:textFill>
        </w:rPr>
        <w:t>或在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使用结束时，按</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的要求拆除并恢复场地。</w:t>
      </w:r>
    </w:p>
    <w:p w14:paraId="03D72146">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t>）本工程</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的</w:t>
      </w:r>
      <w:r>
        <w:rPr>
          <w:rFonts w:hint="default" w:ascii="Times New Roman" w:hAnsi="Times New Roman" w:eastAsia="宋体" w:cs="Times New Roman"/>
          <w:color w:val="000000" w:themeColor="text1"/>
          <w:sz w:val="21"/>
          <w:szCs w:val="21"/>
          <w:highlight w:val="none"/>
          <w14:textFill>
            <w14:solidFill>
              <w14:schemeClr w14:val="tx1"/>
            </w14:solidFill>
          </w14:textFill>
        </w:rPr>
        <w:t>电站投运的相关安全措施、投运方案编写由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负责并报</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同意，设备带电的相关操作和组织工作、全部并网运行管理和维护、</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并网</w:t>
      </w:r>
      <w:r>
        <w:rPr>
          <w:rFonts w:hint="default" w:ascii="Times New Roman" w:hAnsi="Times New Roman" w:eastAsia="宋体" w:cs="Times New Roman"/>
          <w:color w:val="000000" w:themeColor="text1"/>
          <w:sz w:val="21"/>
          <w:szCs w:val="21"/>
          <w:highlight w:val="none"/>
          <w14:textFill>
            <w14:solidFill>
              <w14:schemeClr w14:val="tx1"/>
            </w14:solidFill>
          </w14:textFill>
        </w:rPr>
        <w:t>验收前所有消缺整改工作全部由投标人负责。</w:t>
      </w:r>
    </w:p>
    <w:p w14:paraId="089156EF">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11</w:t>
      </w:r>
      <w:r>
        <w:rPr>
          <w:rFonts w:hint="default" w:ascii="Times New Roman" w:hAnsi="Times New Roman" w:eastAsia="宋体" w:cs="Times New Roman"/>
          <w:color w:val="000000" w:themeColor="text1"/>
          <w:sz w:val="21"/>
          <w:szCs w:val="21"/>
          <w:highlight w:val="none"/>
          <w14:textFill>
            <w14:solidFill>
              <w14:schemeClr w14:val="tx1"/>
            </w14:solidFill>
          </w14:textFill>
        </w:rPr>
        <w:t>）屋顶临边、孔洞、爬梯等的安全防护设施由投标人负责。</w:t>
      </w:r>
    </w:p>
    <w:p w14:paraId="423A7447">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26" w:name="_Toc12093"/>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3</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项目管理</w:t>
      </w:r>
      <w:bookmarkEnd w:id="426"/>
    </w:p>
    <w:p w14:paraId="2F7CE129">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ascii="Times New Roman" w:hAnsi="Times New Roman" w:eastAsia="宋体" w:cs="Times New Roman"/>
          <w:color w:val="000000" w:themeColor="text1"/>
          <w:sz w:val="21"/>
          <w:szCs w:val="21"/>
          <w:highlight w:val="none"/>
          <w14:textFill>
            <w14:solidFill>
              <w14:schemeClr w14:val="tx1"/>
            </w14:solidFill>
          </w14:textFill>
        </w:rPr>
        <w:t>的现场组织机构人员的配置</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要根据工程特点</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施工规模、建设工期、管理目标以及合理的管理跨度进行配置，应在提高管理人员整体素质的基础上优化组合，组成精干高效的管理工作班子。</w:t>
      </w:r>
    </w:p>
    <w:p w14:paraId="4C97DFD4">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ascii="Times New Roman" w:hAnsi="Times New Roman" w:eastAsia="宋体" w:cs="Times New Roman"/>
          <w:color w:val="000000" w:themeColor="text1"/>
          <w:sz w:val="21"/>
          <w:szCs w:val="21"/>
          <w:highlight w:val="none"/>
          <w14:textFill>
            <w14:solidFill>
              <w14:schemeClr w14:val="tx1"/>
            </w14:solidFill>
          </w14:textFill>
        </w:rPr>
        <w:t>现场组织机构管理人员的配置要有合理的专业机构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各专业人员应配套</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并要有合理的技术职务、职称机构。</w:t>
      </w:r>
    </w:p>
    <w:p w14:paraId="6F947E5C">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ascii="Times New Roman" w:hAnsi="Times New Roman" w:eastAsia="宋体" w:cs="Times New Roman"/>
          <w:color w:val="000000" w:themeColor="text1"/>
          <w:sz w:val="21"/>
          <w:szCs w:val="21"/>
          <w:highlight w:val="none"/>
          <w14:textFill>
            <w14:solidFill>
              <w14:schemeClr w14:val="tx1"/>
            </w14:solidFill>
          </w14:textFill>
        </w:rPr>
        <w:t>现场组织机构的管理人员应具有其所承担管理任务相适应的技术水平、管理水平和相应资质。</w:t>
      </w:r>
    </w:p>
    <w:p w14:paraId="7348C162">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27" w:name="_Toc26909"/>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4</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施工所用的标准及规范</w:t>
      </w:r>
      <w:bookmarkEnd w:id="427"/>
    </w:p>
    <w:p w14:paraId="4DB02DEC">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国家和地方现行的标准、规范及其他技术文件。</w:t>
      </w:r>
    </w:p>
    <w:p w14:paraId="50C1E841">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行业标准、规范及其他技术文件。</w:t>
      </w:r>
    </w:p>
    <w:p w14:paraId="0B6E5989">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产品生产厂家的产品说明书及其他技术文件。</w:t>
      </w:r>
    </w:p>
    <w:p w14:paraId="43519C9F">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color w:val="000000" w:themeColor="text1"/>
          <w:szCs w:val="21"/>
          <w:highlight w:val="none"/>
          <w14:textFill>
            <w14:solidFill>
              <w14:schemeClr w14:val="tx1"/>
            </w14:solidFill>
          </w14:textFill>
        </w:rPr>
      </w:pPr>
      <w:bookmarkStart w:id="428" w:name="_Toc27554"/>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5</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其他要求</w:t>
      </w:r>
      <w:bookmarkEnd w:id="428"/>
    </w:p>
    <w:p w14:paraId="7BAEB13F">
      <w:pPr>
        <w:pageBreakBefore w:val="0"/>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各投标人应充分注意，凡涉及国家或行业管理部门颁发的相关规范、规程和标准，无论其是否在本招标文件中列明，中标人应无条件执行。标准、规范等不一致的，以要求高者为准。</w:t>
      </w:r>
    </w:p>
    <w:p w14:paraId="161E0DB8">
      <w:pPr>
        <w:pageBreakBefore w:val="0"/>
        <w:numPr>
          <w:ilvl w:val="0"/>
          <w:numId w:val="15"/>
        </w:numPr>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本项目工程实施过程中不得影响</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招标人</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建（构）筑物</w:t>
      </w:r>
      <w:r>
        <w:rPr>
          <w:rFonts w:hint="eastAsia" w:ascii="Times New Roman" w:hAnsi="Times New Roman" w:eastAsia="宋体" w:cs="Times New Roman"/>
          <w:color w:val="000000" w:themeColor="text1"/>
          <w:szCs w:val="21"/>
          <w:highlight w:val="none"/>
          <w14:textFill>
            <w14:solidFill>
              <w14:schemeClr w14:val="tx1"/>
            </w14:solidFill>
          </w14:textFill>
        </w:rPr>
        <w:t>的正常使用。</w:t>
      </w:r>
    </w:p>
    <w:p w14:paraId="7295C830">
      <w:pPr>
        <w:pageBreakBefore w:val="0"/>
        <w:numPr>
          <w:ilvl w:val="0"/>
          <w:numId w:val="15"/>
        </w:numPr>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投标人应对</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拟设置光伏区建（构）筑物</w:t>
      </w:r>
      <w:r>
        <w:rPr>
          <w:rFonts w:hint="eastAsia" w:ascii="Times New Roman" w:hAnsi="Times New Roman" w:eastAsia="宋体" w:cs="Times New Roman"/>
          <w:color w:val="000000" w:themeColor="text1"/>
          <w:szCs w:val="21"/>
          <w:highlight w:val="none"/>
          <w14:textFill>
            <w14:solidFill>
              <w14:schemeClr w14:val="tx1"/>
            </w14:solidFill>
          </w14:textFill>
        </w:rPr>
        <w:t>进行必要的现场勘查，了解现场情况、场地尺寸、设备摆放位置及维护维修情况，并根据实际情况对项目实施进行系统规划。</w:t>
      </w:r>
    </w:p>
    <w:p w14:paraId="781FC788">
      <w:pPr>
        <w:pageBreakBefore w:val="0"/>
        <w:numPr>
          <w:ilvl w:val="0"/>
          <w:numId w:val="15"/>
        </w:numPr>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系统施工过程中应有相应的保护及恢复措施，并符合国家施工质量验收标准。</w:t>
      </w:r>
    </w:p>
    <w:p w14:paraId="05F99D50">
      <w:pPr>
        <w:pageBreakBefore w:val="0"/>
        <w:numPr>
          <w:ilvl w:val="0"/>
          <w:numId w:val="15"/>
        </w:numPr>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本项目工程实施方案在正式实施前需得到</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招标人</w:t>
      </w:r>
      <w:r>
        <w:rPr>
          <w:rFonts w:hint="eastAsia" w:ascii="Times New Roman" w:hAnsi="Times New Roman" w:eastAsia="宋体" w:cs="Times New Roman"/>
          <w:color w:val="000000" w:themeColor="text1"/>
          <w:szCs w:val="21"/>
          <w:highlight w:val="none"/>
          <w14:textFill>
            <w14:solidFill>
              <w14:schemeClr w14:val="tx1"/>
            </w14:solidFill>
          </w14:textFill>
        </w:rPr>
        <w:t>书面同意。</w:t>
      </w:r>
    </w:p>
    <w:p w14:paraId="0AC437C6">
      <w:pPr>
        <w:pageBreakBefore w:val="0"/>
        <w:numPr>
          <w:ilvl w:val="0"/>
          <w:numId w:val="15"/>
        </w:numPr>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所有的项目为减少施工过程对</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招标人</w:t>
      </w:r>
      <w:r>
        <w:rPr>
          <w:rFonts w:hint="eastAsia" w:ascii="Times New Roman" w:hAnsi="Times New Roman" w:eastAsia="宋体" w:cs="Times New Roman"/>
          <w:color w:val="000000" w:themeColor="text1"/>
          <w:szCs w:val="21"/>
          <w:highlight w:val="none"/>
          <w14:textFill>
            <w14:solidFill>
              <w14:schemeClr w14:val="tx1"/>
            </w14:solidFill>
          </w14:textFill>
        </w:rPr>
        <w:t>正常工作的影响，需要按</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招标人</w:t>
      </w:r>
      <w:r>
        <w:rPr>
          <w:rFonts w:hint="eastAsia" w:ascii="Times New Roman" w:hAnsi="Times New Roman" w:eastAsia="宋体" w:cs="Times New Roman"/>
          <w:color w:val="000000" w:themeColor="text1"/>
          <w:szCs w:val="21"/>
          <w:highlight w:val="none"/>
          <w14:textFill>
            <w14:solidFill>
              <w14:schemeClr w14:val="tx1"/>
            </w14:solidFill>
          </w14:textFill>
        </w:rPr>
        <w:t>管理制度调整施工时间。</w:t>
      </w:r>
    </w:p>
    <w:p w14:paraId="7E240C1C">
      <w:pPr>
        <w:pageBreakBefore w:val="0"/>
        <w:numPr>
          <w:ilvl w:val="0"/>
          <w:numId w:val="15"/>
        </w:numPr>
        <w:kinsoku/>
        <w:wordWrap/>
        <w:overflowPunct/>
        <w:topLinePunct w:val="0"/>
        <w:bidi w:val="0"/>
        <w:spacing w:line="400" w:lineRule="exact"/>
        <w:ind w:left="0" w:leftChars="0" w:firstLine="420" w:firstLineChars="200"/>
        <w:rPr>
          <w:rFonts w:ascii="Times New Roman" w:hAnsi="Times New Roman" w:cs="Times New Roman"/>
          <w:color w:val="000000" w:themeColor="text1"/>
          <w:szCs w:val="21"/>
          <w:highlight w:val="none"/>
          <w14:textFill>
            <w14:solidFill>
              <w14:schemeClr w14:val="tx1"/>
            </w14:solidFill>
          </w14:textFill>
        </w:rPr>
        <w:sectPr>
          <w:pgSz w:w="11906" w:h="16838"/>
          <w:pgMar w:top="1418" w:right="1418" w:bottom="1418" w:left="1418" w:header="851" w:footer="859" w:gutter="0"/>
          <w:cols w:space="720" w:num="1"/>
          <w:docGrid w:linePitch="312" w:charSpace="0"/>
        </w:sect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szCs w:val="21"/>
          <w:highlight w:val="none"/>
          <w14:textFill>
            <w14:solidFill>
              <w14:schemeClr w14:val="tx1"/>
            </w14:solidFill>
          </w14:textFill>
        </w:rPr>
        <w:t>在工程建设阶段必须按照国家及行业相关安全法律法规组织施工，确保不发生安全事故。如发生施工安全事故，由</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szCs w:val="21"/>
          <w:highlight w:val="none"/>
          <w14:textFill>
            <w14:solidFill>
              <w14:schemeClr w14:val="tx1"/>
            </w14:solidFill>
          </w14:textFill>
        </w:rPr>
        <w:t>承担所有责任</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p>
    <w:p w14:paraId="74F443F0">
      <w:pPr>
        <w:pageBreakBefore w:val="0"/>
        <w:kinsoku/>
        <w:wordWrap/>
        <w:overflowPunct/>
        <w:topLinePunct w:val="0"/>
        <w:bidi w:val="0"/>
        <w:spacing w:line="400" w:lineRule="exact"/>
        <w:ind w:left="0" w:leftChars="0" w:firstLine="422" w:firstLineChars="200"/>
        <w:jc w:val="center"/>
        <w:outlineLvl w:val="0"/>
        <w:rPr>
          <w:rFonts w:ascii="Times New Roman" w:hAnsi="Times New Roman" w:eastAsia="宋体" w:cs="Times New Roman"/>
          <w:b/>
          <w:color w:val="000000" w:themeColor="text1"/>
          <w:sz w:val="21"/>
          <w:szCs w:val="21"/>
          <w:highlight w:val="none"/>
          <w14:textFill>
            <w14:solidFill>
              <w14:schemeClr w14:val="tx1"/>
            </w14:solidFill>
          </w14:textFill>
        </w:rPr>
      </w:pPr>
      <w:bookmarkStart w:id="429" w:name="_Toc19482"/>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第六节 </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调试和性能试验要求</w:t>
      </w:r>
      <w:bookmarkEnd w:id="429"/>
    </w:p>
    <w:p w14:paraId="3F2D4667">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30" w:name="_Toc18767"/>
      <w:r>
        <w:rPr>
          <w:rFonts w:hint="default" w:ascii="Times New Roman" w:hAnsi="Times New Roman" w:eastAsia="宋体" w:cs="Times New Roman"/>
          <w:b/>
          <w:color w:val="000000" w:themeColor="text1"/>
          <w:sz w:val="21"/>
          <w:szCs w:val="21"/>
          <w:highlight w:val="none"/>
          <w14:textFill>
            <w14:solidFill>
              <w14:schemeClr w14:val="tx1"/>
            </w14:solidFill>
          </w14:textFill>
        </w:rPr>
        <w:t>1 概述</w:t>
      </w:r>
      <w:bookmarkEnd w:id="430"/>
    </w:p>
    <w:p w14:paraId="0428F512">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所提供的设备应进行检验和性能验收试验，并确保所提供的设备符合</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招标人的技术规范</w:t>
      </w:r>
      <w:r>
        <w:rPr>
          <w:rFonts w:hint="default" w:ascii="Times New Roman" w:hAnsi="Times New Roman" w:eastAsia="宋体" w:cs="Times New Roman"/>
          <w:color w:val="000000" w:themeColor="text1"/>
          <w:sz w:val="21"/>
          <w:szCs w:val="21"/>
          <w:highlight w:val="none"/>
          <w14:textFill>
            <w14:solidFill>
              <w14:schemeClr w14:val="tx1"/>
            </w14:solidFill>
          </w14:textFill>
        </w:rPr>
        <w:t>要求。</w:t>
      </w:r>
    </w:p>
    <w:p w14:paraId="699D0C14">
      <w:pPr>
        <w:pageBreakBefore w:val="0"/>
        <w:kinsoku/>
        <w:wordWrap/>
        <w:overflowPunct/>
        <w:topLinePunct w:val="0"/>
        <w:bidi w:val="0"/>
        <w:spacing w:line="400" w:lineRule="exact"/>
        <w:ind w:left="0" w:leftChars="0" w:firstLine="420"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31" w:name="_Toc12740"/>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 </w:t>
      </w:r>
      <w:r>
        <w:rPr>
          <w:rFonts w:hint="default" w:ascii="Times New Roman" w:hAnsi="Times New Roman" w:eastAsia="宋体" w:cs="Times New Roman"/>
          <w:b/>
          <w:color w:val="000000" w:themeColor="text1"/>
          <w:sz w:val="21"/>
          <w:szCs w:val="21"/>
          <w:highlight w:val="none"/>
          <w14:textFill>
            <w14:solidFill>
              <w14:schemeClr w14:val="tx1"/>
            </w14:solidFill>
          </w14:textFill>
        </w:rPr>
        <w:t>调试</w:t>
      </w:r>
      <w:bookmarkEnd w:id="431"/>
    </w:p>
    <w:p w14:paraId="3FBCBFC3">
      <w:pPr>
        <w:pageBreakBefore w:val="0"/>
        <w:numPr>
          <w:ilvl w:val="0"/>
          <w:numId w:val="16"/>
        </w:numPr>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在</w:t>
      </w:r>
      <w:r>
        <w:rPr>
          <w:rFonts w:hint="default" w:ascii="Times New Roman" w:hAnsi="Times New Roman" w:eastAsia="宋体" w:cs="Times New Roman"/>
          <w:color w:val="000000" w:themeColor="text1"/>
          <w:sz w:val="21"/>
          <w:szCs w:val="21"/>
          <w:highlight w:val="none"/>
          <w14:textFill>
            <w14:solidFill>
              <w14:schemeClr w14:val="tx1"/>
            </w14:solidFill>
          </w14:textFill>
        </w:rPr>
        <w:t>设备安装</w:t>
      </w:r>
      <w:r>
        <w:rPr>
          <w:rFonts w:ascii="Times New Roman" w:hAnsi="Times New Roman" w:eastAsia="宋体" w:cs="Times New Roman"/>
          <w:color w:val="000000" w:themeColor="text1"/>
          <w:sz w:val="21"/>
          <w:szCs w:val="21"/>
          <w:highlight w:val="none"/>
          <w14:textFill>
            <w14:solidFill>
              <w14:schemeClr w14:val="tx1"/>
            </w14:solidFill>
          </w14:textFill>
        </w:rPr>
        <w:t>及现场检验和试验工作全部完成之后，由投标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人</w:t>
      </w:r>
      <w:r>
        <w:rPr>
          <w:rFonts w:ascii="Times New Roman" w:hAnsi="Times New Roman" w:eastAsia="宋体" w:cs="Times New Roman"/>
          <w:color w:val="000000" w:themeColor="text1"/>
          <w:sz w:val="21"/>
          <w:szCs w:val="21"/>
          <w:highlight w:val="none"/>
          <w14:textFill>
            <w14:solidFill>
              <w14:schemeClr w14:val="tx1"/>
            </w14:solidFill>
          </w14:textFill>
        </w:rPr>
        <w:t>负责前述条款的</w:t>
      </w:r>
      <w:r>
        <w:rPr>
          <w:rFonts w:hint="default" w:ascii="Times New Roman" w:hAnsi="Times New Roman" w:eastAsia="宋体" w:cs="Times New Roman"/>
          <w:color w:val="000000" w:themeColor="text1"/>
          <w:sz w:val="21"/>
          <w:szCs w:val="21"/>
          <w:highlight w:val="none"/>
          <w14:textFill>
            <w14:solidFill>
              <w14:schemeClr w14:val="tx1"/>
            </w14:solidFill>
          </w14:textFill>
        </w:rPr>
        <w:t>太阳能并网光伏电站的</w:t>
      </w:r>
      <w:r>
        <w:rPr>
          <w:rFonts w:ascii="Times New Roman" w:hAnsi="Times New Roman" w:eastAsia="宋体" w:cs="Times New Roman"/>
          <w:color w:val="000000" w:themeColor="text1"/>
          <w:sz w:val="21"/>
          <w:szCs w:val="21"/>
          <w:highlight w:val="none"/>
          <w14:textFill>
            <w14:solidFill>
              <w14:schemeClr w14:val="tx1"/>
            </w14:solidFill>
          </w14:textFill>
        </w:rPr>
        <w:t>系统调试</w:t>
      </w:r>
      <w:r>
        <w:rPr>
          <w:rFonts w:hint="default" w:ascii="Times New Roman" w:hAnsi="Times New Roman" w:eastAsia="宋体" w:cs="Times New Roman"/>
          <w:color w:val="000000" w:themeColor="text1"/>
          <w:sz w:val="21"/>
          <w:szCs w:val="21"/>
          <w:highlight w:val="none"/>
          <w14:textFill>
            <w14:solidFill>
              <w14:schemeClr w14:val="tx1"/>
            </w14:solidFill>
          </w14:textFill>
        </w:rPr>
        <w:t>工作</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26C28FA9">
      <w:pPr>
        <w:pageBreakBefore w:val="0"/>
        <w:numPr>
          <w:ilvl w:val="-1"/>
          <w:numId w:val="0"/>
        </w:numPr>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在系统调试前，</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向</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提供完整的调试方案，通过</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审查后进行调试工作</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6FD8A4F9">
      <w:pPr>
        <w:pageBreakBefore w:val="0"/>
        <w:numPr>
          <w:ilvl w:val="-1"/>
          <w:numId w:val="0"/>
        </w:numPr>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负责为调试提供必需的特殊试验仪器和工具</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28A6DE43">
      <w:pPr>
        <w:pageBreakBefore w:val="0"/>
        <w:numPr>
          <w:ilvl w:val="-1"/>
          <w:numId w:val="0"/>
        </w:numPr>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若装置存在缺陷，</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在</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同意的时间内消除</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598B8FFB">
      <w:pPr>
        <w:pageBreakBefore w:val="0"/>
        <w:numPr>
          <w:ilvl w:val="-1"/>
          <w:numId w:val="0"/>
        </w:numPr>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投标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人</w:t>
      </w:r>
      <w:r>
        <w:rPr>
          <w:rFonts w:hint="default" w:ascii="Times New Roman" w:hAnsi="Times New Roman" w:eastAsia="宋体" w:cs="Times New Roman"/>
          <w:color w:val="000000" w:themeColor="text1"/>
          <w:sz w:val="21"/>
          <w:szCs w:val="21"/>
          <w:highlight w:val="none"/>
          <w14:textFill>
            <w14:solidFill>
              <w14:schemeClr w14:val="tx1"/>
            </w14:solidFill>
          </w14:textFill>
        </w:rPr>
        <w:t>对太阳能光伏电站的启动、调试工作承担责任。</w:t>
      </w:r>
    </w:p>
    <w:p w14:paraId="5D6FE989">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32" w:name="_Toc25686"/>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性能验收试验</w:t>
      </w:r>
      <w:bookmarkEnd w:id="432"/>
    </w:p>
    <w:p w14:paraId="07F1B304">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.1性能验收试验的目的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是</w:t>
      </w:r>
      <w:r>
        <w:rPr>
          <w:rFonts w:hint="default" w:ascii="Times New Roman" w:hAnsi="Times New Roman" w:eastAsia="宋体" w:cs="Times New Roman"/>
          <w:color w:val="000000" w:themeColor="text1"/>
          <w:sz w:val="21"/>
          <w:szCs w:val="21"/>
          <w:highlight w:val="none"/>
          <w14:textFill>
            <w14:solidFill>
              <w14:schemeClr w14:val="tx1"/>
            </w14:solidFill>
          </w14:textFill>
        </w:rPr>
        <w:t>为了检验</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z w:val="21"/>
          <w:szCs w:val="21"/>
          <w:highlight w:val="none"/>
          <w14:textFill>
            <w14:solidFill>
              <w14:schemeClr w14:val="tx1"/>
            </w14:solidFill>
          </w14:textFill>
        </w:rPr>
        <w:t>设备的所有性能是否符合技术规范要求（详见第二节，技术规范要求）。</w:t>
      </w:r>
    </w:p>
    <w:p w14:paraId="075F2047">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Cs w:val="24"/>
          <w:highlight w:val="none"/>
          <w:lang w:eastAsia="zh-CN"/>
          <w14:textFill>
            <w14:solidFill>
              <w14:schemeClr w14:val="tx1"/>
            </w14:solidFill>
          </w14:textFill>
        </w:rPr>
        <w:t>性能试验由投标人委托</w:t>
      </w:r>
      <w:r>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t>第三方</w:t>
      </w:r>
      <w:r>
        <w:rPr>
          <w:rFonts w:hint="default" w:ascii="Times New Roman" w:hAnsi="Times New Roman" w:eastAsia="宋体" w:cs="Times New Roman"/>
          <w:color w:val="000000" w:themeColor="text1"/>
          <w:szCs w:val="24"/>
          <w:highlight w:val="none"/>
          <w:lang w:eastAsia="zh-CN"/>
          <w14:textFill>
            <w14:solidFill>
              <w14:schemeClr w14:val="tx1"/>
            </w14:solidFill>
          </w14:textFill>
        </w:rPr>
        <w:t>有相应资质的单位承担。若性能试验不满足设计性能指标，投标人负责消缺直至满足要求。性能试验的费用由投标人负责。</w:t>
      </w:r>
    </w:p>
    <w:p w14:paraId="3E262783">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.3性能验收试验的地点由</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确定。</w:t>
      </w:r>
    </w:p>
    <w:p w14:paraId="0E6BFC2A">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.4性能试验的时间：性能试验一般在</w:t>
      </w:r>
      <w:r>
        <w:rPr>
          <w:rFonts w:ascii="Times New Roman" w:hAnsi="Times New Roman" w:eastAsia="宋体" w:cs="Times New Roman"/>
          <w:color w:val="000000" w:themeColor="text1"/>
          <w:sz w:val="21"/>
          <w:szCs w:val="21"/>
          <w:highlight w:val="none"/>
          <w14:textFill>
            <w14:solidFill>
              <w14:schemeClr w14:val="tx1"/>
            </w14:solidFill>
          </w14:textFill>
        </w:rPr>
        <w:t>168</w:t>
      </w:r>
      <w:r>
        <w:rPr>
          <w:rFonts w:hint="default" w:ascii="Times New Roman" w:hAnsi="Times New Roman" w:eastAsia="宋体" w:cs="Times New Roman"/>
          <w:color w:val="000000" w:themeColor="text1"/>
          <w:sz w:val="21"/>
          <w:szCs w:val="21"/>
          <w:highlight w:val="none"/>
          <w14:textFill>
            <w14:solidFill>
              <w14:schemeClr w14:val="tx1"/>
            </w14:solidFill>
          </w14:textFill>
        </w:rPr>
        <w:t>小时试运之后三个月内进行，具体试验时间由</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确定。</w:t>
      </w:r>
    </w:p>
    <w:p w14:paraId="14027EAE">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.5性能验收试验包括但不限于以下内容：</w:t>
      </w:r>
    </w:p>
    <w:p w14:paraId="13E62F1E">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.5.1 发电功率</w:t>
      </w:r>
    </w:p>
    <w:p w14:paraId="67165FA4">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.5.2 太阳能电池效率</w:t>
      </w:r>
    </w:p>
    <w:p w14:paraId="3F5636AC">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.5.3 逆变器效率</w:t>
      </w:r>
    </w:p>
    <w:p w14:paraId="415BA668">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.5.4 噪音</w:t>
      </w:r>
    </w:p>
    <w:p w14:paraId="48AA3EEF">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.5.5 事故应急措施及设施配置</w:t>
      </w:r>
    </w:p>
    <w:p w14:paraId="4EA1D27D">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.5.6 最大功率变化率</w:t>
      </w:r>
    </w:p>
    <w:p w14:paraId="42F9CE43">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.5.7 并网时的谐波</w:t>
      </w:r>
    </w:p>
    <w:p w14:paraId="06E6810A">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.5.8 光伏电站启停时对电站的影响</w:t>
      </w:r>
    </w:p>
    <w:p w14:paraId="6961CD21">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.5.9有功输出特性（有功输出与辐照度、温度的关系特性）</w:t>
      </w:r>
    </w:p>
    <w:p w14:paraId="0386521A">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.5.10 电能质量，包括电压不平衡度、谐波、直流分量、电压波动与闪变</w:t>
      </w:r>
    </w:p>
    <w:p w14:paraId="01815394">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.6性能验收试验由</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主持，</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参加</w:t>
      </w:r>
      <w:r>
        <w:rPr>
          <w:rFonts w:hint="default" w:ascii="Times New Roman" w:hAnsi="Times New Roman" w:eastAsia="宋体" w:cs="Times New Roman"/>
          <w:color w:val="000000" w:themeColor="text1"/>
          <w:sz w:val="21"/>
          <w:szCs w:val="21"/>
          <w:highlight w:val="none"/>
          <w14:textFill>
            <w14:solidFill>
              <w14:schemeClr w14:val="tx1"/>
            </w14:solidFill>
          </w14:textFill>
        </w:rPr>
        <w:t>。如试验在现场进行，</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积极进行相关工作配合；如试验在工厂进行，试验所需的人力和物力等由</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提供。</w:t>
      </w:r>
    </w:p>
    <w:p w14:paraId="0FF2C80A">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.7性能验收试验的费用</w:t>
      </w:r>
    </w:p>
    <w:p w14:paraId="43B9F503">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性能验收试验检测费用由</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w:t>
      </w:r>
    </w:p>
    <w:p w14:paraId="0C87BE4F">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.8性能验收试验结果的确认</w:t>
      </w:r>
    </w:p>
    <w:p w14:paraId="7F520DB0">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性能验收试验报告由</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投标人委托的</w:t>
      </w:r>
      <w:r>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t>第三方</w:t>
      </w:r>
      <w:r>
        <w:rPr>
          <w:rFonts w:hint="default" w:ascii="Times New Roman" w:hAnsi="Times New Roman" w:eastAsia="宋体" w:cs="Times New Roman"/>
          <w:color w:val="000000" w:themeColor="text1"/>
          <w:szCs w:val="24"/>
          <w:highlight w:val="none"/>
          <w:lang w:eastAsia="zh-CN"/>
          <w14:textFill>
            <w14:solidFill>
              <w14:schemeClr w14:val="tx1"/>
            </w14:solidFill>
          </w14:textFill>
        </w:rPr>
        <w:t>有相应资质的单位</w:t>
      </w:r>
      <w:r>
        <w:rPr>
          <w:rFonts w:hint="default" w:ascii="Times New Roman" w:hAnsi="Times New Roman" w:eastAsia="宋体" w:cs="Times New Roman"/>
          <w:color w:val="000000" w:themeColor="text1"/>
          <w:sz w:val="21"/>
          <w:szCs w:val="21"/>
          <w:highlight w:val="none"/>
          <w14:textFill>
            <w14:solidFill>
              <w14:schemeClr w14:val="tx1"/>
            </w14:solidFill>
          </w14:textFill>
        </w:rPr>
        <w:t>编写，经由签章确认结论。</w:t>
      </w:r>
    </w:p>
    <w:p w14:paraId="6681FC2B">
      <w:pPr>
        <w:pageBreakBefore w:val="0"/>
        <w:kinsoku/>
        <w:wordWrap/>
        <w:overflowPunct/>
        <w:topLinePunct w:val="0"/>
        <w:bidi w:val="0"/>
        <w:spacing w:line="400" w:lineRule="exact"/>
        <w:ind w:left="0" w:leftChars="0" w:firstLine="420" w:firstLineChars="200"/>
        <w:jc w:val="center"/>
        <w:outlineLvl w:val="0"/>
        <w:rPr>
          <w:rFonts w:hint="default" w:hAnsi="Times New Roman"/>
          <w:b/>
          <w:color w:val="000000" w:themeColor="text1"/>
          <w:sz w:val="21"/>
          <w:szCs w:val="2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706BD64">
      <w:pPr>
        <w:pageBreakBefore w:val="0"/>
        <w:kinsoku/>
        <w:wordWrap/>
        <w:overflowPunct/>
        <w:topLinePunct w:val="0"/>
        <w:bidi w:val="0"/>
        <w:spacing w:line="400" w:lineRule="exact"/>
        <w:ind w:left="0" w:leftChars="0" w:firstLine="422" w:firstLineChars="200"/>
        <w:jc w:val="center"/>
        <w:outlineLvl w:val="0"/>
        <w:rPr>
          <w:rFonts w:ascii="Times New Roman" w:hAnsi="Times New Roman" w:eastAsia="宋体" w:cs="Times New Roman"/>
          <w:b/>
          <w:color w:val="000000" w:themeColor="text1"/>
          <w:sz w:val="21"/>
          <w:szCs w:val="21"/>
          <w:highlight w:val="none"/>
          <w14:textFill>
            <w14:solidFill>
              <w14:schemeClr w14:val="tx1"/>
            </w14:solidFill>
          </w14:textFill>
        </w:rPr>
      </w:pPr>
      <w:bookmarkStart w:id="433" w:name="_Toc9279"/>
      <w:r>
        <w:rPr>
          <w:rFonts w:hint="default" w:ascii="Times New Roman" w:hAnsi="Times New Roman" w:eastAsia="宋体" w:cs="Times New Roman"/>
          <w:b/>
          <w:color w:val="000000" w:themeColor="text1"/>
          <w:sz w:val="21"/>
          <w:szCs w:val="21"/>
          <w:highlight w:val="none"/>
          <w14:textFill>
            <w14:solidFill>
              <w14:schemeClr w14:val="tx1"/>
            </w14:solidFill>
          </w14:textFill>
        </w:rPr>
        <w:t>第</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七</w:t>
      </w:r>
      <w:r>
        <w:rPr>
          <w:rFonts w:hint="default" w:ascii="Times New Roman" w:hAnsi="Times New Roman" w:eastAsia="宋体" w:cs="Times New Roman"/>
          <w:b/>
          <w:color w:val="000000" w:themeColor="text1"/>
          <w:sz w:val="21"/>
          <w:szCs w:val="21"/>
          <w:highlight w:val="none"/>
          <w14:textFill>
            <w14:solidFill>
              <w14:schemeClr w14:val="tx1"/>
            </w14:solidFill>
          </w14:textFill>
        </w:rPr>
        <w:t>节 光伏电站运维要求</w:t>
      </w:r>
      <w:bookmarkEnd w:id="433"/>
    </w:p>
    <w:p w14:paraId="3D03BDDA">
      <w:pPr>
        <w:pageBreakBefore w:val="0"/>
        <w:tabs>
          <w:tab w:val="left" w:pos="735"/>
          <w:tab w:val="left" w:pos="2160"/>
        </w:tabs>
        <w:kinsoku/>
        <w:wordWrap/>
        <w:overflowPunct/>
        <w:topLinePunct w:val="0"/>
        <w:bidi w:val="0"/>
        <w:adjustRightInd w:val="0"/>
        <w:snapToGrid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34" w:name="_Toc19285"/>
      <w:r>
        <w:rPr>
          <w:rFonts w:hint="default" w:ascii="Times New Roman" w:hAnsi="Times New Roman" w:eastAsia="宋体" w:cs="Times New Roman"/>
          <w:b/>
          <w:color w:val="000000" w:themeColor="text1"/>
          <w:sz w:val="21"/>
          <w:szCs w:val="21"/>
          <w:highlight w:val="none"/>
          <w14:textFill>
            <w14:solidFill>
              <w14:schemeClr w14:val="tx1"/>
            </w14:solidFill>
          </w14:textFill>
        </w:rPr>
        <w:t>1</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14:textFill>
            <w14:solidFill>
              <w14:schemeClr w14:val="tx1"/>
            </w14:solidFill>
          </w14:textFill>
        </w:rPr>
        <w:t>运行维护服务设备范围</w:t>
      </w:r>
      <w:bookmarkEnd w:id="434"/>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w:t>
      </w:r>
    </w:p>
    <w:p w14:paraId="01A6CB0C">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包括但不限于污水厂光伏组件、支架及基础、变压器、逆变器、断路器、电缆接头、视频监控、红外抄表、电缆、光伏组件级关断器、传输网络终端、</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集中控制</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等设施设备。 </w:t>
      </w:r>
    </w:p>
    <w:p w14:paraId="12E4A290">
      <w:pPr>
        <w:pageBreakBefore w:val="0"/>
        <w:tabs>
          <w:tab w:val="left" w:pos="735"/>
          <w:tab w:val="left" w:pos="2160"/>
        </w:tabs>
        <w:kinsoku/>
        <w:wordWrap/>
        <w:overflowPunct/>
        <w:topLinePunct w:val="0"/>
        <w:bidi w:val="0"/>
        <w:adjustRightInd w:val="0"/>
        <w:snapToGrid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35" w:name="_Toc6289"/>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14:textFill>
            <w14:solidFill>
              <w14:schemeClr w14:val="tx1"/>
            </w14:solidFill>
          </w14:textFill>
        </w:rPr>
        <w:t>主要服务范围</w:t>
      </w:r>
      <w:bookmarkEnd w:id="435"/>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w:t>
      </w:r>
    </w:p>
    <w:p w14:paraId="70C12816">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（1）全面承接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本次招标项目所有</w:t>
      </w:r>
      <w:r>
        <w:rPr>
          <w:rFonts w:hint="default" w:ascii="Times New Roman" w:hAnsi="Times New Roman" w:eastAsia="宋体" w:cs="Times New Roman"/>
          <w:color w:val="000000" w:themeColor="text1"/>
          <w:sz w:val="21"/>
          <w:szCs w:val="21"/>
          <w:highlight w:val="none"/>
          <w14:textFill>
            <w14:solidFill>
              <w14:schemeClr w14:val="tx1"/>
            </w14:solidFill>
          </w14:textFill>
        </w:rPr>
        <w:t>设备的运维服务。</w:t>
      </w:r>
    </w:p>
    <w:p w14:paraId="288274C3">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）提供7×24 维护抢修指令响应。</w:t>
      </w:r>
    </w:p>
    <w:p w14:paraId="2BD4F155">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（3）提供纠正性维修服务，包括故障清除、故障分析与管理。</w:t>
      </w:r>
    </w:p>
    <w:p w14:paraId="3DEADE49">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（4）提供设备巡检、检查、清扫与组件清洁服务。</w:t>
      </w:r>
    </w:p>
    <w:p w14:paraId="5C382144">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（5）提供有计划的预防性维护服务，包含设备保养、检修、试验等内容。</w:t>
      </w:r>
    </w:p>
    <w:p w14:paraId="18C352B9">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（6）提供现场应急响应及事件处理服务。</w:t>
      </w:r>
    </w:p>
    <w:p w14:paraId="52875C8A">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生产生活易耗品采购，指发电设备及变配电设备运行、维护、检修、清洗中一次性消耗完毕，不可再次重复使用的材料，包括但不限于清洁剂、溶剂、防腐防火涂料、防火泥、胶布（带）、胶类、砂纸、铁丝、扎带、线手套、口罩、清洗布、钻头、锯条、焊条、砂轮、网线、螺栓、垫片、针式绝缘子、线鼻子、端子、电缆头及其附件等。</w:t>
      </w:r>
    </w:p>
    <w:p w14:paraId="1AC7B41F">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（8）提供运行数据采集和分析服务，包括日报、周报、月报、年报及定制报表和相关报告编制与推送。</w:t>
      </w:r>
    </w:p>
    <w:p w14:paraId="59C67432">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（9）提供全面的运维管理服务，包含人员管理、设备管理、安全管理、资料管理，生产管理等。</w:t>
      </w:r>
    </w:p>
    <w:p w14:paraId="182ADCF5">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（10）协助</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提供电费结算服务。</w:t>
      </w:r>
    </w:p>
    <w:p w14:paraId="3BF4F6A8">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（11）设备厂家提供的备品备件保管。</w:t>
      </w:r>
    </w:p>
    <w:p w14:paraId="70287383">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服务期</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内的设备缺陷及工程缺陷</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的更换、修复等</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5881E103">
      <w:pPr>
        <w:pageBreakBefore w:val="0"/>
        <w:tabs>
          <w:tab w:val="left" w:pos="735"/>
          <w:tab w:val="left" w:pos="2160"/>
        </w:tabs>
        <w:kinsoku/>
        <w:wordWrap/>
        <w:overflowPunct/>
        <w:topLinePunct w:val="0"/>
        <w:bidi w:val="0"/>
        <w:adjustRightInd w:val="0"/>
        <w:snapToGrid w:val="0"/>
        <w:spacing w:line="400" w:lineRule="exact"/>
        <w:ind w:left="0" w:leftChars="0" w:firstLine="422" w:firstLineChars="200"/>
        <w:outlineLvl w:val="1"/>
        <w:rPr>
          <w:rFonts w:ascii="Times New Roman" w:hAnsi="Times New Roman" w:eastAsia="宋体" w:cs="Times New Roman"/>
          <w:b/>
          <w:color w:val="000000" w:themeColor="text1"/>
          <w:sz w:val="21"/>
          <w:szCs w:val="21"/>
          <w:highlight w:val="none"/>
          <w14:textFill>
            <w14:solidFill>
              <w14:schemeClr w14:val="tx1"/>
            </w14:solidFill>
          </w14:textFill>
        </w:rPr>
      </w:pPr>
      <w:bookmarkStart w:id="436" w:name="_Toc17557"/>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3 </w:t>
      </w:r>
      <w:r>
        <w:rPr>
          <w:rFonts w:hint="default" w:ascii="Times New Roman" w:hAnsi="Times New Roman" w:eastAsia="宋体" w:cs="Times New Roman"/>
          <w:b/>
          <w:color w:val="000000" w:themeColor="text1"/>
          <w:sz w:val="21"/>
          <w:szCs w:val="21"/>
          <w:highlight w:val="none"/>
          <w14:textFill>
            <w14:solidFill>
              <w14:schemeClr w14:val="tx1"/>
            </w14:solidFill>
          </w14:textFill>
        </w:rPr>
        <w:t>生产运维具体要求</w:t>
      </w:r>
      <w:bookmarkEnd w:id="436"/>
    </w:p>
    <w:p w14:paraId="5BD6ADF1">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应做好目标资产的日常维护、常规检修和事故抢修等工作，及时处理设备的运行问题，确保目标资产安全可靠运行，保证资产完好。生产运维具体要求包括： </w:t>
      </w:r>
    </w:p>
    <w:p w14:paraId="703C8E4C">
      <w:pPr>
        <w:pageBreakBefore w:val="0"/>
        <w:numPr>
          <w:ilvl w:val="0"/>
          <w:numId w:val="17"/>
        </w:numPr>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在整个运营期内，</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应当承担维护风险，负责管理、维护项目设施。 </w:t>
      </w:r>
    </w:p>
    <w:p w14:paraId="78DB733A">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投标人确保项目设施始终处于良好营运状态并能够以安全、连续和稳定的方式提供符合适用法律和招标人要求的服务</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p>
    <w:p w14:paraId="0F76BEEB">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 项目开始维护前，</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须向</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提交维护方案，并经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审核同意后执行；</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应当根据经审核确定的维护方案等要求编制维护手册（手册应包括进行定期和年度检查、日常运行维护、大修维护和年度维护的程序和计划，以及调整和改进检验及维护安排的程序和计划），并报</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备案。 </w:t>
      </w:r>
    </w:p>
    <w:p w14:paraId="1F231494">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保存现有设备、系统图纸、计划和规格参数资料。 </w:t>
      </w:r>
    </w:p>
    <w:p w14:paraId="13CB71F2">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 及时向招标人报告发生在光伏区范围内的任何意外事件。</w:t>
      </w:r>
    </w:p>
    <w:p w14:paraId="704E05F1">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对项目维护和修理的情况进行详细记录；</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p>
    <w:p w14:paraId="6C5AAE8C">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（7）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服务</w:t>
      </w:r>
      <w:r>
        <w:rPr>
          <w:rFonts w:hint="default" w:ascii="Times New Roman" w:hAnsi="Times New Roman" w:eastAsia="宋体" w:cs="Times New Roman"/>
          <w:color w:val="000000" w:themeColor="text1"/>
          <w:sz w:val="21"/>
          <w:szCs w:val="21"/>
          <w:highlight w:val="none"/>
          <w14:textFill>
            <w14:solidFill>
              <w14:schemeClr w14:val="tx1"/>
            </w14:solidFill>
          </w14:textFill>
        </w:rPr>
        <w:t>期内</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负责协调相关方补充质保期内的备品备件；因运行维护、检修及非常规维修的备品备件，费用由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负责；由于</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责任发生的费用由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承担。 </w:t>
      </w:r>
    </w:p>
    <w:p w14:paraId="30BACD15">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需要对运行数据保密，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未经招标人同意不能</w:t>
      </w:r>
      <w:r>
        <w:rPr>
          <w:rFonts w:hint="default" w:ascii="Times New Roman" w:hAnsi="Times New Roman" w:eastAsia="宋体" w:cs="Times New Roman"/>
          <w:color w:val="000000" w:themeColor="text1"/>
          <w:sz w:val="21"/>
          <w:szCs w:val="21"/>
          <w:highlight w:val="none"/>
          <w14:textFill>
            <w14:solidFill>
              <w14:schemeClr w14:val="tx1"/>
            </w14:solidFill>
          </w14:textFill>
        </w:rPr>
        <w:t>向其它</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单位</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提供运行数据。 </w:t>
      </w:r>
    </w:p>
    <w:p w14:paraId="43EC09FA">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在光伏区发电设备日常维护及操作严格按照国家及电力系统的有关规章制度、规范、标准、工作程序进行。 </w:t>
      </w:r>
    </w:p>
    <w:p w14:paraId="71DF4BE5">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（11）为提高光伏组件的发电效率，</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应根据光伏组件的实际情况对光伏组件进行清洁，清洁保护用品、清洁工具及清洁用水等相关一切费用由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承担，光伏组件的清洗频次每年不少于2次。 </w:t>
      </w:r>
    </w:p>
    <w:p w14:paraId="62CC3ECE">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（12）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负责对现场各种设备设施制定相应的管理及使用维护保养制度，加强管理，一旦由于</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责任出现意外或损坏，则按原规格予以更换，相关费用由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承担。 </w:t>
      </w:r>
    </w:p>
    <w:p w14:paraId="40E242D3">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13</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负责光伏电站的安全工器具检测费用，现场人员安全帽及工作服费用包含在运维费用中。安全工器具范围包括用于光伏电站检修、维护、运行操作及试验的工器具，包括但不限于绝缘工具、施工安全劳动保护用品、用具等。例如：绝缘手套、绝缘杆、安全带、摇表等。 </w:t>
      </w:r>
    </w:p>
    <w:p w14:paraId="5F4EB23B">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14</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对光伏电站的安全工作负责，是目标资产运行维护和缺陷管理的责任单位。</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应建立健全光伏电站安全生产的各项规章制度和管理措施，强化现场工作人员的安全意识，杜绝各种事故的发生，保证光伏电站安全、稳定的运行。 </w:t>
      </w:r>
    </w:p>
    <w:p w14:paraId="3E4D6F1E">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必须遵照国家及行业相关安全法律法规组织日常系统运行维护，确保不发生安全事故。如发生安全事故，由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承担所有责任</w:t>
      </w:r>
    </w:p>
    <w:p w14:paraId="36AF03B9">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16</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应保证所有光伏设备运行数据（包括电子数据）的完整和准确，并妥善保存。 </w:t>
      </w:r>
    </w:p>
    <w:p w14:paraId="4818E3D5">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17</w:t>
      </w:r>
      <w:r>
        <w:rPr>
          <w:rFonts w:hint="default" w:ascii="Times New Roman" w:hAnsi="Times New Roman" w:eastAsia="宋体" w:cs="Times New Roman"/>
          <w:color w:val="000000" w:themeColor="text1"/>
          <w:sz w:val="21"/>
          <w:szCs w:val="21"/>
          <w:highlight w:val="none"/>
          <w14:textFill>
            <w14:solidFill>
              <w14:schemeClr w14:val="tx1"/>
            </w14:solidFill>
          </w14:textFill>
        </w:rPr>
        <w:t>） 服务期限届满前一个月，</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向招标人提供项目完整的交接资料</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清单</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08C6EFDE">
      <w:pPr>
        <w:pageBreakBefore w:val="0"/>
        <w:tabs>
          <w:tab w:val="left" w:pos="735"/>
          <w:tab w:val="left" w:pos="2160"/>
        </w:tabs>
        <w:kinsoku/>
        <w:wordWrap/>
        <w:overflowPunct/>
        <w:topLinePunct w:val="0"/>
        <w:bidi w:val="0"/>
        <w:adjustRightInd w:val="0"/>
        <w:snapToGrid w:val="0"/>
        <w:spacing w:line="400" w:lineRule="exact"/>
        <w:ind w:left="0" w:leftChars="0"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应文明使用、操作现场设备设施，如损坏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提供的设施、工器具和电测仪表等，应照价赔偿，但正常磨损除外。 </w:t>
      </w:r>
    </w:p>
    <w:p w14:paraId="4A93E093">
      <w:pPr>
        <w:pageBreakBefore w:val="0"/>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p>
    <w:p w14:paraId="6F1D3C67">
      <w:pPr>
        <w:pageBreakBefore w:val="0"/>
        <w:kinsoku/>
        <w:wordWrap/>
        <w:overflowPunct/>
        <w:topLinePunct w:val="0"/>
        <w:bidi w:val="0"/>
        <w:spacing w:line="400" w:lineRule="exact"/>
        <w:ind w:left="0" w:leftChars="0" w:firstLine="420" w:firstLineChars="200"/>
        <w:rPr>
          <w:rFonts w:ascii="Times New Roman" w:hAnsi="Times New Roman" w:cs="Times New Roman"/>
          <w:color w:val="000000" w:themeColor="text1"/>
          <w:szCs w:val="2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FE8F44B">
      <w:pPr>
        <w:pageBreakBefore w:val="0"/>
        <w:kinsoku/>
        <w:wordWrap/>
        <w:overflowPunct/>
        <w:topLinePunct w:val="0"/>
        <w:bidi w:val="0"/>
        <w:spacing w:line="400" w:lineRule="exact"/>
        <w:ind w:left="0" w:leftChars="0" w:firstLine="422" w:firstLineChars="200"/>
        <w:jc w:val="center"/>
        <w:outlineLvl w:val="0"/>
        <w:rPr>
          <w:rFonts w:ascii="Times New Roman" w:hAnsi="Times New Roman" w:eastAsia="宋体" w:cs="Times New Roman"/>
          <w:b/>
          <w:color w:val="000000" w:themeColor="text1"/>
          <w:sz w:val="21"/>
          <w:szCs w:val="21"/>
          <w:highlight w:val="none"/>
          <w14:textFill>
            <w14:solidFill>
              <w14:schemeClr w14:val="tx1"/>
            </w14:solidFill>
          </w14:textFill>
        </w:rPr>
      </w:pPr>
      <w:bookmarkStart w:id="437" w:name="_Toc13264"/>
      <w:r>
        <w:rPr>
          <w:rFonts w:hint="default" w:ascii="Times New Roman" w:hAnsi="Times New Roman" w:eastAsia="宋体" w:cs="Times New Roman"/>
          <w:b/>
          <w:color w:val="000000" w:themeColor="text1"/>
          <w:sz w:val="21"/>
          <w:szCs w:val="21"/>
          <w:highlight w:val="none"/>
          <w14:textFill>
            <w14:solidFill>
              <w14:schemeClr w14:val="tx1"/>
            </w14:solidFill>
          </w14:textFill>
        </w:rPr>
        <w:t>第</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八</w:t>
      </w:r>
      <w:r>
        <w:rPr>
          <w:rFonts w:hint="default" w:ascii="Times New Roman" w:hAnsi="Times New Roman" w:eastAsia="宋体" w:cs="Times New Roman"/>
          <w:b/>
          <w:color w:val="000000" w:themeColor="text1"/>
          <w:sz w:val="21"/>
          <w:szCs w:val="21"/>
          <w:highlight w:val="none"/>
          <w14:textFill>
            <w14:solidFill>
              <w14:schemeClr w14:val="tx1"/>
            </w14:solidFill>
          </w14:textFill>
        </w:rPr>
        <w:t>节 支付方式及相关要求</w:t>
      </w:r>
      <w:bookmarkEnd w:id="437"/>
    </w:p>
    <w:p w14:paraId="5352AE98">
      <w:pPr>
        <w:pageBreakBefore w:val="0"/>
        <w:kinsoku/>
        <w:wordWrap/>
        <w:overflowPunct/>
        <w:topLinePunct w:val="0"/>
        <w:bidi w:val="0"/>
        <w:spacing w:line="400" w:lineRule="exact"/>
        <w:ind w:left="0" w:leftChars="0" w:firstLine="422" w:firstLineChars="200"/>
        <w:outlineLvl w:val="1"/>
        <w:rPr>
          <w:rFonts w:hint="eastAsia"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pPr>
      <w:bookmarkStart w:id="438" w:name="_Toc16638"/>
      <w:r>
        <w:rPr>
          <w:rFonts w:hint="eastAsia"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t>1</w:t>
      </w:r>
      <w:r>
        <w:rPr>
          <w:rFonts w:hint="default"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t>计量要求</w:t>
      </w:r>
      <w:bookmarkEnd w:id="438"/>
    </w:p>
    <w:p w14:paraId="56BFCF6D">
      <w:pPr>
        <w:pageBreakBefore w:val="0"/>
        <w:numPr>
          <w:ilvl w:val="0"/>
          <w:numId w:val="0"/>
        </w:numPr>
        <w:kinsoku/>
        <w:wordWrap/>
        <w:overflowPunct/>
        <w:topLinePunct w:val="0"/>
        <w:bidi w:val="0"/>
        <w:spacing w:line="400" w:lineRule="exact"/>
        <w:ind w:left="0" w:leftChars="0" w:firstLine="420" w:firstLineChars="200"/>
        <w:outlineLvl w:val="9"/>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按国家规定在入网前端</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经招标人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认可的位置安装电能计量装置。该电能计量装置的记录作为</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双方计算用电量与电费的唯一依据。</w:t>
      </w:r>
    </w:p>
    <w:p w14:paraId="3D0A0E58">
      <w:pPr>
        <w:pageBreakBefore w:val="0"/>
        <w:numPr>
          <w:ilvl w:val="0"/>
          <w:numId w:val="0"/>
        </w:numPr>
        <w:kinsoku/>
        <w:wordWrap/>
        <w:overflowPunct/>
        <w:topLinePunct w:val="0"/>
        <w:bidi w:val="0"/>
        <w:spacing w:line="400" w:lineRule="exact"/>
        <w:ind w:left="0" w:leftChars="0" w:firstLine="420" w:firstLineChars="200"/>
        <w:outlineLvl w:val="9"/>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）为准确计量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电站发电量、</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所用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电量、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上网电量，</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双方同意由供电公司为电站安装关口电能计量装置。</w:t>
      </w:r>
    </w:p>
    <w:p w14:paraId="3C22D966">
      <w:pPr>
        <w:pageBreakBefore w:val="0"/>
        <w:numPr>
          <w:ilvl w:val="0"/>
          <w:numId w:val="0"/>
        </w:numPr>
        <w:kinsoku/>
        <w:wordWrap/>
        <w:overflowPunct/>
        <w:topLinePunct w:val="0"/>
        <w:bidi w:val="0"/>
        <w:spacing w:line="400" w:lineRule="exact"/>
        <w:ind w:left="0" w:leftChars="0" w:firstLine="420" w:firstLineChars="200"/>
        <w:outlineLvl w:val="9"/>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3</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）电能计量装置的安装、移动、更换、校验、拆除、加封、启封、定期检测、维修等均由</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负责，</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双方共同见证，</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提供协助和配合。</w:t>
      </w:r>
    </w:p>
    <w:p w14:paraId="4DF08B91">
      <w:pPr>
        <w:pageBreakBefore w:val="0"/>
        <w:numPr>
          <w:ilvl w:val="0"/>
          <w:numId w:val="0"/>
        </w:numPr>
        <w:kinsoku/>
        <w:wordWrap/>
        <w:overflowPunct/>
        <w:topLinePunct w:val="0"/>
        <w:bidi w:val="0"/>
        <w:spacing w:line="400" w:lineRule="exact"/>
        <w:ind w:left="0" w:leftChars="0" w:firstLine="420" w:firstLineChars="200"/>
        <w:outlineLvl w:val="9"/>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4</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保障电能计量装置的准确性已通过国家计量检测部门的检测认证，并根据国家电网规定对其进行校验并提供校验证书，由此产生的费用由</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承担。</w:t>
      </w:r>
    </w:p>
    <w:p w14:paraId="5685C501">
      <w:pPr>
        <w:pageBreakBefore w:val="0"/>
        <w:numPr>
          <w:ilvl w:val="0"/>
          <w:numId w:val="0"/>
        </w:numPr>
        <w:kinsoku/>
        <w:wordWrap/>
        <w:overflowPunct/>
        <w:topLinePunct w:val="0"/>
        <w:bidi w:val="0"/>
        <w:spacing w:line="400" w:lineRule="exact"/>
        <w:ind w:left="0" w:leftChars="0" w:firstLine="420" w:firstLineChars="200"/>
        <w:outlineLvl w:val="9"/>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5</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）电能计量装置的故障排查和定期检测，由经国家计量管理部门认可、</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双方确认的电能计量检测机构进行，</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双方共同参加。</w:t>
      </w:r>
    </w:p>
    <w:p w14:paraId="56D91164">
      <w:pPr>
        <w:pageBreakBefore w:val="0"/>
        <w:numPr>
          <w:ilvl w:val="0"/>
          <w:numId w:val="0"/>
        </w:numPr>
        <w:kinsoku/>
        <w:wordWrap/>
        <w:overflowPunct/>
        <w:topLinePunct w:val="0"/>
        <w:bidi w:val="0"/>
        <w:spacing w:line="400" w:lineRule="exact"/>
        <w:ind w:left="0" w:leftChars="0" w:firstLine="420" w:firstLineChars="200"/>
        <w:outlineLvl w:val="9"/>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6</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）任何一方可随时要求对电能计量装置进行定期检测之外的检测或测试，检测或测试由经国家计量管理部门认可、</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双方确认的电能计量检测机构进行。如果经过检测或测试发现电能计量装置误差达不到规定的精度，由此发生的费用，光伏发电电能计量装置由</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承担；如果不超差，则由提出检测或测试的一方承担。</w:t>
      </w:r>
    </w:p>
    <w:p w14:paraId="04928F3E">
      <w:pPr>
        <w:pageBreakBefore w:val="0"/>
        <w:numPr>
          <w:ilvl w:val="0"/>
          <w:numId w:val="0"/>
        </w:numPr>
        <w:kinsoku/>
        <w:wordWrap/>
        <w:overflowPunct/>
        <w:topLinePunct w:val="0"/>
        <w:bidi w:val="0"/>
        <w:spacing w:line="400" w:lineRule="exact"/>
        <w:ind w:left="0" w:leftChars="0" w:firstLine="420" w:firstLineChars="200"/>
        <w:outlineLvl w:val="9"/>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7</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）电能计量异常处理：</w:t>
      </w:r>
    </w:p>
    <w:p w14:paraId="7DB9FD2B">
      <w:pPr>
        <w:pageBreakBefore w:val="0"/>
        <w:numPr>
          <w:ilvl w:val="0"/>
          <w:numId w:val="0"/>
        </w:numPr>
        <w:kinsoku/>
        <w:wordWrap/>
        <w:overflowPunct/>
        <w:topLinePunct w:val="0"/>
        <w:bidi w:val="0"/>
        <w:spacing w:line="400" w:lineRule="exact"/>
        <w:ind w:left="0" w:leftChars="0" w:firstLine="420" w:firstLineChars="200"/>
        <w:outlineLvl w:val="9"/>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 xml:space="preserve">① </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任一方发现电能计量装置异常或出现故障而影响电能计量时，应立刻通知对方和招标人、投标人双方认可的计量检测机构</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共同排查问题</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尽快恢复正常计量。</w:t>
      </w:r>
    </w:p>
    <w:p w14:paraId="759057B7">
      <w:pPr>
        <w:pageBreakBefore w:val="0"/>
        <w:numPr>
          <w:ilvl w:val="0"/>
          <w:numId w:val="0"/>
        </w:numPr>
        <w:kinsoku/>
        <w:wordWrap/>
        <w:overflowPunct/>
        <w:topLinePunct w:val="0"/>
        <w:bidi w:val="0"/>
        <w:spacing w:line="400" w:lineRule="exact"/>
        <w:ind w:left="0" w:leftChars="0" w:firstLine="420" w:firstLineChars="200"/>
        <w:outlineLvl w:val="9"/>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② 招标人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投标人</w:t>
      </w:r>
      <w:r>
        <w:rPr>
          <w:rFonts w:hint="default" w:ascii="Times New Roman" w:hAnsi="Times New Roman" w:eastAsia="宋体" w:cs="Times New Roman"/>
          <w:b w:val="0"/>
          <w:color w:val="000000" w:themeColor="text1"/>
          <w:kern w:val="2"/>
          <w:sz w:val="21"/>
          <w:szCs w:val="21"/>
          <w:highlight w:val="none"/>
          <w:lang w:val="en-US" w:eastAsia="zh-CN"/>
          <w14:textFill>
            <w14:solidFill>
              <w14:schemeClr w14:val="tx1"/>
            </w14:solidFill>
          </w14:textFill>
        </w:rPr>
        <w:t>双方在充分协商的基础上，可根据光伏逆变器发电量等设备提供的信息，确认异常期内的电量。</w:t>
      </w:r>
    </w:p>
    <w:p w14:paraId="2510BEE3">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kern w:val="0"/>
          <w:sz w:val="21"/>
          <w:szCs w:val="21"/>
          <w:highlight w:val="none"/>
          <w14:textFill>
            <w14:solidFill>
              <w14:schemeClr w14:val="tx1"/>
            </w14:solidFill>
          </w14:textFill>
        </w:rPr>
      </w:pPr>
      <w:bookmarkStart w:id="439" w:name="_Toc10949"/>
      <w:r>
        <w:rPr>
          <w:rFonts w:hint="eastAsia"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t xml:space="preserve">2 </w:t>
      </w: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支付方式</w:t>
      </w:r>
      <w:bookmarkEnd w:id="439"/>
    </w:p>
    <w:p w14:paraId="57B9523C">
      <w:pPr>
        <w:pageBreakBefore w:val="0"/>
        <w:numPr>
          <w:ilvl w:val="-1"/>
          <w:numId w:val="0"/>
        </w:numPr>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（1）本项目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采用固定</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购电</w:t>
      </w:r>
      <w:r>
        <w:rPr>
          <w:rFonts w:hint="default" w:ascii="Times New Roman" w:hAnsi="Times New Roman" w:eastAsia="宋体" w:cs="Times New Roman"/>
          <w:color w:val="000000" w:themeColor="text1"/>
          <w:sz w:val="21"/>
          <w:szCs w:val="21"/>
          <w:highlight w:val="none"/>
          <w14:textFill>
            <w14:solidFill>
              <w14:schemeClr w14:val="tx1"/>
            </w14:solidFill>
          </w14:textFill>
        </w:rPr>
        <w:t>单价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计算方式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最终结算</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电费</w:t>
      </w:r>
      <w:r>
        <w:rPr>
          <w:rFonts w:hint="default" w:ascii="Times New Roman" w:hAnsi="Times New Roman" w:eastAsia="宋体" w:cs="Times New Roman"/>
          <w:color w:val="000000" w:themeColor="text1"/>
          <w:sz w:val="21"/>
          <w:szCs w:val="21"/>
          <w:highlight w:val="none"/>
          <w14:textFill>
            <w14:solidFill>
              <w14:schemeClr w14:val="tx1"/>
            </w14:solidFill>
          </w14:textFill>
        </w:rPr>
        <w:t>根据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当月实际用电量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中标人和招标人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双方核定</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结算费用（不含销项税额）=中标综合单价（不含销项税额）×上月实际用电量，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包含</w:t>
      </w:r>
      <w:r>
        <w:rPr>
          <w:rFonts w:hint="eastAsia" w:ascii="Times New Roman" w:hAnsi="Times New Roman" w:eastAsia="宋体" w:cs="Times New Roman"/>
          <w:color w:val="000000" w:themeColor="text1"/>
          <w:sz w:val="21"/>
          <w:szCs w:val="21"/>
          <w:highlight w:val="none"/>
          <w:lang w:eastAsia="zh-CN" w:bidi="en-US"/>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全额出资建设项目</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涉及的</w:t>
      </w:r>
      <w:r>
        <w:rPr>
          <w:rFonts w:hint="default" w:ascii="Times New Roman" w:hAnsi="Times New Roman" w:eastAsia="宋体" w:cs="Times New Roman"/>
          <w:color w:val="000000" w:themeColor="text1"/>
          <w:sz w:val="21"/>
          <w:szCs w:val="21"/>
          <w:highlight w:val="none"/>
          <w:lang w:val="en-US" w:eastAsia="zh-CN" w:bidi="en-US"/>
          <w14:textFill>
            <w14:solidFill>
              <w14:schemeClr w14:val="tx1"/>
            </w14:solidFill>
          </w14:textFill>
        </w:rPr>
        <w:t>项目前期手续办理、现场勘测、建筑物承载力检测、光伏发电系统设备、配套设施、工程设计、供配电设备安装、通信调度、调试、运行、维护</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间接费、利润、风险</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及</w:t>
      </w:r>
      <w:r>
        <w:rPr>
          <w:rFonts w:hint="default" w:ascii="Times New Roman" w:hAnsi="Times New Roman" w:eastAsia="宋体" w:cs="Times New Roman"/>
          <w:color w:val="000000" w:themeColor="text1"/>
          <w:sz w:val="21"/>
          <w:szCs w:val="21"/>
          <w:highlight w:val="none"/>
          <w14:textFill>
            <w14:solidFill>
              <w14:schemeClr w14:val="tx1"/>
            </w14:solidFill>
          </w14:textFill>
        </w:rPr>
        <w:t>所有不可预见费等以及政府相关部门规定</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缴纳的各种费用。合同签订之日起不因市场行情变化等任何原因而调整综合单价。</w:t>
      </w:r>
    </w:p>
    <w:p w14:paraId="69E731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eastAsia="zh-CN"/>
          <w14:textFill>
            <w14:solidFill>
              <w14:schemeClr w14:val="tx1"/>
            </w14:solidFill>
          </w14:textFill>
        </w:rPr>
        <w:t>提供的符合要求的发票进行审核并核定实际用电量后，确定实际应付的电费及对应的销项税额，由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eastAsia="zh-CN"/>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提交请款报告并根据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需求，开具合法等额的增值税专用发票，</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在收到请款报告及发票后次月15日</w:t>
      </w:r>
      <w:r>
        <w:rPr>
          <w:rFonts w:hint="eastAsia" w:ascii="宋体" w:hAnsi="宋体" w:eastAsia="宋体" w:cs="宋体"/>
          <w:color w:val="000000" w:themeColor="text1"/>
          <w:sz w:val="21"/>
          <w:szCs w:val="21"/>
          <w:highlight w:val="none"/>
          <w:lang w:val="en-US" w:eastAsia="zh-CN"/>
          <w14:textFill>
            <w14:solidFill>
              <w14:schemeClr w14:val="tx1"/>
            </w14:solidFill>
          </w14:textFill>
        </w:rPr>
        <w:t>前</w:t>
      </w:r>
      <w:r>
        <w:rPr>
          <w:rFonts w:hint="eastAsia" w:ascii="宋体" w:hAnsi="宋体" w:eastAsia="宋体" w:cs="宋体"/>
          <w:color w:val="000000" w:themeColor="text1"/>
          <w:sz w:val="21"/>
          <w:szCs w:val="21"/>
          <w:highlight w:val="none"/>
          <w:lang w:eastAsia="zh-CN"/>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eastAsia="zh-CN"/>
          <w14:textFill>
            <w14:solidFill>
              <w14:schemeClr w14:val="tx1"/>
            </w14:solidFill>
          </w14:textFill>
        </w:rPr>
        <w:t>方支付实际应付的电费及对应的销项税额。</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eastAsia="zh-CN"/>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开具的增值税专用发票，保证真实合法有效，否则，</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有权拒绝付款，付款期限相应顺延。由于</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eastAsia="zh-CN"/>
          <w14:textFill>
            <w14:solidFill>
              <w14:schemeClr w14:val="tx1"/>
            </w14:solidFill>
          </w14:textFill>
        </w:rPr>
        <w:t>提供的发票不符合税法规定，给</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造成的损失由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eastAsia="zh-CN"/>
          <w14:textFill>
            <w14:solidFill>
              <w14:schemeClr w14:val="tx1"/>
            </w14:solidFill>
          </w14:textFill>
        </w:rPr>
        <w:t>承担赔偿责任。</w:t>
      </w:r>
    </w:p>
    <w:p w14:paraId="621734E9">
      <w:pPr>
        <w:pageBreakBefore w:val="0"/>
        <w:numPr>
          <w:ilvl w:val="-1"/>
          <w:numId w:val="0"/>
        </w:numPr>
        <w:kinsoku/>
        <w:wordWrap/>
        <w:overflowPunct/>
        <w:topLinePunct w:val="0"/>
        <w:bidi w:val="0"/>
        <w:spacing w:line="400" w:lineRule="exact"/>
        <w:ind w:left="0" w:leftChars="0" w:right="35"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）招标人通过银行转账或银行承兑汇票方式支付相应款项至本合同中载明的中标人银行账户中，汇票期限不超过三个月，每期款项支付方式由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决定。</w:t>
      </w:r>
    </w:p>
    <w:p w14:paraId="5ADE99F4">
      <w:pPr>
        <w:pageBreakBefore w:val="0"/>
        <w:numPr>
          <w:ilvl w:val="255"/>
          <w:numId w:val="0"/>
        </w:numPr>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本项目服务</w:t>
      </w:r>
      <w:r>
        <w:rPr>
          <w:rFonts w:hint="default" w:ascii="Times New Roman" w:hAnsi="Times New Roman" w:eastAsia="宋体" w:cs="Times New Roman"/>
          <w:color w:val="000000" w:themeColor="text1"/>
          <w:sz w:val="21"/>
          <w:szCs w:val="21"/>
          <w:highlight w:val="none"/>
          <w14:textFill>
            <w14:solidFill>
              <w14:schemeClr w14:val="tx1"/>
            </w14:solidFill>
          </w14:textFill>
        </w:rPr>
        <w:t>支付实行考核制，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应确保所辖目标项目现场运行维护工作顺利进行。发电量考核数据（即年发电保底电量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详见下表</w:t>
      </w:r>
      <w:r>
        <w:rPr>
          <w:rFonts w:hint="default" w:ascii="Times New Roman" w:hAnsi="Times New Roman" w:eastAsia="宋体" w:cs="Times New Roman"/>
          <w:color w:val="000000" w:themeColor="text1"/>
          <w:sz w:val="21"/>
          <w:szCs w:val="21"/>
          <w:highlight w:val="none"/>
          <w14:textFill>
            <w14:solidFill>
              <w14:schemeClr w14:val="tx1"/>
            </w14:solidFill>
          </w14:textFill>
        </w:rPr>
        <w:t>）按月统计、确认，以一年为周期考核</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考核期限为光伏发电项目并网验收通过后连续三年运营期。</w:t>
      </w:r>
    </w:p>
    <w:p w14:paraId="753D941F">
      <w:pPr>
        <w:pageBreakBefore w:val="0"/>
        <w:kinsoku/>
        <w:wordWrap/>
        <w:overflowPunct/>
        <w:topLinePunct w:val="0"/>
        <w:bidi w:val="0"/>
        <w:spacing w:line="400" w:lineRule="exact"/>
        <w:ind w:left="0" w:leftChars="0" w:firstLine="422" w:firstLineChars="200"/>
        <w:outlineLvl w:val="1"/>
        <w:rPr>
          <w:rFonts w:ascii="Times New Roman" w:hAnsi="Times New Roman" w:eastAsia="宋体" w:cs="Times New Roman"/>
          <w:b/>
          <w:color w:val="000000" w:themeColor="text1"/>
          <w:kern w:val="0"/>
          <w:sz w:val="21"/>
          <w:szCs w:val="21"/>
          <w:highlight w:val="none"/>
          <w14:textFill>
            <w14:solidFill>
              <w14:schemeClr w14:val="tx1"/>
            </w14:solidFill>
          </w14:textFill>
        </w:rPr>
      </w:pPr>
      <w:bookmarkStart w:id="440" w:name="_Toc5036"/>
      <w:r>
        <w:rPr>
          <w:rFonts w:hint="eastAsia"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t>考核</w:t>
      </w: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方式</w:t>
      </w:r>
      <w:bookmarkEnd w:id="440"/>
    </w:p>
    <w:p w14:paraId="32F090C7">
      <w:pPr>
        <w:pageBreakBefore w:val="0"/>
        <w:numPr>
          <w:ilvl w:val="255"/>
          <w:numId w:val="0"/>
        </w:numPr>
        <w:kinsoku/>
        <w:wordWrap/>
        <w:overflowPunct/>
        <w:topLinePunct w:val="0"/>
        <w:bidi w:val="0"/>
        <w:spacing w:line="400" w:lineRule="exact"/>
        <w:ind w:left="0" w:leftChars="0"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因</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招标人</w:t>
      </w:r>
      <w:r>
        <w:rPr>
          <w:rFonts w:hint="default" w:ascii="Times New Roman" w:hAnsi="Times New Roman" w:eastAsia="宋体" w:cs="Times New Roman"/>
          <w:color w:val="000000" w:themeColor="text1"/>
          <w:sz w:val="21"/>
          <w:szCs w:val="21"/>
          <w:highlight w:val="none"/>
          <w14:textFill>
            <w14:solidFill>
              <w14:schemeClr w14:val="tx1"/>
            </w14:solidFill>
          </w14:textFill>
        </w:rPr>
        <w:t>因素计划停电/检修产生的电量损失、双方认定的不可抗力影响的发电量损失等不在考核范围内，属于免考核发电量。</w:t>
      </w:r>
    </w:p>
    <w:p w14:paraId="31970B60">
      <w:pPr>
        <w:pageBreakBefore w:val="0"/>
        <w:numPr>
          <w:ilvl w:val="255"/>
          <w:numId w:val="0"/>
        </w:numPr>
        <w:kinsoku/>
        <w:wordWrap/>
        <w:overflowPunct/>
        <w:topLinePunct w:val="0"/>
        <w:bidi w:val="0"/>
        <w:spacing w:line="400" w:lineRule="exact"/>
        <w:ind w:left="0" w:leftChars="0" w:firstLine="420" w:firstLineChars="200"/>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（2）当光伏电站由于中标人自身原因未达到相应年限</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考核</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发电量时，向招标人补足本应发电量的差额部分，即差额电费（元）=（</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考核</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发电量</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-实际发电量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kWh</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招标人电网购电年平均电价-</w:t>
      </w:r>
      <w:r>
        <w:rPr>
          <w:rFonts w:hint="eastAsia" w:ascii="宋体" w:hAnsi="宋体" w:eastAsia="宋体" w:cs="宋体"/>
          <w:color w:val="000000" w:themeColor="text1"/>
          <w:sz w:val="21"/>
          <w:szCs w:val="21"/>
          <w:highlight w:val="none"/>
          <w:lang w:eastAsia="zh-CN"/>
          <w14:textFill>
            <w14:solidFill>
              <w14:schemeClr w14:val="tx1"/>
            </w14:solidFill>
          </w14:textFill>
        </w:rPr>
        <w:t>中标综合单价）</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（元/kW</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h</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差额电费在次年招标人支付中标人的购电费用中扣减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3FFA4BBA">
      <w:pPr>
        <w:pageBreakBefore w:val="0"/>
        <w:numPr>
          <w:ilvl w:val="255"/>
          <w:numId w:val="0"/>
        </w:numPr>
        <w:kinsoku/>
        <w:wordWrap/>
        <w:overflowPunct/>
        <w:topLinePunct w:val="0"/>
        <w:bidi w:val="0"/>
        <w:spacing w:line="400" w:lineRule="exact"/>
        <w:ind w:left="0" w:leftChars="0"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当光伏电站</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等于或</w:t>
      </w:r>
      <w:r>
        <w:rPr>
          <w:rFonts w:hint="default" w:ascii="Times New Roman" w:hAnsi="Times New Roman" w:eastAsia="宋体" w:cs="Times New Roman"/>
          <w:color w:val="000000" w:themeColor="text1"/>
          <w:sz w:val="21"/>
          <w:szCs w:val="21"/>
          <w:highlight w:val="none"/>
          <w14:textFill>
            <w14:solidFill>
              <w14:schemeClr w14:val="tx1"/>
            </w14:solidFill>
          </w14:textFill>
        </w:rPr>
        <w:t>超过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相应年限</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考核</w:t>
      </w:r>
      <w:r>
        <w:rPr>
          <w:rFonts w:hint="default" w:ascii="Times New Roman" w:hAnsi="Times New Roman" w:eastAsia="宋体" w:cs="Times New Roman"/>
          <w:color w:val="000000" w:themeColor="text1"/>
          <w:sz w:val="21"/>
          <w:szCs w:val="21"/>
          <w:highlight w:val="none"/>
          <w14:textFill>
            <w14:solidFill>
              <w14:schemeClr w14:val="tx1"/>
            </w14:solidFill>
          </w14:textFill>
        </w:rPr>
        <w:t>发电量时，</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不予奖励</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6C2D8702">
      <w:pPr>
        <w:pageBreakBefore w:val="0"/>
        <w:numPr>
          <w:ilvl w:val="255"/>
          <w:numId w:val="0"/>
        </w:numPr>
        <w:kinsoku/>
        <w:wordWrap/>
        <w:overflowPunct/>
        <w:topLinePunct w:val="0"/>
        <w:bidi w:val="0"/>
        <w:spacing w:line="400" w:lineRule="exact"/>
        <w:ind w:left="0" w:leftChars="0" w:firstLine="422" w:firstLineChars="200"/>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p>
    <w:p w14:paraId="204A15F3">
      <w:pPr>
        <w:pageBreakBefore w:val="0"/>
        <w:numPr>
          <w:ilvl w:val="255"/>
          <w:numId w:val="0"/>
        </w:numPr>
        <w:kinsoku/>
        <w:wordWrap/>
        <w:overflowPunct/>
        <w:topLinePunct w:val="0"/>
        <w:bidi w:val="0"/>
        <w:spacing w:line="400" w:lineRule="exact"/>
        <w:ind w:left="0" w:leftChars="0" w:firstLine="422" w:firstLineChars="20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污水处理厂光伏发电项目</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运营期</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考核发电量</w:t>
      </w:r>
    </w:p>
    <w:tbl>
      <w:tblPr>
        <w:tblStyle w:val="37"/>
        <w:tblW w:w="8520" w:type="dxa"/>
        <w:jc w:val="center"/>
        <w:tblLayout w:type="fixed"/>
        <w:tblCellMar>
          <w:top w:w="0" w:type="dxa"/>
          <w:left w:w="108" w:type="dxa"/>
          <w:bottom w:w="0" w:type="dxa"/>
          <w:right w:w="108" w:type="dxa"/>
        </w:tblCellMar>
      </w:tblPr>
      <w:tblGrid>
        <w:gridCol w:w="1830"/>
        <w:gridCol w:w="3203"/>
        <w:gridCol w:w="3487"/>
      </w:tblGrid>
      <w:tr w14:paraId="4953EE05">
        <w:tblPrEx>
          <w:tblCellMar>
            <w:top w:w="0" w:type="dxa"/>
            <w:left w:w="108" w:type="dxa"/>
            <w:bottom w:w="0" w:type="dxa"/>
            <w:right w:w="108" w:type="dxa"/>
          </w:tblCellMar>
        </w:tblPrEx>
        <w:trPr>
          <w:trHeight w:val="330"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A7005">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项目名称</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AFFBA">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东城温塘污水处理厂一期工程</w:t>
            </w:r>
          </w:p>
        </w:tc>
        <w:tc>
          <w:tcPr>
            <w:tcW w:w="3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A4C7D">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firstLine="0" w:firstLineChars="0"/>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虎门</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宁洲</w:t>
            </w:r>
            <w:r>
              <w:rPr>
                <w:rFonts w:hint="default" w:ascii="Times New Roman" w:hAnsi="Times New Roman" w:eastAsia="宋体" w:cs="Times New Roman"/>
                <w:color w:val="000000" w:themeColor="text1"/>
                <w:sz w:val="21"/>
                <w:szCs w:val="21"/>
                <w:highlight w:val="none"/>
                <w14:textFill>
                  <w14:solidFill>
                    <w14:schemeClr w14:val="tx1"/>
                  </w14:solidFill>
                </w14:textFill>
              </w:rPr>
              <w:t>污水处理厂</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二期及一期提标工程</w:t>
            </w:r>
          </w:p>
        </w:tc>
      </w:tr>
      <w:tr w14:paraId="6DA07BB0">
        <w:tblPrEx>
          <w:tblCellMar>
            <w:top w:w="0" w:type="dxa"/>
            <w:left w:w="108" w:type="dxa"/>
            <w:bottom w:w="0" w:type="dxa"/>
            <w:right w:w="108" w:type="dxa"/>
          </w:tblCellMar>
        </w:tblPrEx>
        <w:trPr>
          <w:trHeight w:val="538"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346F1">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运维年限</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58D2F">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考核</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发电量</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万千瓦时</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p>
        </w:tc>
        <w:tc>
          <w:tcPr>
            <w:tcW w:w="3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E5B87">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firstLine="0" w:firstLineChars="0"/>
              <w:jc w:val="cente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考核</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发电量</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万千瓦时</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p>
        </w:tc>
      </w:tr>
      <w:tr w14:paraId="1EAE8E05">
        <w:tblPrEx>
          <w:tblCellMar>
            <w:top w:w="0" w:type="dxa"/>
            <w:left w:w="108" w:type="dxa"/>
            <w:bottom w:w="0" w:type="dxa"/>
            <w:right w:w="108" w:type="dxa"/>
          </w:tblCellMar>
        </w:tblPrEx>
        <w:trPr>
          <w:trHeight w:val="388"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8EE5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宋体" w:hAnsi="Times New Roman" w:eastAsia="宋体" w:cs="宋体"/>
                <w:color w:val="000000" w:themeColor="text1"/>
                <w:kern w:val="0"/>
                <w:szCs w:val="24"/>
                <w:highlight w:val="none"/>
                <w14:textFill>
                  <w14:solidFill>
                    <w14:schemeClr w14:val="tx1"/>
                  </w14:solidFill>
                </w14:textFill>
              </w:rPr>
              <w:t>第</w:t>
            </w:r>
            <w:r>
              <w:rPr>
                <w:rFonts w:hint="default" w:ascii="Times New Roman" w:hAnsi="Times New Roman" w:eastAsia="宋体" w:cs="Times New Roman"/>
                <w:color w:val="000000" w:themeColor="text1"/>
                <w:kern w:val="0"/>
                <w:szCs w:val="24"/>
                <w:highlight w:val="none"/>
                <w14:textFill>
                  <w14:solidFill>
                    <w14:schemeClr w14:val="tx1"/>
                  </w14:solidFill>
                </w14:textFill>
              </w:rPr>
              <w:t>1</w:t>
            </w:r>
            <w:r>
              <w:rPr>
                <w:rFonts w:hint="eastAsia" w:ascii="宋体" w:hAnsi="Times New Roman" w:eastAsia="宋体" w:cs="宋体"/>
                <w:color w:val="000000" w:themeColor="text1"/>
                <w:kern w:val="0"/>
                <w:szCs w:val="24"/>
                <w:highlight w:val="none"/>
                <w14:textFill>
                  <w14:solidFill>
                    <w14:schemeClr w14:val="tx1"/>
                  </w14:solidFill>
                </w14:textFill>
              </w:rPr>
              <w:t>年建设期</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C2CEC">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Cs w:val="24"/>
                <w:highlight w:val="none"/>
                <w14:textFill>
                  <w14:solidFill>
                    <w14:schemeClr w14:val="tx1"/>
                  </w14:solidFill>
                </w14:textFill>
              </w:rPr>
            </w:pPr>
          </w:p>
          <w:p w14:paraId="5FDB48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4"/>
                <w:highlight w:val="none"/>
                <w14:textFill>
                  <w14:solidFill>
                    <w14:schemeClr w14:val="tx1"/>
                  </w14:solidFill>
                </w14:textFill>
              </w:rPr>
              <w:t>/</w:t>
            </w:r>
          </w:p>
        </w:tc>
        <w:tc>
          <w:tcPr>
            <w:tcW w:w="3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88004">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4"/>
                <w:highlight w:val="none"/>
                <w14:textFill>
                  <w14:solidFill>
                    <w14:schemeClr w14:val="tx1"/>
                  </w14:solidFill>
                </w14:textFill>
              </w:rPr>
              <w:t>/</w:t>
            </w:r>
          </w:p>
        </w:tc>
      </w:tr>
      <w:tr w14:paraId="6F76FC5D">
        <w:tblPrEx>
          <w:tblCellMar>
            <w:top w:w="0" w:type="dxa"/>
            <w:left w:w="108" w:type="dxa"/>
            <w:bottom w:w="0" w:type="dxa"/>
            <w:right w:w="108" w:type="dxa"/>
          </w:tblCellMar>
        </w:tblPrEx>
        <w:trPr>
          <w:trHeight w:val="330"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504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宋体" w:hAnsi="Times New Roman" w:eastAsia="宋体" w:cs="宋体"/>
                <w:color w:val="000000" w:themeColor="text1"/>
                <w:kern w:val="0"/>
                <w:szCs w:val="24"/>
                <w:highlight w:val="none"/>
                <w14:textFill>
                  <w14:solidFill>
                    <w14:schemeClr w14:val="tx1"/>
                  </w14:solidFill>
                </w14:textFill>
              </w:rPr>
              <w:t>第</w:t>
            </w:r>
            <w:r>
              <w:rPr>
                <w:rFonts w:hint="default" w:ascii="Times New Roman" w:hAnsi="Times New Roman" w:eastAsia="宋体" w:cs="Times New Roman"/>
                <w:color w:val="000000" w:themeColor="text1"/>
                <w:kern w:val="0"/>
                <w:szCs w:val="24"/>
                <w:highlight w:val="none"/>
                <w14:textFill>
                  <w14:solidFill>
                    <w14:schemeClr w14:val="tx1"/>
                  </w14:solidFill>
                </w14:textFill>
              </w:rPr>
              <w:t>2</w:t>
            </w:r>
            <w:r>
              <w:rPr>
                <w:rFonts w:hint="eastAsia" w:ascii="宋体" w:hAnsi="Times New Roman" w:eastAsia="宋体" w:cs="宋体"/>
                <w:color w:val="000000" w:themeColor="text1"/>
                <w:kern w:val="0"/>
                <w:szCs w:val="24"/>
                <w:highlight w:val="none"/>
                <w14:textFill>
                  <w14:solidFill>
                    <w14:schemeClr w14:val="tx1"/>
                  </w14:solidFill>
                </w14:textFill>
              </w:rPr>
              <w:t>年</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F940B">
            <w:pPr>
              <w:keepNext w:val="0"/>
              <w:keepLines w:val="0"/>
              <w:widowControl/>
              <w:suppressLineNumbers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4"/>
                <w:highlight w:val="none"/>
                <w:u w:val="none"/>
                <w:lang w:val="en-US" w:eastAsia="zh-CN" w:bidi="ar"/>
                <w14:textFill>
                  <w14:solidFill>
                    <w14:schemeClr w14:val="tx1"/>
                  </w14:solidFill>
                </w14:textFill>
              </w:rPr>
              <w:t xml:space="preserve">126.52 </w:t>
            </w:r>
          </w:p>
        </w:tc>
        <w:tc>
          <w:tcPr>
            <w:tcW w:w="3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EBC8A">
            <w:pPr>
              <w:keepNext w:val="0"/>
              <w:keepLines w:val="0"/>
              <w:widowControl/>
              <w:suppressLineNumbers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4"/>
                <w:highlight w:val="none"/>
                <w:u w:val="none"/>
                <w:lang w:val="en-US" w:eastAsia="zh-CN" w:bidi="ar"/>
                <w14:textFill>
                  <w14:solidFill>
                    <w14:schemeClr w14:val="tx1"/>
                  </w14:solidFill>
                </w14:textFill>
              </w:rPr>
              <w:t xml:space="preserve">357.90 </w:t>
            </w:r>
          </w:p>
        </w:tc>
      </w:tr>
      <w:tr w14:paraId="02722B05">
        <w:tblPrEx>
          <w:tblCellMar>
            <w:top w:w="0" w:type="dxa"/>
            <w:left w:w="108" w:type="dxa"/>
            <w:bottom w:w="0" w:type="dxa"/>
            <w:right w:w="108" w:type="dxa"/>
          </w:tblCellMar>
        </w:tblPrEx>
        <w:trPr>
          <w:trHeight w:val="330"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A27E0">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宋体" w:hAnsi="Times New Roman" w:eastAsia="宋体" w:cs="宋体"/>
                <w:color w:val="000000" w:themeColor="text1"/>
                <w:kern w:val="0"/>
                <w:szCs w:val="24"/>
                <w:highlight w:val="none"/>
                <w14:textFill>
                  <w14:solidFill>
                    <w14:schemeClr w14:val="tx1"/>
                  </w14:solidFill>
                </w14:textFill>
              </w:rPr>
              <w:t>第</w:t>
            </w:r>
            <w:r>
              <w:rPr>
                <w:rFonts w:hint="default" w:ascii="Times New Roman" w:hAnsi="Times New Roman" w:eastAsia="宋体" w:cs="Times New Roman"/>
                <w:color w:val="000000" w:themeColor="text1"/>
                <w:kern w:val="0"/>
                <w:szCs w:val="24"/>
                <w:highlight w:val="none"/>
                <w14:textFill>
                  <w14:solidFill>
                    <w14:schemeClr w14:val="tx1"/>
                  </w14:solidFill>
                </w14:textFill>
              </w:rPr>
              <w:t>3</w:t>
            </w:r>
            <w:r>
              <w:rPr>
                <w:rFonts w:hint="eastAsia" w:ascii="宋体" w:hAnsi="Times New Roman" w:eastAsia="宋体" w:cs="宋体"/>
                <w:color w:val="000000" w:themeColor="text1"/>
                <w:kern w:val="0"/>
                <w:szCs w:val="24"/>
                <w:highlight w:val="none"/>
                <w14:textFill>
                  <w14:solidFill>
                    <w14:schemeClr w14:val="tx1"/>
                  </w14:solidFill>
                </w14:textFill>
              </w:rPr>
              <w:t>年</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C464E">
            <w:pPr>
              <w:keepNext w:val="0"/>
              <w:keepLines w:val="0"/>
              <w:widowControl/>
              <w:suppressLineNumbers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4"/>
                <w:highlight w:val="none"/>
                <w:u w:val="none"/>
                <w:lang w:val="en-US" w:eastAsia="zh-CN" w:bidi="ar"/>
                <w14:textFill>
                  <w14:solidFill>
                    <w14:schemeClr w14:val="tx1"/>
                  </w14:solidFill>
                </w14:textFill>
              </w:rPr>
              <w:t xml:space="preserve">125.95 </w:t>
            </w:r>
          </w:p>
        </w:tc>
        <w:tc>
          <w:tcPr>
            <w:tcW w:w="3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A623E">
            <w:pPr>
              <w:keepNext w:val="0"/>
              <w:keepLines w:val="0"/>
              <w:widowControl/>
              <w:suppressLineNumbers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4"/>
                <w:highlight w:val="none"/>
                <w:u w:val="none"/>
                <w:lang w:val="en-US" w:eastAsia="zh-CN" w:bidi="ar"/>
                <w14:textFill>
                  <w14:solidFill>
                    <w14:schemeClr w14:val="tx1"/>
                  </w14:solidFill>
                </w14:textFill>
              </w:rPr>
              <w:t xml:space="preserve">356.27 </w:t>
            </w:r>
          </w:p>
        </w:tc>
      </w:tr>
      <w:tr w14:paraId="572F3D86">
        <w:tblPrEx>
          <w:tblCellMar>
            <w:top w:w="0" w:type="dxa"/>
            <w:left w:w="108" w:type="dxa"/>
            <w:bottom w:w="0" w:type="dxa"/>
            <w:right w:w="108" w:type="dxa"/>
          </w:tblCellMar>
        </w:tblPrEx>
        <w:trPr>
          <w:trHeight w:val="330"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CACA2">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宋体" w:hAnsi="Times New Roman" w:eastAsia="宋体" w:cs="宋体"/>
                <w:color w:val="000000" w:themeColor="text1"/>
                <w:kern w:val="0"/>
                <w:szCs w:val="24"/>
                <w:highlight w:val="none"/>
                <w14:textFill>
                  <w14:solidFill>
                    <w14:schemeClr w14:val="tx1"/>
                  </w14:solidFill>
                </w14:textFill>
              </w:rPr>
              <w:t>第</w:t>
            </w:r>
            <w:r>
              <w:rPr>
                <w:rFonts w:hint="default" w:ascii="Times New Roman" w:hAnsi="Times New Roman" w:eastAsia="宋体" w:cs="Times New Roman"/>
                <w:color w:val="000000" w:themeColor="text1"/>
                <w:kern w:val="0"/>
                <w:szCs w:val="24"/>
                <w:highlight w:val="none"/>
                <w14:textFill>
                  <w14:solidFill>
                    <w14:schemeClr w14:val="tx1"/>
                  </w14:solidFill>
                </w14:textFill>
              </w:rPr>
              <w:t>4</w:t>
            </w:r>
            <w:r>
              <w:rPr>
                <w:rFonts w:hint="eastAsia" w:ascii="宋体" w:hAnsi="Times New Roman" w:eastAsia="宋体" w:cs="宋体"/>
                <w:color w:val="000000" w:themeColor="text1"/>
                <w:kern w:val="0"/>
                <w:szCs w:val="24"/>
                <w:highlight w:val="none"/>
                <w14:textFill>
                  <w14:solidFill>
                    <w14:schemeClr w14:val="tx1"/>
                  </w14:solidFill>
                </w14:textFill>
              </w:rPr>
              <w:t>年</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08F4C">
            <w:pPr>
              <w:keepNext w:val="0"/>
              <w:keepLines w:val="0"/>
              <w:widowControl/>
              <w:suppressLineNumbers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4"/>
                <w:highlight w:val="none"/>
                <w:u w:val="none"/>
                <w:lang w:val="en-US" w:eastAsia="zh-CN" w:bidi="ar"/>
                <w14:textFill>
                  <w14:solidFill>
                    <w14:schemeClr w14:val="tx1"/>
                  </w14:solidFill>
                </w14:textFill>
              </w:rPr>
              <w:t xml:space="preserve">125.36 </w:t>
            </w:r>
          </w:p>
        </w:tc>
        <w:tc>
          <w:tcPr>
            <w:tcW w:w="3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7680B">
            <w:pPr>
              <w:keepNext w:val="0"/>
              <w:keepLines w:val="0"/>
              <w:widowControl/>
              <w:suppressLineNumbers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4"/>
                <w:highlight w:val="none"/>
                <w:u w:val="none"/>
                <w:lang w:val="en-US" w:eastAsia="zh-CN" w:bidi="ar"/>
                <w14:textFill>
                  <w14:solidFill>
                    <w14:schemeClr w14:val="tx1"/>
                  </w14:solidFill>
                </w14:textFill>
              </w:rPr>
              <w:t xml:space="preserve">354.64 </w:t>
            </w:r>
          </w:p>
        </w:tc>
      </w:tr>
    </w:tbl>
    <w:p w14:paraId="35F45DCC">
      <w:pPr>
        <w:pageBreakBefore w:val="0"/>
        <w:numPr>
          <w:ilvl w:val="255"/>
          <w:numId w:val="0"/>
        </w:numPr>
        <w:kinsoku/>
        <w:wordWrap/>
        <w:overflowPunct/>
        <w:topLinePunct w:val="0"/>
        <w:bidi w:val="0"/>
        <w:spacing w:line="400" w:lineRule="exact"/>
        <w:ind w:left="0" w:leftChars="0" w:firstLine="420" w:firstLineChars="20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40CE3422">
      <w:pPr>
        <w:widowControl/>
        <w:snapToGrid w:val="0"/>
        <w:spacing w:line="360" w:lineRule="auto"/>
        <w:outlineLvl w:val="9"/>
        <w:rPr>
          <w:rFonts w:hint="eastAsia"/>
          <w:color w:val="000000" w:themeColor="text1"/>
          <w:highlight w:val="none"/>
          <w14:textFill>
            <w14:solidFill>
              <w14:schemeClr w14:val="tx1"/>
            </w14:solidFill>
          </w14:textFill>
        </w:rPr>
      </w:pPr>
    </w:p>
    <w:p w14:paraId="1ECC1EE2">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000000" w:themeColor="text1"/>
          <w:kern w:val="44"/>
          <w:sz w:val="32"/>
          <w:szCs w:val="32"/>
          <w:highlight w:val="none"/>
          <w:lang w:val="zh-CN"/>
          <w14:textFill>
            <w14:solidFill>
              <w14:schemeClr w14:val="tx1"/>
            </w14:solidFill>
          </w14:textFill>
        </w:rPr>
      </w:pPr>
      <w:bookmarkStart w:id="441" w:name="_Toc6065"/>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 合同条款格式</w:t>
      </w:r>
      <w:bookmarkEnd w:id="441"/>
    </w:p>
    <w:p w14:paraId="54278492">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bidi="ar"/>
          <w14:textFill>
            <w14:solidFill>
              <w14:schemeClr w14:val="tx1"/>
            </w14:solidFill>
          </w14:textFill>
        </w:rPr>
        <w:t xml:space="preserve"> </w:t>
      </w:r>
    </w:p>
    <w:p w14:paraId="44A9E727">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bidi="ar"/>
          <w14:textFill>
            <w14:solidFill>
              <w14:schemeClr w14:val="tx1"/>
            </w14:solidFill>
          </w14:textFill>
        </w:rPr>
        <w:t xml:space="preserve"> </w:t>
      </w:r>
    </w:p>
    <w:p w14:paraId="59A377B1">
      <w:pPr>
        <w:autoSpaceDE w:val="0"/>
        <w:autoSpaceDN w:val="0"/>
        <w:adjustRightInd w:val="0"/>
        <w:spacing w:line="360" w:lineRule="auto"/>
        <w:jc w:val="center"/>
        <w:rPr>
          <w:rFonts w:ascii="宋体" w:hAnsi="宋体" w:eastAsia="宋体" w:cs="Times New Roman"/>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lang w:bidi="ar"/>
          <w14:textFill>
            <w14:solidFill>
              <w14:schemeClr w14:val="tx1"/>
            </w14:solidFill>
          </w14:textFill>
        </w:rPr>
        <w:t>东莞市石鼓净水有限公司污水处理厂分布式光伏发电项目</w:t>
      </w:r>
    </w:p>
    <w:p w14:paraId="6080274E">
      <w:pPr>
        <w:autoSpaceDE w:val="0"/>
        <w:autoSpaceDN w:val="0"/>
        <w:adjustRightInd w:val="0"/>
        <w:spacing w:line="360" w:lineRule="auto"/>
        <w:jc w:val="center"/>
        <w:rPr>
          <w:rFonts w:ascii="宋体" w:hAnsi="宋体" w:eastAsia="宋体" w:cs="Times New Roman"/>
          <w:bCs/>
          <w:color w:val="000000" w:themeColor="text1"/>
          <w:kern w:val="0"/>
          <w:sz w:val="52"/>
          <w:szCs w:val="52"/>
          <w:highlight w:val="none"/>
          <w14:textFill>
            <w14:solidFill>
              <w14:schemeClr w14:val="tx1"/>
            </w14:solidFill>
          </w14:textFill>
        </w:rPr>
      </w:pPr>
      <w:r>
        <w:rPr>
          <w:rFonts w:hint="eastAsia" w:ascii="宋体" w:hAnsi="宋体" w:eastAsia="宋体" w:cs="Times New Roman"/>
          <w:bCs/>
          <w:color w:val="000000" w:themeColor="text1"/>
          <w:kern w:val="0"/>
          <w:sz w:val="52"/>
          <w:szCs w:val="52"/>
          <w:highlight w:val="none"/>
          <w:lang w:bidi="ar"/>
          <w14:textFill>
            <w14:solidFill>
              <w14:schemeClr w14:val="tx1"/>
            </w14:solidFill>
          </w14:textFill>
        </w:rPr>
        <w:t xml:space="preserve"> </w:t>
      </w:r>
    </w:p>
    <w:p w14:paraId="33ABAC05">
      <w:pPr>
        <w:autoSpaceDE w:val="0"/>
        <w:autoSpaceDN w:val="0"/>
        <w:adjustRightInd w:val="0"/>
        <w:spacing w:before="1141" w:beforeLines="350" w:after="489" w:afterLines="150" w:line="360" w:lineRule="auto"/>
        <w:jc w:val="center"/>
        <w:rPr>
          <w:rFonts w:ascii="宋体" w:hAnsi="宋体" w:eastAsia="宋体" w:cs="Times New Roman"/>
          <w:b/>
          <w:bCs/>
          <w:color w:val="000000" w:themeColor="text1"/>
          <w:spacing w:val="60"/>
          <w:kern w:val="0"/>
          <w:sz w:val="52"/>
          <w:szCs w:val="52"/>
          <w:highlight w:val="none"/>
          <w14:textFill>
            <w14:solidFill>
              <w14:schemeClr w14:val="tx1"/>
            </w14:solidFill>
          </w14:textFill>
        </w:rPr>
      </w:pPr>
      <w:r>
        <w:rPr>
          <w:rFonts w:hint="eastAsia" w:ascii="宋体" w:hAnsi="宋体" w:eastAsia="宋体" w:cs="宋体"/>
          <w:b/>
          <w:bCs/>
          <w:color w:val="000000" w:themeColor="text1"/>
          <w:spacing w:val="60"/>
          <w:kern w:val="0"/>
          <w:sz w:val="52"/>
          <w:szCs w:val="52"/>
          <w:highlight w:val="none"/>
          <w:lang w:bidi="ar"/>
          <w14:textFill>
            <w14:solidFill>
              <w14:schemeClr w14:val="tx1"/>
            </w14:solidFill>
          </w14:textFill>
        </w:rPr>
        <w:t>采购合同</w:t>
      </w:r>
    </w:p>
    <w:p w14:paraId="6D7C32C2">
      <w:pPr>
        <w:autoSpaceDE w:val="0"/>
        <w:autoSpaceDN w:val="0"/>
        <w:adjustRightInd w:val="0"/>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（合同编号：</w:t>
      </w:r>
      <w:r>
        <w:rPr>
          <w:rFonts w:hint="eastAsia" w:ascii="宋体" w:hAnsi="宋体" w:eastAsia="宋体" w:cs="Times New Roman"/>
          <w:b/>
          <w:bCs/>
          <w:color w:val="000000" w:themeColor="text1"/>
          <w:kern w:val="0"/>
          <w:sz w:val="24"/>
          <w:szCs w:val="24"/>
          <w:highlight w:val="none"/>
          <w:lang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w:t>
      </w:r>
    </w:p>
    <w:p w14:paraId="4E663A6E">
      <w:pPr>
        <w:autoSpaceDE w:val="0"/>
        <w:autoSpaceDN w:val="0"/>
        <w:adjustRightInd w:val="0"/>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bidi="ar"/>
          <w14:textFill>
            <w14:solidFill>
              <w14:schemeClr w14:val="tx1"/>
            </w14:solidFill>
          </w14:textFill>
        </w:rPr>
        <w:t xml:space="preserve"> </w:t>
      </w:r>
    </w:p>
    <w:p w14:paraId="10486ADB">
      <w:pPr>
        <w:autoSpaceDE w:val="0"/>
        <w:autoSpaceDN w:val="0"/>
        <w:adjustRightInd w:val="0"/>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bidi="ar"/>
          <w14:textFill>
            <w14:solidFill>
              <w14:schemeClr w14:val="tx1"/>
            </w14:solidFill>
          </w14:textFill>
        </w:rPr>
        <w:t xml:space="preserve"> </w:t>
      </w:r>
    </w:p>
    <w:p w14:paraId="51635993">
      <w:pPr>
        <w:autoSpaceDE w:val="0"/>
        <w:autoSpaceDN w:val="0"/>
        <w:adjustRightInd w:val="0"/>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bidi="ar"/>
          <w14:textFill>
            <w14:solidFill>
              <w14:schemeClr w14:val="tx1"/>
            </w14:solidFill>
          </w14:textFill>
        </w:rPr>
        <w:t xml:space="preserve"> </w:t>
      </w:r>
    </w:p>
    <w:p w14:paraId="0CE0B074">
      <w:pPr>
        <w:autoSpaceDE w:val="0"/>
        <w:autoSpaceDN w:val="0"/>
        <w:adjustRightInd w:val="0"/>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bidi="ar"/>
          <w14:textFill>
            <w14:solidFill>
              <w14:schemeClr w14:val="tx1"/>
            </w14:solidFill>
          </w14:textFill>
        </w:rPr>
        <w:t xml:space="preserve"> </w:t>
      </w:r>
    </w:p>
    <w:p w14:paraId="57F5D3D0">
      <w:pPr>
        <w:autoSpaceDE w:val="0"/>
        <w:autoSpaceDN w:val="0"/>
        <w:adjustRightInd w:val="0"/>
        <w:spacing w:line="480" w:lineRule="auto"/>
        <w:ind w:firstLine="2811" w:firstLineChars="1000"/>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bidi="ar"/>
          <w14:textFill>
            <w14:solidFill>
              <w14:schemeClr w14:val="tx1"/>
            </w14:solidFill>
          </w14:textFill>
        </w:rPr>
        <w:t>甲方：</w:t>
      </w:r>
      <w:r>
        <w:rPr>
          <w:rFonts w:hint="eastAsia" w:ascii="宋体" w:hAnsi="宋体" w:eastAsia="宋体" w:cs="宋体"/>
          <w:b/>
          <w:bCs/>
          <w:color w:val="000000" w:themeColor="text1"/>
          <w:kern w:val="0"/>
          <w:sz w:val="28"/>
          <w:szCs w:val="28"/>
          <w:highlight w:val="none"/>
          <w:u w:val="single"/>
          <w:lang w:bidi="ar"/>
          <w14:textFill>
            <w14:solidFill>
              <w14:schemeClr w14:val="tx1"/>
            </w14:solidFill>
          </w14:textFill>
        </w:rPr>
        <w:t>东莞市石鼓净水有限公司</w:t>
      </w:r>
      <w:r>
        <w:rPr>
          <w:rFonts w:hint="eastAsia" w:ascii="宋体" w:hAnsi="宋体" w:eastAsia="宋体" w:cs="Times New Roman"/>
          <w:b/>
          <w:bCs/>
          <w:color w:val="000000" w:themeColor="text1"/>
          <w:kern w:val="0"/>
          <w:sz w:val="28"/>
          <w:szCs w:val="28"/>
          <w:highlight w:val="none"/>
          <w:u w:val="single"/>
          <w:lang w:bidi="ar"/>
          <w14:textFill>
            <w14:solidFill>
              <w14:schemeClr w14:val="tx1"/>
            </w14:solidFill>
          </w14:textFill>
        </w:rPr>
        <w:t xml:space="preserve"> </w:t>
      </w:r>
      <w:r>
        <w:rPr>
          <w:rFonts w:hint="eastAsia" w:ascii="宋体" w:hAnsi="宋体" w:eastAsia="宋体" w:cs="Times New Roman"/>
          <w:b/>
          <w:bCs/>
          <w:color w:val="000000" w:themeColor="text1"/>
          <w:kern w:val="0"/>
          <w:sz w:val="28"/>
          <w:szCs w:val="28"/>
          <w:highlight w:val="none"/>
          <w:lang w:bidi="ar"/>
          <w14:textFill>
            <w14:solidFill>
              <w14:schemeClr w14:val="tx1"/>
            </w14:solidFill>
          </w14:textFill>
        </w:rPr>
        <w:t xml:space="preserve"> </w:t>
      </w:r>
    </w:p>
    <w:p w14:paraId="6923EAA8">
      <w:pPr>
        <w:autoSpaceDE w:val="0"/>
        <w:autoSpaceDN w:val="0"/>
        <w:adjustRightInd w:val="0"/>
        <w:spacing w:line="480" w:lineRule="auto"/>
        <w:ind w:firstLine="2811" w:firstLineChars="1000"/>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lang w:bidi="ar"/>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single"/>
          <w:lang w:bidi="ar"/>
          <w14:textFill>
            <w14:solidFill>
              <w14:schemeClr w14:val="tx1"/>
            </w14:solidFill>
          </w14:textFill>
        </w:rPr>
        <w:t xml:space="preserve">                          </w:t>
      </w:r>
    </w:p>
    <w:p w14:paraId="0F0FEE99">
      <w:pPr>
        <w:autoSpaceDE w:val="0"/>
        <w:autoSpaceDN w:val="0"/>
        <w:adjustRightInd w:val="0"/>
        <w:spacing w:line="360" w:lineRule="auto"/>
        <w:ind w:firstLine="2811" w:firstLineChars="1000"/>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bidi="ar"/>
          <w14:textFill>
            <w14:solidFill>
              <w14:schemeClr w14:val="tx1"/>
            </w14:solidFill>
          </w14:textFill>
        </w:rPr>
        <w:t xml:space="preserve"> </w:t>
      </w:r>
    </w:p>
    <w:p w14:paraId="0E16A44E">
      <w:pPr>
        <w:autoSpaceDE w:val="0"/>
        <w:autoSpaceDN w:val="0"/>
        <w:adjustRightInd w:val="0"/>
        <w:spacing w:line="360" w:lineRule="auto"/>
        <w:ind w:firstLine="2811" w:firstLineChars="1000"/>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bidi="ar"/>
          <w14:textFill>
            <w14:solidFill>
              <w14:schemeClr w14:val="tx1"/>
            </w14:solidFill>
          </w14:textFill>
        </w:rPr>
        <w:t>签订日期：   年   月   日</w:t>
      </w:r>
    </w:p>
    <w:p w14:paraId="0EF1B862">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bidi="ar"/>
          <w14:textFill>
            <w14:solidFill>
              <w14:schemeClr w14:val="tx1"/>
            </w14:solidFill>
          </w14:textFill>
        </w:rPr>
        <w:t xml:space="preserve"> </w:t>
      </w:r>
    </w:p>
    <w:p w14:paraId="69EC68B8">
      <w:pPr>
        <w:rPr>
          <w:rFonts w:ascii="宋体" w:hAnsi="宋体" w:eastAsia="宋体" w:cs="Times New Roman"/>
          <w:color w:val="000000" w:themeColor="text1"/>
          <w:kern w:val="0"/>
          <w:szCs w:val="21"/>
          <w:highlight w:val="none"/>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2240" w:h="15840"/>
          <w:pgMar w:top="1191" w:right="1043" w:bottom="1191" w:left="1043" w:header="720" w:footer="720" w:gutter="0"/>
          <w:cols w:space="720" w:num="1"/>
          <w:titlePg/>
          <w:docGrid w:type="lines" w:linePitch="326" w:charSpace="0"/>
        </w:sectPr>
      </w:pPr>
    </w:p>
    <w:p w14:paraId="60F05706">
      <w:pPr>
        <w:autoSpaceDE w:val="0"/>
        <w:autoSpaceDN w:val="0"/>
        <w:adjustRightInd w:val="0"/>
        <w:snapToGrid w:val="0"/>
        <w:spacing w:line="360" w:lineRule="auto"/>
        <w:ind w:firstLine="422"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甲方</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lang w:bidi="ar"/>
          <w14:textFill>
            <w14:solidFill>
              <w14:schemeClr w14:val="tx1"/>
            </w14:solidFill>
          </w14:textFill>
        </w:rPr>
        <w:t xml:space="preserve">                                    </w:t>
      </w:r>
    </w:p>
    <w:p w14:paraId="21497F93">
      <w:pPr>
        <w:autoSpaceDE w:val="0"/>
        <w:autoSpaceDN w:val="0"/>
        <w:adjustRightInd w:val="0"/>
        <w:snapToGrid w:val="0"/>
        <w:spacing w:line="360" w:lineRule="auto"/>
        <w:ind w:firstLine="422"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乙方</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Times New Roman"/>
          <w:color w:val="000000" w:themeColor="text1"/>
          <w:kern w:val="0"/>
          <w:szCs w:val="21"/>
          <w:highlight w:val="none"/>
          <w:u w:val="single"/>
          <w:lang w:bidi="ar"/>
          <w14:textFill>
            <w14:solidFill>
              <w14:schemeClr w14:val="tx1"/>
            </w14:solidFill>
          </w14:textFill>
        </w:rPr>
        <w:t xml:space="preserve">                                     </w:t>
      </w:r>
    </w:p>
    <w:p w14:paraId="264FB504">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p>
    <w:p w14:paraId="37C61AFE">
      <w:pPr>
        <w:autoSpaceDE w:val="0"/>
        <w:autoSpaceDN w:val="0"/>
        <w:adjustRightInd w:val="0"/>
        <w:snapToGri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根据《中华人民共和国民法典》及</w:t>
      </w:r>
      <w:r>
        <w:rPr>
          <w:rFonts w:hint="eastAsia" w:ascii="宋体" w:hAnsi="宋体" w:eastAsia="宋体" w:cs="Times New Roman"/>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年</w:t>
      </w:r>
      <w:r>
        <w:rPr>
          <w:rFonts w:hint="eastAsia" w:ascii="宋体" w:hAnsi="宋体" w:eastAsia="宋体" w:cs="Times New Roman"/>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月</w:t>
      </w:r>
      <w:r>
        <w:rPr>
          <w:rFonts w:hint="eastAsia" w:ascii="宋体" w:hAnsi="宋体" w:eastAsia="宋体" w:cs="Times New Roman"/>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日通知的东莞市石鼓净水有限公司污水处理厂分布式光伏发电项目中标结果（招标编号：DGDS2024-0</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89</w:t>
      </w:r>
      <w:r>
        <w:rPr>
          <w:rFonts w:hint="eastAsia" w:ascii="宋体" w:hAnsi="宋体" w:eastAsia="宋体" w:cs="宋体"/>
          <w:color w:val="000000" w:themeColor="text1"/>
          <w:kern w:val="0"/>
          <w:szCs w:val="21"/>
          <w:highlight w:val="none"/>
          <w:lang w:bidi="ar"/>
          <w14:textFill>
            <w14:solidFill>
              <w14:schemeClr w14:val="tx1"/>
            </w14:solidFill>
          </w14:textFill>
        </w:rPr>
        <w:t>）和招标文件的要求，经双方协商一致，签订本合同。</w:t>
      </w:r>
    </w:p>
    <w:p w14:paraId="392DD6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第一条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合作内容及期限</w:t>
      </w:r>
    </w:p>
    <w:p w14:paraId="0AD05C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拟在</w:t>
      </w:r>
      <w:r>
        <w:rPr>
          <w:rFonts w:hint="eastAsia" w:ascii="宋体" w:hAnsi="宋体" w:eastAsia="宋体" w:cs="宋体"/>
          <w:color w:val="000000" w:themeColor="text1"/>
          <w:sz w:val="21"/>
          <w:szCs w:val="21"/>
          <w:highlight w:val="none"/>
          <w:lang w:eastAsia="zh-CN"/>
          <w14:textFill>
            <w14:solidFill>
              <w14:schemeClr w14:val="tx1"/>
            </w14:solidFill>
          </w14:textFill>
        </w:rPr>
        <w:t>甲方运营管理的虎门宁洲污水处理厂二期及一期提标工程、东城温塘污水处理厂一期工程可利用的构筑物池面及建筑物屋面上盖分别建设安装约3.8512MWp、1.3989 MWp（最终装机容量以实际并网容量为准）光伏发电系统以及配套设施，建成后采用“自发自用、余电上网”运行方式，并网电压根据项目容量和现场情况选择0.4kV或10</w:t>
      </w:r>
      <w:r>
        <w:rPr>
          <w:rFonts w:hint="eastAsia" w:ascii="宋体" w:hAnsi="宋体" w:eastAsia="宋体" w:cs="宋体"/>
          <w:color w:val="000000" w:themeColor="text1"/>
          <w:sz w:val="21"/>
          <w:szCs w:val="21"/>
          <w:highlight w:val="none"/>
          <w:lang w:val="en-US" w:eastAsia="zh-CN"/>
          <w14:textFill>
            <w14:solidFill>
              <w14:schemeClr w14:val="tx1"/>
            </w14:solidFill>
          </w14:textFill>
        </w:rPr>
        <w:t>k</w:t>
      </w:r>
      <w:r>
        <w:rPr>
          <w:rFonts w:hint="eastAsia" w:ascii="宋体" w:hAnsi="宋体" w:eastAsia="宋体" w:cs="宋体"/>
          <w:color w:val="000000" w:themeColor="text1"/>
          <w:sz w:val="21"/>
          <w:szCs w:val="21"/>
          <w:highlight w:val="none"/>
          <w:lang w:eastAsia="zh-CN"/>
          <w14:textFill>
            <w14:solidFill>
              <w14:schemeClr w14:val="tx1"/>
            </w14:solidFill>
          </w14:textFill>
        </w:rPr>
        <w:t>V就近并网。</w:t>
      </w:r>
    </w:p>
    <w:p w14:paraId="6F4951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本项目采用EMC合作模式，项目所有投资费用及项目</w:t>
      </w:r>
      <w:r>
        <w:rPr>
          <w:rFonts w:hint="eastAsia" w:ascii="宋体" w:hAnsi="宋体" w:eastAsia="宋体" w:cs="宋体"/>
          <w:color w:val="000000" w:themeColor="text1"/>
          <w:sz w:val="21"/>
          <w:szCs w:val="21"/>
          <w:highlight w:val="none"/>
          <w:lang w:eastAsia="zh-CN"/>
          <w14:textFill>
            <w14:solidFill>
              <w14:schemeClr w14:val="tx1"/>
            </w14:solidFill>
          </w14:textFill>
        </w:rPr>
        <w:t>服务期</w:t>
      </w:r>
      <w:r>
        <w:rPr>
          <w:rFonts w:hint="eastAsia" w:ascii="宋体" w:hAnsi="宋体" w:eastAsia="宋体" w:cs="宋体"/>
          <w:color w:val="000000" w:themeColor="text1"/>
          <w:sz w:val="21"/>
          <w:szCs w:val="21"/>
          <w:highlight w:val="none"/>
          <w14:textFill>
            <w14:solidFill>
              <w14:schemeClr w14:val="tx1"/>
            </w14:solidFill>
          </w14:textFill>
        </w:rPr>
        <w:t>内的运维费用由</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负责，</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从</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处购电，</w:t>
      </w:r>
      <w:r>
        <w:rPr>
          <w:rFonts w:hint="eastAsia" w:ascii="宋体" w:hAnsi="宋体" w:eastAsia="宋体" w:cs="宋体"/>
          <w:color w:val="000000" w:themeColor="text1"/>
          <w:sz w:val="21"/>
          <w:szCs w:val="21"/>
          <w:highlight w:val="none"/>
          <w:lang w:eastAsia="zh-CN"/>
          <w14:textFill>
            <w14:solidFill>
              <w14:schemeClr w14:val="tx1"/>
            </w14:solidFill>
          </w14:textFill>
        </w:rPr>
        <w:t>服务期</w:t>
      </w:r>
      <w:r>
        <w:rPr>
          <w:rFonts w:hint="eastAsia" w:ascii="宋体" w:hAnsi="宋体" w:eastAsia="宋体" w:cs="宋体"/>
          <w:color w:val="000000" w:themeColor="text1"/>
          <w:sz w:val="21"/>
          <w:szCs w:val="21"/>
          <w:highlight w:val="none"/>
          <w14:textFill>
            <w14:solidFill>
              <w14:schemeClr w14:val="tx1"/>
            </w14:solidFill>
          </w14:textFill>
        </w:rPr>
        <w:t>为25年（不含建设期），</w:t>
      </w:r>
      <w:r>
        <w:rPr>
          <w:rFonts w:hint="eastAsia" w:ascii="宋体" w:hAnsi="宋体" w:eastAsia="宋体" w:cs="宋体"/>
          <w:color w:val="000000" w:themeColor="text1"/>
          <w:sz w:val="21"/>
          <w:szCs w:val="21"/>
          <w:highlight w:val="none"/>
          <w:lang w:eastAsia="zh-CN"/>
          <w14:textFill>
            <w14:solidFill>
              <w14:schemeClr w14:val="tx1"/>
            </w14:solidFill>
          </w14:textFill>
        </w:rPr>
        <w:t>服务期</w:t>
      </w:r>
      <w:r>
        <w:rPr>
          <w:rFonts w:hint="eastAsia" w:ascii="宋体" w:hAnsi="宋体" w:eastAsia="宋体" w:cs="宋体"/>
          <w:color w:val="000000" w:themeColor="text1"/>
          <w:sz w:val="21"/>
          <w:szCs w:val="21"/>
          <w:highlight w:val="none"/>
          <w14:textFill>
            <w14:solidFill>
              <w14:schemeClr w14:val="tx1"/>
            </w14:solidFill>
          </w14:textFill>
        </w:rPr>
        <w:t>到期后，本项目资产无偿转让给</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所有。</w:t>
      </w:r>
    </w:p>
    <w:p w14:paraId="3FF1C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1.2电站用“自发自用，余量上网”的运行方式，电站所发的电能优先供</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生产使用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电站所发富余电能接入公共电网，由</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自行与国家电网公司结算</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用电不足部分由</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自行从国家电网购入，所用国家电网电量由</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与电网自行结算。</w:t>
      </w:r>
    </w:p>
    <w:p w14:paraId="0D141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负责电站的建设、运营、维护和管理，</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的电站建设、运营、维护和管理提供必要的配合和便利。</w:t>
      </w:r>
    </w:p>
    <w:p w14:paraId="1F19B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拟投建电站的装机容量</w:t>
      </w:r>
      <w:r>
        <w:rPr>
          <w:rFonts w:hint="eastAsia" w:ascii="宋体" w:hAnsi="宋体" w:eastAsia="宋体" w:cs="宋体"/>
          <w:color w:val="000000" w:themeColor="text1"/>
          <w:sz w:val="21"/>
          <w:szCs w:val="21"/>
          <w:highlight w:val="none"/>
          <w:lang w:eastAsia="zh-CN"/>
          <w14:textFill>
            <w14:solidFill>
              <w14:schemeClr w14:val="tx1"/>
            </w14:solidFill>
          </w14:textFill>
        </w:rPr>
        <w:t>分别</w:t>
      </w:r>
      <w:r>
        <w:rPr>
          <w:rFonts w:hint="eastAsia" w:ascii="宋体" w:hAnsi="宋体" w:eastAsia="宋体" w:cs="宋体"/>
          <w:color w:val="000000" w:themeColor="text1"/>
          <w:sz w:val="21"/>
          <w:szCs w:val="21"/>
          <w:highlight w:val="none"/>
          <w14:textFill>
            <w14:solidFill>
              <w14:schemeClr w14:val="tx1"/>
            </w14:solidFill>
          </w14:textFill>
        </w:rPr>
        <w:t>为3.8512MWp、1.3989MWp,最终装机容量以实际并网容量为准。</w:t>
      </w:r>
    </w:p>
    <w:p w14:paraId="5F6ABC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建设期限</w:t>
      </w:r>
    </w:p>
    <w:p w14:paraId="46906F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项目建设期限180</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自甲方</w:t>
      </w:r>
      <w:r>
        <w:rPr>
          <w:rFonts w:hint="eastAsia" w:ascii="宋体" w:hAnsi="宋体" w:eastAsia="宋体" w:cs="宋体"/>
          <w:color w:val="000000" w:themeColor="text1"/>
          <w:sz w:val="21"/>
          <w:szCs w:val="21"/>
          <w:highlight w:val="none"/>
          <w14:textFill>
            <w14:solidFill>
              <w14:schemeClr w14:val="tx1"/>
            </w14:solidFill>
          </w14:textFill>
        </w:rPr>
        <w:t>书面通知之日起算。</w:t>
      </w:r>
    </w:p>
    <w:p w14:paraId="210695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项目服务期</w:t>
      </w:r>
    </w:p>
    <w:p w14:paraId="6A8EA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本项目服务期为25年，自项目并网验收通过之日起算。</w:t>
      </w:r>
    </w:p>
    <w:p w14:paraId="569751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lang w:bidi="en-US"/>
          <w14:textFill>
            <w14:solidFill>
              <w14:schemeClr w14:val="tx1"/>
            </w14:solidFill>
          </w14:textFill>
        </w:rPr>
        <w:t>东城温塘污水处理厂一期工程、虎门宁洲污水处理厂二期及一期提标工程建设用地均已办理不动产权证，权利人为本项目</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bidi="en-US"/>
          <w14:textFill>
            <w14:solidFill>
              <w14:schemeClr w14:val="tx1"/>
            </w14:solidFill>
          </w14:textFill>
        </w:rPr>
        <w:t>，土地用途为公共设施用地（U41雨水、污水处理用地），污水处理厂用地红线范围内相关建（构）筑物等资产所有权属于</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bidi="en-US"/>
          <w14:textFill>
            <w14:solidFill>
              <w14:schemeClr w14:val="tx1"/>
            </w14:solidFill>
          </w14:textFill>
        </w:rPr>
        <w:t>，其中东城温塘污水处理厂一期工程建设用地属于国有土地使用权划拨，未对土地使用期限进行约定，虎门宁洲污水处理厂二期及一期提标工程建设用地使用期限至2072年11月15日，</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bidi="en-US"/>
          <w14:textFill>
            <w14:solidFill>
              <w14:schemeClr w14:val="tx1"/>
            </w14:solidFill>
          </w14:textFill>
        </w:rPr>
        <w:t>当前污水处理经营权剩余年限约为19年。</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bidi="en-US"/>
          <w14:textFill>
            <w14:solidFill>
              <w14:schemeClr w14:val="tx1"/>
            </w14:solidFill>
          </w14:textFill>
        </w:rPr>
        <w:t>应充分理解并接受：本项目存在因污水处理厂经营权期满后</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bidi="en-US"/>
          <w14:textFill>
            <w14:solidFill>
              <w14:schemeClr w14:val="tx1"/>
            </w14:solidFill>
          </w14:textFill>
        </w:rPr>
        <w:t>停止运营污水处理厂，导致</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bidi="en-US"/>
          <w14:textFill>
            <w14:solidFill>
              <w14:schemeClr w14:val="tx1"/>
            </w14:solidFill>
          </w14:textFill>
        </w:rPr>
        <w:t>最终服务期可能不足25年的风险，如发生上述情况导致本项目服务期提前终止，</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甲方</w:t>
      </w:r>
      <w:r>
        <w:rPr>
          <w:rFonts w:hint="eastAsia" w:ascii="宋体" w:hAnsi="宋体" w:eastAsia="宋体" w:cs="宋体"/>
          <w:color w:val="000000" w:themeColor="text1"/>
          <w:sz w:val="21"/>
          <w:szCs w:val="21"/>
          <w:highlight w:val="none"/>
          <w:lang w:bidi="en-US"/>
          <w14:textFill>
            <w14:solidFill>
              <w14:schemeClr w14:val="tx1"/>
            </w14:solidFill>
          </w14:textFill>
        </w:rPr>
        <w:t>作为产权所有人同意</w:t>
      </w:r>
      <w:r>
        <w:rPr>
          <w:rFonts w:hint="eastAsia" w:ascii="宋体" w:hAnsi="宋体" w:eastAsia="宋体" w:cs="宋体"/>
          <w:color w:val="000000" w:themeColor="text1"/>
          <w:sz w:val="21"/>
          <w:szCs w:val="21"/>
          <w:highlight w:val="none"/>
          <w:lang w:val="en-US" w:eastAsia="zh-CN" w:bidi="en-US"/>
          <w14:textFill>
            <w14:solidFill>
              <w14:schemeClr w14:val="tx1"/>
            </w14:solidFill>
          </w14:textFill>
        </w:rPr>
        <w:t>乙方</w:t>
      </w:r>
      <w:r>
        <w:rPr>
          <w:rFonts w:hint="eastAsia" w:ascii="宋体" w:hAnsi="宋体" w:eastAsia="宋体" w:cs="宋体"/>
          <w:color w:val="000000" w:themeColor="text1"/>
          <w:sz w:val="21"/>
          <w:szCs w:val="21"/>
          <w:highlight w:val="none"/>
          <w:lang w:bidi="en-US"/>
          <w14:textFill>
            <w14:solidFill>
              <w14:schemeClr w14:val="tx1"/>
            </w14:solidFill>
          </w14:textFill>
        </w:rPr>
        <w:t>在原有建设用地上继续进行光伏项目运营至原服务期结束。</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bidi="en-US"/>
          <w14:textFill>
            <w14:solidFill>
              <w14:schemeClr w14:val="tx1"/>
            </w14:solidFill>
          </w14:textFill>
        </w:rPr>
        <w:t>已就上述风险情况向</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bidi="en-US"/>
          <w14:textFill>
            <w14:solidFill>
              <w14:schemeClr w14:val="tx1"/>
            </w14:solidFill>
          </w14:textFill>
        </w:rPr>
        <w:t>进行了充分告知，</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bidi="en-US"/>
          <w14:textFill>
            <w14:solidFill>
              <w14:schemeClr w14:val="tx1"/>
            </w14:solidFill>
          </w14:textFill>
        </w:rPr>
        <w:t>对此表示完全理解并自愿承担相应风险。</w:t>
      </w:r>
    </w:p>
    <w:p w14:paraId="2F549907">
      <w:pPr>
        <w:pageBreakBefore w:val="0"/>
        <w:kinsoku/>
        <w:wordWrap/>
        <w:overflowPunct/>
        <w:topLinePunct w:val="0"/>
        <w:bidi w:val="0"/>
        <w:spacing w:line="400" w:lineRule="exact"/>
        <w:ind w:left="0" w:leftChars="0" w:firstLine="420" w:firstLineChars="200"/>
        <w:outlineLvl w:val="2"/>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t>如因</w:t>
      </w:r>
      <w:r>
        <w:rPr>
          <w:rFonts w:hint="eastAsia" w:ascii="Times New Roman" w:hAnsi="Times New Roman" w:eastAsia="宋体" w:cs="Times New Roman"/>
          <w:b w:val="0"/>
          <w:bCs/>
          <w:color w:val="000000" w:themeColor="text1"/>
          <w:sz w:val="21"/>
          <w:szCs w:val="21"/>
          <w:highlight w:val="none"/>
          <w:u w:val="none"/>
          <w:lang w:eastAsia="zh-CN"/>
          <w14:textFill>
            <w14:solidFill>
              <w14:schemeClr w14:val="tx1"/>
            </w14:solidFill>
          </w14:textFill>
        </w:rPr>
        <w:t>甲方</w:t>
      </w:r>
      <w:r>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t>其他原因或国家、省及东莞市政策规定等因素导致光伏发电项目服务期提前终止，甲方优先采用提供同等面积场地的方式完成光伏项目运营至剩余服务期结束，光伏设备的迁移相关费用由</w:t>
      </w:r>
      <w:r>
        <w:rPr>
          <w:rFonts w:hint="eastAsia" w:ascii="Times New Roman" w:hAnsi="Times New Roman" w:eastAsia="宋体" w:cs="Times New Roman"/>
          <w:b w:val="0"/>
          <w:bCs/>
          <w:color w:val="000000" w:themeColor="text1"/>
          <w:sz w:val="21"/>
          <w:szCs w:val="21"/>
          <w:highlight w:val="none"/>
          <w:u w:val="none"/>
          <w:lang w:eastAsia="zh-CN"/>
          <w14:textFill>
            <w14:solidFill>
              <w14:schemeClr w14:val="tx1"/>
            </w14:solidFill>
          </w14:textFill>
        </w:rPr>
        <w:t>乙方</w:t>
      </w:r>
      <w:r>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t>承担。如甲方无法提供新场地，由甲方按以下原则予以补偿：本项目中标综合单价下浮6%或国家规定的分布式光伏项目上网电价（按低价者选取），乘以剩余服务期年限对应的理论发电量，其中理论发电量按服务期终止前一年全年发电量作为基准发电量，剩余年限理论发电量以基准发电量按衰减率0.55%逐年递减计算。</w:t>
      </w:r>
      <w:r>
        <w:rPr>
          <w:rFonts w:hint="eastAsia" w:ascii="Times New Roman" w:hAnsi="Times New Roman" w:eastAsia="宋体" w:cs="Times New Roman"/>
          <w:b w:val="0"/>
          <w:bCs/>
          <w:color w:val="000000" w:themeColor="text1"/>
          <w:sz w:val="21"/>
          <w:szCs w:val="21"/>
          <w:highlight w:val="none"/>
          <w:u w:val="none"/>
          <w:lang w:eastAsia="zh-CN"/>
          <w14:textFill>
            <w14:solidFill>
              <w14:schemeClr w14:val="tx1"/>
            </w14:solidFill>
          </w14:textFill>
        </w:rPr>
        <w:t>补</w:t>
      </w:r>
      <w:r>
        <w:rPr>
          <w:rFonts w:hint="eastAsia" w:ascii="Times New Roman" w:hAnsi="Times New Roman" w:eastAsia="宋体" w:cs="Times New Roman"/>
          <w:b w:val="0"/>
          <w:bCs/>
          <w:color w:val="000000" w:themeColor="text1"/>
          <w:sz w:val="21"/>
          <w:szCs w:val="21"/>
          <w:highlight w:val="none"/>
          <w:u w:val="none"/>
          <w14:textFill>
            <w14:solidFill>
              <w14:schemeClr w14:val="tx1"/>
            </w14:solidFill>
          </w14:textFill>
        </w:rPr>
        <w:t>偿费用按剩余服务年限逐年支付或按合同服务期提前终止当年最近一期全国银行间同业拆借中心发布的适用于人民币贷款的五年期以上贷款市场报价利率（LPR）计算每一年资金成本后的现值一次性支付。</w:t>
      </w:r>
    </w:p>
    <w:p w14:paraId="418E8E25">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20" w:firstLineChars="200"/>
        <w:textAlignment w:val="auto"/>
        <w:outlineLvl w:val="2"/>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pPr>
      <w:r>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t>一次性支付计算公式如下：</w:t>
      </w:r>
    </w:p>
    <w:p w14:paraId="3998BD7B">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20" w:firstLineChars="200"/>
        <w:textAlignment w:val="auto"/>
        <w:outlineLvl w:val="2"/>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pPr>
      <w:r>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t>补</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偿</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费用</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w:t>
      </w:r>
      <w:r>
        <w:rPr>
          <w:rFonts w:hint="eastAsia" w:ascii="宋体" w:hAnsi="宋体" w:eastAsia="宋体" w:cs="宋体"/>
          <w:i w:val="0"/>
          <w:iCs w:val="0"/>
          <w:caps w:val="0"/>
          <w:color w:val="000000" w:themeColor="text1"/>
          <w:spacing w:val="6"/>
          <w:position w:val="-24"/>
          <w:sz w:val="21"/>
          <w:szCs w:val="21"/>
          <w:highlight w:val="none"/>
          <w:shd w:val="clear" w:fill="FFFFFF"/>
          <w:lang w:eastAsia="zh-CN"/>
          <w14:textFill>
            <w14:solidFill>
              <w14:schemeClr w14:val="tx1"/>
            </w14:solidFill>
          </w14:textFill>
        </w:rPr>
        <w:object>
          <v:shape id="_x0000_i1026" o:spt="75" type="#_x0000_t75" style="height:35.35pt;width:129.3pt;" o:ole="t" filled="f" o:preferrelative="t" stroked="f" coordsize="21600,21600">
            <v:path/>
            <v:fill on="f" focussize="0,0"/>
            <v:stroke on="f"/>
            <v:imagedata r:id="rId22" o:title=""/>
            <o:lock v:ext="edit" aspectratio="t"/>
            <w10:wrap type="none"/>
            <w10:anchorlock/>
          </v:shape>
          <o:OLEObject Type="Embed" ProgID="Equation.KSEE3" ShapeID="_x0000_i1026" DrawAspect="Content" ObjectID="_1468075726" r:id="rId23">
            <o:LockedField>false</o:LockedField>
          </o:OLEObject>
        </w:object>
      </w:r>
      <w:r>
        <w:rPr>
          <w:rFonts w:hint="eastAsia" w:ascii="宋体" w:hAnsi="宋体" w:eastAsia="宋体" w:cs="宋体"/>
          <w:i w:val="0"/>
          <w:iCs w:val="0"/>
          <w:caps w:val="0"/>
          <w:color w:val="000000" w:themeColor="text1"/>
          <w:spacing w:val="6"/>
          <w:sz w:val="21"/>
          <w:szCs w:val="21"/>
          <w:highlight w:val="none"/>
          <w:shd w:val="clear" w:fill="FFFFFF"/>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其中r为</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按合同</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服务期</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提前终止当年</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最近一期</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全国银行间同业拆借中心发布的适用于人民币贷款的五年期以上贷款市场报价利率</w:t>
      </w:r>
      <w:r>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t>（</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LPR</w:t>
      </w:r>
      <w:r>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t>）</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w:t>
      </w:r>
      <w:r>
        <w:rPr>
          <w:rFonts w:hint="eastAsia" w:ascii="宋体" w:hAnsi="宋体" w:eastAsia="宋体" w:cs="宋体"/>
          <w:color w:val="000000" w:themeColor="text1"/>
          <w:sz w:val="21"/>
          <w:szCs w:val="21"/>
          <w:highlight w:val="none"/>
          <w:lang w:val="en-US" w:eastAsia="zh-CN"/>
          <w14:textFill>
            <w14:solidFill>
              <w14:schemeClr w14:val="tx1"/>
            </w14:solidFill>
          </w14:textFill>
          <w14:ligatures w14:val="standardContextual"/>
        </w:rPr>
        <w:t>n为剩余服务</w:t>
      </w:r>
      <w:r>
        <w:rPr>
          <w:rFonts w:hint="eastAsia" w:ascii="宋体" w:hAnsi="宋体" w:eastAsia="宋体" w:cs="宋体"/>
          <w:color w:val="000000" w:themeColor="text1"/>
          <w:sz w:val="21"/>
          <w:szCs w:val="21"/>
          <w:highlight w:val="none"/>
          <w14:textFill>
            <w14:solidFill>
              <w14:schemeClr w14:val="tx1"/>
            </w14:solidFill>
          </w14:textFill>
          <w14:ligatures w14:val="standardContextual"/>
        </w:rPr>
        <w:t>期数</w:t>
      </w:r>
      <w:r>
        <w:rPr>
          <w:rFonts w:hint="eastAsia" w:ascii="宋体" w:hAnsi="宋体" w:eastAsia="宋体" w:cs="宋体"/>
          <w:color w:val="000000" w:themeColor="text1"/>
          <w:sz w:val="21"/>
          <w:szCs w:val="21"/>
          <w:highlight w:val="none"/>
          <w:lang w:eastAsia="zh-CN"/>
          <w14:textFill>
            <w14:solidFill>
              <w14:schemeClr w14:val="tx1"/>
            </w14:solidFill>
          </w14:textFill>
          <w14:ligatures w14:val="standardContextual"/>
        </w:rPr>
        <w:t>。</w:t>
      </w:r>
    </w:p>
    <w:p w14:paraId="50ABF4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第二条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项目场地的提供</w:t>
      </w:r>
    </w:p>
    <w:p w14:paraId="3D0C96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2.1项目位置及基本信息</w:t>
      </w:r>
    </w:p>
    <w:p w14:paraId="46F8F4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东城温塘污水处理厂一期工程，位于东莞市东城街道温塘社区，设计处理规模为5万吨/日，污水处理工艺为“预处理（粗格栅+细格栅+旋流沉砂池）→改良AAO生化池→圆形二沉池→硝化池→滤布滤池→紫外消毒池→出水”，构筑物池面及建筑物屋顶可利用设置光伏区面积约为11306平方米，配电房设有2台1000kVA变压器。</w:t>
      </w:r>
    </w:p>
    <w:p w14:paraId="34F8AB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虎门宁洲污水处理厂二期及一期提标工程，位于东莞市虎门镇南栅村，虎门宁洲污水处理厂二期设计处理规模为10万吨/日，污水处理工艺为“预处理（粗格栅+细格栅+旋流沉砂池）→改良AAO生化池→圆形二沉池→磁混凝高效沉淀池→滤布滤池→紫外消毒→出水”，一期提标工程设计处理规模为10万吨/日，污水处理工艺为“MBR膜池→紫外消毒池→出水”，构筑物池面及建筑物屋顶可利用设置光伏区面积约为26721平方米，虎门宁洲污水处理厂二期配电房设有2台1250kVA变压器，一期提标工程配电房设有2台800kVA变压器。</w:t>
      </w:r>
    </w:p>
    <w:p w14:paraId="546EE4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lang w:eastAsia="zh-CN"/>
          <w14:textFill>
            <w14:solidFill>
              <w14:schemeClr w14:val="tx1"/>
            </w14:solidFill>
          </w14:textFill>
        </w:rPr>
        <w:t>甲方提供给乙方履行本项目建设使用的面积、</w:t>
      </w:r>
      <w:r>
        <w:rPr>
          <w:rFonts w:hint="eastAsia" w:ascii="宋体" w:hAnsi="宋体" w:eastAsia="宋体" w:cs="宋体"/>
          <w:color w:val="000000" w:themeColor="text1"/>
          <w:sz w:val="21"/>
          <w:szCs w:val="21"/>
          <w:highlight w:val="none"/>
          <w14:textFill>
            <w14:solidFill>
              <w14:schemeClr w14:val="tx1"/>
            </w14:solidFill>
          </w14:textFill>
        </w:rPr>
        <w:t>项目场地具体位置详见附件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p>
    <w:p w14:paraId="2CB519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3场地交付</w:t>
      </w:r>
    </w:p>
    <w:p w14:paraId="4BDDB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（1）自本合同生效之日起</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个</w:t>
      </w:r>
      <w:r>
        <w:rPr>
          <w:rFonts w:hint="eastAsia" w:ascii="宋体" w:hAnsi="宋体" w:eastAsia="宋体" w:cs="宋体"/>
          <w:color w:val="000000" w:themeColor="text1"/>
          <w:sz w:val="21"/>
          <w:szCs w:val="21"/>
          <w:highlight w:val="none"/>
          <w:lang w:val="en-US" w:eastAsia="zh-CN"/>
          <w14:textFill>
            <w14:solidFill>
              <w14:schemeClr w14:val="tx1"/>
            </w14:solidFill>
          </w14:textFill>
        </w:rPr>
        <w:t>工作日</w:t>
      </w:r>
      <w:r>
        <w:rPr>
          <w:rFonts w:hint="eastAsia" w:ascii="宋体" w:hAnsi="宋体" w:eastAsia="宋体" w:cs="宋体"/>
          <w:color w:val="000000" w:themeColor="text1"/>
          <w:sz w:val="21"/>
          <w:szCs w:val="21"/>
          <w:highlight w:val="none"/>
          <w14:textFill>
            <w14:solidFill>
              <w14:schemeClr w14:val="tx1"/>
            </w14:solidFill>
          </w14:textFill>
        </w:rPr>
        <w:t>内，</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拟进场进行电站建设施工前，</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聘请具备资质的第三方机构对项目场地现状进行勘察，同时</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对项目场地现状拍照取证留存。勘察后发现构筑物或屋顶存在明显破损或漏水情况或其他建筑存在安全隐患等问题的，由</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完成修补工作，费用由</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承担。否则，电站建设、运营期间，项目场地发生破损、漏水等影响安全生产情况的，</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承担责任。</w:t>
      </w:r>
    </w:p>
    <w:p w14:paraId="3F2FB4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（2）项目场地交接时，</w:t>
      </w:r>
      <w:r>
        <w:rPr>
          <w:rFonts w:hint="eastAsia" w:ascii="宋体" w:hAnsi="宋体" w:eastAsia="宋体" w:cs="宋体"/>
          <w:color w:val="000000" w:themeColor="text1"/>
          <w:sz w:val="21"/>
          <w:szCs w:val="21"/>
          <w:highlight w:val="none"/>
          <w:lang w:eastAsia="zh-CN"/>
          <w14:textFill>
            <w14:solidFill>
              <w14:schemeClr w14:val="tx1"/>
            </w14:solidFill>
          </w14:textFill>
        </w:rPr>
        <w:t>甲乙</w:t>
      </w:r>
      <w:r>
        <w:rPr>
          <w:rFonts w:hint="eastAsia" w:ascii="宋体" w:hAnsi="宋体" w:eastAsia="宋体" w:cs="宋体"/>
          <w:color w:val="000000" w:themeColor="text1"/>
          <w:sz w:val="21"/>
          <w:szCs w:val="21"/>
          <w:highlight w:val="none"/>
          <w14:textFill>
            <w14:solidFill>
              <w14:schemeClr w14:val="tx1"/>
            </w14:solidFill>
          </w14:textFill>
        </w:rPr>
        <w:t>双方的法定代表人或委托代理人应在交接单上签字，以示交付完毕。如</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将项目场地交付给</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勘察发现的隐患事项尚未解决，在</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同意的条件下，双方可附条件交付项目场地。</w:t>
      </w:r>
    </w:p>
    <w:p w14:paraId="770609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第三条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电站的建设</w:t>
      </w:r>
    </w:p>
    <w:p w14:paraId="29462D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本项目具体建设内容详见附件2用户需求书</w:t>
      </w:r>
    </w:p>
    <w:p w14:paraId="40CF1B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第四条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电站运营维护</w:t>
      </w:r>
    </w:p>
    <w:p w14:paraId="67AF69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负责电站的安全运营维护管理</w:t>
      </w:r>
      <w:r>
        <w:rPr>
          <w:rFonts w:hint="eastAsia" w:ascii="宋体" w:hAnsi="宋体" w:eastAsia="宋体" w:cs="宋体"/>
          <w:color w:val="000000" w:themeColor="text1"/>
          <w:sz w:val="21"/>
          <w:szCs w:val="21"/>
          <w:highlight w:val="none"/>
          <w:lang w:eastAsia="zh-CN"/>
          <w14:textFill>
            <w14:solidFill>
              <w14:schemeClr w14:val="tx1"/>
            </w14:solidFill>
          </w14:textFill>
        </w:rPr>
        <w:t>（具体运维要求详见附件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用户需求书第七节光伏电站运维要求）</w:t>
      </w:r>
      <w:r>
        <w:rPr>
          <w:rFonts w:hint="eastAsia" w:ascii="宋体" w:hAnsi="宋体" w:eastAsia="宋体" w:cs="宋体"/>
          <w:color w:val="000000" w:themeColor="text1"/>
          <w:sz w:val="21"/>
          <w:szCs w:val="21"/>
          <w:highlight w:val="none"/>
          <w14:textFill>
            <w14:solidFill>
              <w14:schemeClr w14:val="tx1"/>
            </w14:solidFill>
          </w14:textFill>
        </w:rPr>
        <w:t>，并承担相关费用。</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的运营维护方案应事先</w:t>
      </w:r>
      <w:r>
        <w:rPr>
          <w:rFonts w:hint="eastAsia" w:ascii="宋体" w:hAnsi="宋体" w:eastAsia="宋体" w:cs="宋体"/>
          <w:color w:val="000000" w:themeColor="text1"/>
          <w:sz w:val="21"/>
          <w:szCs w:val="21"/>
          <w:highlight w:val="none"/>
          <w:lang w:val="en-US" w:eastAsia="zh-CN"/>
          <w14:textFill>
            <w14:solidFill>
              <w14:schemeClr w14:val="tx1"/>
            </w14:solidFill>
          </w14:textFill>
        </w:rPr>
        <w:t>书面</w:t>
      </w:r>
      <w:r>
        <w:rPr>
          <w:rFonts w:hint="eastAsia" w:ascii="宋体" w:hAnsi="宋体" w:eastAsia="宋体" w:cs="宋体"/>
          <w:color w:val="000000" w:themeColor="text1"/>
          <w:sz w:val="21"/>
          <w:szCs w:val="21"/>
          <w:highlight w:val="none"/>
          <w14:textFill>
            <w14:solidFill>
              <w14:schemeClr w14:val="tx1"/>
            </w14:solidFill>
          </w14:textFill>
        </w:rPr>
        <w:t>通知</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对电站设备进行维护、检查等工作时应提前七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个工作日书面通知</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，并在工作过程中遵守</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的相关规定。</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对电站进行维护和检修时，</w:t>
      </w:r>
      <w:r>
        <w:rPr>
          <w:rFonts w:hint="eastAsia" w:ascii="宋体" w:hAnsi="宋体" w:eastAsia="宋体" w:cs="宋体"/>
          <w:color w:val="000000" w:themeColor="text1"/>
          <w:sz w:val="21"/>
          <w:szCs w:val="21"/>
          <w:highlight w:val="none"/>
          <w:lang w:val="en-US" w:eastAsia="zh-CN"/>
          <w14:textFill>
            <w14:solidFill>
              <w14:schemeClr w14:val="tx1"/>
            </w14:solidFill>
          </w14:textFill>
        </w:rPr>
        <w:t>经乙方申请，可为</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的需求提供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w:t>
      </w:r>
      <w:r>
        <w:rPr>
          <w:rFonts w:hint="eastAsia" w:ascii="宋体" w:hAnsi="宋体" w:eastAsia="宋体" w:cs="宋体"/>
          <w:color w:val="000000" w:themeColor="text1"/>
          <w:sz w:val="21"/>
          <w:szCs w:val="21"/>
          <w:highlight w:val="none"/>
          <w14:textFill>
            <w14:solidFill>
              <w14:schemeClr w14:val="tx1"/>
            </w14:solidFill>
          </w14:textFill>
        </w:rPr>
        <w:t>便利。</w:t>
      </w:r>
    </w:p>
    <w:p w14:paraId="2C30A6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4.2 </w:t>
      </w:r>
      <w:r>
        <w:rPr>
          <w:rFonts w:hint="eastAsia" w:ascii="宋体" w:hAnsi="宋体" w:eastAsia="宋体" w:cs="宋体"/>
          <w:color w:val="000000" w:themeColor="text1"/>
          <w:sz w:val="21"/>
          <w:szCs w:val="21"/>
          <w:highlight w:val="none"/>
          <w:lang w:eastAsia="zh-CN"/>
          <w14:textFill>
            <w14:solidFill>
              <w14:schemeClr w14:val="tx1"/>
            </w14:solidFill>
          </w14:textFill>
        </w:rPr>
        <w:t>在合同期限内，</w:t>
      </w:r>
      <w:r>
        <w:rPr>
          <w:rFonts w:hint="eastAsia" w:ascii="宋体" w:hAnsi="宋体" w:eastAsia="宋体" w:cs="宋体"/>
          <w:color w:val="000000" w:themeColor="text1"/>
          <w:sz w:val="21"/>
          <w:szCs w:val="21"/>
          <w:highlight w:val="none"/>
          <w14:textFill>
            <w14:solidFill>
              <w14:schemeClr w14:val="tx1"/>
            </w14:solidFill>
          </w14:textFill>
        </w:rPr>
        <w:t>若因乙方电力系统出现故障或其他乙方责任范围内的原因，导致无法正常向甲方供电的，乙方在接</w:t>
      </w:r>
      <w:r>
        <w:rPr>
          <w:rFonts w:hint="eastAsia" w:ascii="宋体" w:hAnsi="宋体" w:eastAsia="宋体" w:cs="宋体"/>
          <w:color w:val="000000" w:themeColor="text1"/>
          <w:sz w:val="21"/>
          <w:szCs w:val="21"/>
          <w:highlight w:val="none"/>
          <w:lang w:eastAsia="zh-CN"/>
          <w14:textFill>
            <w14:solidFill>
              <w14:schemeClr w14:val="tx1"/>
            </w14:solidFill>
          </w14:textFill>
        </w:rPr>
        <w:t>到</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故障报告后</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小时内响应，</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小时</w:t>
      </w:r>
      <w:r>
        <w:rPr>
          <w:rFonts w:hint="eastAsia" w:ascii="宋体" w:hAnsi="宋体" w:eastAsia="宋体" w:cs="宋体"/>
          <w:color w:val="000000" w:themeColor="text1"/>
          <w:sz w:val="21"/>
          <w:szCs w:val="21"/>
          <w:highlight w:val="none"/>
          <w14:textFill>
            <w14:solidFill>
              <w14:schemeClr w14:val="tx1"/>
            </w14:solidFill>
          </w14:textFill>
        </w:rPr>
        <w:t>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到达项目现场进行维修等服务</w:t>
      </w:r>
      <w:r>
        <w:rPr>
          <w:rFonts w:hint="eastAsia" w:ascii="宋体" w:hAnsi="宋体" w:eastAsia="宋体" w:cs="宋体"/>
          <w:color w:val="000000" w:themeColor="text1"/>
          <w:sz w:val="21"/>
          <w:szCs w:val="21"/>
          <w:highlight w:val="none"/>
          <w14:textFill>
            <w14:solidFill>
              <w14:schemeClr w14:val="tx1"/>
            </w14:solidFill>
          </w14:textFill>
        </w:rPr>
        <w:t>，并</w:t>
      </w:r>
      <w:r>
        <w:rPr>
          <w:rFonts w:hint="eastAsia" w:ascii="宋体" w:hAnsi="宋体" w:eastAsia="宋体" w:cs="宋体"/>
          <w:color w:val="000000" w:themeColor="text1"/>
          <w:sz w:val="21"/>
          <w:szCs w:val="21"/>
          <w:highlight w:val="none"/>
          <w:lang w:eastAsia="zh-CN"/>
          <w14:textFill>
            <w14:solidFill>
              <w14:schemeClr w14:val="tx1"/>
            </w14:solidFill>
          </w14:textFill>
        </w:rPr>
        <w:t>同时</w:t>
      </w:r>
      <w:r>
        <w:rPr>
          <w:rFonts w:hint="eastAsia" w:ascii="宋体" w:hAnsi="宋体" w:eastAsia="宋体" w:cs="宋体"/>
          <w:color w:val="000000" w:themeColor="text1"/>
          <w:sz w:val="21"/>
          <w:szCs w:val="21"/>
          <w:highlight w:val="none"/>
          <w14:textFill>
            <w14:solidFill>
              <w14:schemeClr w14:val="tx1"/>
            </w14:solidFill>
          </w14:textFill>
        </w:rPr>
        <w:t>组织专业团队进行维修，或采取一切必要且高效的措施，确保在不超过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48小时</w:t>
      </w:r>
      <w:r>
        <w:rPr>
          <w:rFonts w:hint="eastAsia" w:ascii="宋体" w:hAnsi="宋体" w:eastAsia="宋体" w:cs="宋体"/>
          <w:color w:val="000000" w:themeColor="text1"/>
          <w:sz w:val="21"/>
          <w:szCs w:val="21"/>
          <w:highlight w:val="none"/>
          <w14:textFill>
            <w14:solidFill>
              <w14:schemeClr w14:val="tx1"/>
            </w14:solidFill>
          </w14:textFill>
        </w:rPr>
        <w:t>内恢复电力正常供应，以最大程度地减少对甲方运营活动的干扰。</w:t>
      </w:r>
    </w:p>
    <w:p w14:paraId="45AA8D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在遭遇供电设备故障需紧急抢修，必须实施临时停电的情况下，乙方应至少提前</w:t>
      </w:r>
      <w:r>
        <w:rPr>
          <w:rFonts w:hint="eastAsia" w:ascii="宋体" w:hAnsi="宋体" w:eastAsia="宋体" w:cs="宋体"/>
          <w:color w:val="000000" w:themeColor="text1"/>
          <w:sz w:val="21"/>
          <w:szCs w:val="21"/>
          <w:highlight w:val="none"/>
          <w:lang w:val="en-US" w:eastAsia="zh-CN"/>
          <w14:textFill>
            <w14:solidFill>
              <w14:schemeClr w14:val="tx1"/>
            </w14:solidFill>
          </w14:textFill>
        </w:rPr>
        <w:t>1日</w:t>
      </w:r>
      <w:r>
        <w:rPr>
          <w:rFonts w:hint="eastAsia" w:ascii="宋体" w:hAnsi="宋体" w:eastAsia="宋体" w:cs="宋体"/>
          <w:color w:val="000000" w:themeColor="text1"/>
          <w:sz w:val="21"/>
          <w:szCs w:val="21"/>
          <w:highlight w:val="none"/>
          <w14:textFill>
            <w14:solidFill>
              <w14:schemeClr w14:val="tx1"/>
            </w14:solidFill>
          </w14:textFill>
        </w:rPr>
        <w:t>通知甲方，清晰告知停电的具体原因、预计的开始与结束时间，以及恢复供电的确切计划。甲方在接到通知后，将根据实际情况提供必要的配合。乙方应对因停电给甲方造成的任何直接或间接损失承担全部责任，并确保采取一切合理且及时的措施，以最大限度地减轻该等损失对甲方的影响。</w:t>
      </w:r>
    </w:p>
    <w:p w14:paraId="131D0B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第五条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项目场地的维护和使用</w:t>
      </w:r>
    </w:p>
    <w:p w14:paraId="1F7CB6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如果确需对项目场地进行改造的，甲、乙双方需共同协商确认改造方案,但对项目场地的改造不可影响其用于建设、运营电站的功能</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应保障改造后的项目场地仍能按原来功能供</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运营电站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如因</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原因要求修订</w:t>
      </w:r>
      <w:r>
        <w:rPr>
          <w:rFonts w:hint="eastAsia" w:ascii="宋体" w:hAnsi="宋体" w:eastAsia="宋体" w:cs="宋体"/>
          <w:color w:val="000000" w:themeColor="text1"/>
          <w:sz w:val="21"/>
          <w:szCs w:val="21"/>
          <w:highlight w:val="none"/>
          <w:lang w:eastAsia="zh-CN"/>
          <w14:textFill>
            <w14:solidFill>
              <w14:schemeClr w14:val="tx1"/>
            </w14:solidFill>
          </w14:textFill>
        </w:rPr>
        <w:t>本合同</w:t>
      </w:r>
      <w:r>
        <w:rPr>
          <w:rFonts w:hint="eastAsia" w:ascii="宋体" w:hAnsi="宋体" w:eastAsia="宋体" w:cs="宋体"/>
          <w:color w:val="000000" w:themeColor="text1"/>
          <w:sz w:val="21"/>
          <w:szCs w:val="21"/>
          <w:highlight w:val="none"/>
          <w14:textFill>
            <w14:solidFill>
              <w14:schemeClr w14:val="tx1"/>
            </w14:solidFill>
          </w14:textFill>
        </w:rPr>
        <w:t>约定的项目场地交付条件并需对项目场地进行改造的，</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承担改造费用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如因甲、乙双方原因需对项目场地进行改造的，双方应对改造费用等事宜予以协商解决。</w:t>
      </w:r>
    </w:p>
    <w:p w14:paraId="768D13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合同期内，</w:t>
      </w:r>
      <w:r>
        <w:rPr>
          <w:rFonts w:hint="eastAsia" w:ascii="宋体" w:hAnsi="宋体" w:eastAsia="宋体" w:cs="宋体"/>
          <w:color w:val="000000" w:themeColor="text1"/>
          <w:sz w:val="21"/>
          <w:szCs w:val="21"/>
          <w:highlight w:val="none"/>
          <w14:textFill>
            <w14:solidFill>
              <w14:schemeClr w14:val="tx1"/>
            </w14:solidFill>
          </w14:textFill>
        </w:rPr>
        <w:t>如遇对项目场地进行拆迁，导致项目需拆除的，拆迁方案应经过甲乙双方共同认可，项目拆迁工作的具体实施方案由</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负责与相关部门进行沟通。</w:t>
      </w:r>
    </w:p>
    <w:p w14:paraId="133A3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电站建设、运营、拆除过程中，如</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对项目场地造成损害的，甲、乙双方共同对损害进行评估并确认后，由</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承担相关维修费用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给甲方造成损失的，还需赔偿甲方损失</w:t>
      </w:r>
      <w:r>
        <w:rPr>
          <w:rFonts w:hint="eastAsia" w:ascii="宋体" w:hAnsi="宋体" w:eastAsia="宋体" w:cs="宋体"/>
          <w:color w:val="000000" w:themeColor="text1"/>
          <w:sz w:val="21"/>
          <w:szCs w:val="21"/>
          <w:highlight w:val="none"/>
          <w14:textFill>
            <w14:solidFill>
              <w14:schemeClr w14:val="tx1"/>
            </w14:solidFill>
          </w14:textFill>
        </w:rPr>
        <w:t>。</w:t>
      </w:r>
    </w:p>
    <w:p w14:paraId="2656DD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xml:space="preserve">第六条 </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计量要求</w:t>
      </w:r>
    </w:p>
    <w:p w14:paraId="79085A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6.1乙方按国家规定在入网前端经甲方认可的位置安装电能计量装置。该电能计量装置的记录作为甲乙双方计算用电量与电费的唯一依据。</w:t>
      </w:r>
    </w:p>
    <w:p w14:paraId="5A140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6.2为准确计量乙方电站发电量、甲方所用乙方电量、乙方上网电量，甲乙双方同意由供电公司为电站安装关口电能计量装置。</w:t>
      </w:r>
    </w:p>
    <w:p w14:paraId="5686D1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6.3电能计量装置的安装、移动、更换、校验、拆除、加封、启封、定期检测、维修等均由乙方负责，甲乙双方共同见证，甲方提供协助和配合。</w:t>
      </w:r>
    </w:p>
    <w:p w14:paraId="799144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6.4乙方保障电能计量装置的准确性已通过国家计量检测部门的检测认证，并根据国家电网规定对其进行校验并提供校验证书，由此产生的费用由乙方承担。</w:t>
      </w:r>
    </w:p>
    <w:p w14:paraId="7303D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6.5电能计量装置的故障排查和定期检测，由经国家计量管理部门认可、甲乙双方确认的电能计量检测机构进行，甲乙双方共同参加。</w:t>
      </w:r>
    </w:p>
    <w:p w14:paraId="30D38E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6.6任何一方可随时要求对电能计量装置进行定期检测之外的检测或测试，检测或测试由经国家计量管理部门认可、甲乙双方确认的电能计量检测机构进行。如果经过检测或测试发现电能计量装置误差达不到规定的精度，由此发生的费用，光伏发电电能计量装置由乙方承担；如果不超差，则由提出检测或测试的一方承担。</w:t>
      </w:r>
    </w:p>
    <w:p w14:paraId="501101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6.7电能计量异常处理：</w:t>
      </w:r>
    </w:p>
    <w:p w14:paraId="0744C1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（1）任一方发现电能计量装置异常或出现故障而影响电能计量时，应立刻通知对方和甲乙双方认可的计量检测机构，共同排查问题，尽快恢复正常计量。</w:t>
      </w:r>
    </w:p>
    <w:p w14:paraId="53B0F7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（2）甲乙双方在充分协商的基础上，可根据光伏逆变器发电量等设备提供的信息，确认异常期内的电量。</w:t>
      </w:r>
    </w:p>
    <w:p w14:paraId="596640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第七条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支付方式及相关要求</w:t>
      </w:r>
    </w:p>
    <w:p w14:paraId="2367B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 考核方式</w:t>
      </w:r>
    </w:p>
    <w:p w14:paraId="55A12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本项目服务支付实行考核制，乙方应确保所辖目标项目现场运行维护工作顺利进行。发电量考核数据（即年发电保底电量）按月统计、确认，以一年为周期考核，考核期限为光伏发电项目并网验收通过后连续三年运营期。</w:t>
      </w:r>
    </w:p>
    <w:p w14:paraId="6BF882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）因甲方因素计划停电/检修产生的电量损失、</w:t>
      </w:r>
      <w:r>
        <w:rPr>
          <w:rFonts w:hint="eastAsia" w:ascii="宋体" w:hAnsi="宋体" w:eastAsia="宋体" w:cs="宋体"/>
          <w:color w:val="000000" w:themeColor="text1"/>
          <w:sz w:val="21"/>
          <w:szCs w:val="21"/>
          <w:highlight w:val="none"/>
          <w:lang w:val="en-US" w:eastAsia="zh-CN"/>
          <w14:textFill>
            <w14:solidFill>
              <w14:schemeClr w14:val="tx1"/>
            </w14:solidFill>
          </w14:textFill>
        </w:rPr>
        <w:t>双方认定的</w:t>
      </w:r>
      <w:r>
        <w:rPr>
          <w:rFonts w:hint="eastAsia" w:ascii="宋体" w:hAnsi="宋体" w:eastAsia="宋体" w:cs="宋体"/>
          <w:color w:val="000000" w:themeColor="text1"/>
          <w:sz w:val="21"/>
          <w:szCs w:val="21"/>
          <w:highlight w:val="none"/>
          <w:lang w:eastAsia="zh-CN"/>
          <w14:textFill>
            <w14:solidFill>
              <w14:schemeClr w14:val="tx1"/>
            </w14:solidFill>
          </w14:textFill>
        </w:rPr>
        <w:t>不可抗力影响的发电量损失等不在考核范围内，属于免考核发电量。</w:t>
      </w:r>
    </w:p>
    <w:p w14:paraId="014ABF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）当光伏电站由于乙方自身原因未达到</w:t>
      </w:r>
      <w:r>
        <w:rPr>
          <w:rFonts w:hint="eastAsia" w:ascii="宋体" w:hAnsi="宋体" w:eastAsia="宋体" w:cs="宋体"/>
          <w:color w:val="000000" w:themeColor="text1"/>
          <w:sz w:val="21"/>
          <w:szCs w:val="21"/>
          <w:highlight w:val="none"/>
          <w:lang w:val="en-US" w:eastAsia="zh-CN"/>
          <w14:textFill>
            <w14:solidFill>
              <w14:schemeClr w14:val="tx1"/>
            </w14:solidFill>
          </w14:textFill>
        </w:rPr>
        <w:t>当期年</w:t>
      </w:r>
      <w:r>
        <w:rPr>
          <w:rFonts w:hint="eastAsia" w:ascii="宋体" w:hAnsi="宋体" w:eastAsia="宋体" w:cs="宋体"/>
          <w:color w:val="000000" w:themeColor="text1"/>
          <w:sz w:val="21"/>
          <w:szCs w:val="21"/>
          <w:highlight w:val="none"/>
          <w:lang w:eastAsia="zh-CN"/>
          <w14:textFill>
            <w14:solidFill>
              <w14:schemeClr w14:val="tx1"/>
            </w14:solidFill>
          </w14:textFill>
        </w:rPr>
        <w:t>考核发电量时，向甲方补足本应发电量的差额部分，即差额电费（元）=（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lang w:eastAsia="zh-CN"/>
          <w14:textFill>
            <w14:solidFill>
              <w14:schemeClr w14:val="tx1"/>
            </w14:solidFill>
          </w14:textFill>
        </w:rPr>
        <w:t>考核发电量-</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lang w:eastAsia="zh-CN"/>
          <w14:textFill>
            <w14:solidFill>
              <w14:schemeClr w14:val="tx1"/>
            </w14:solidFill>
          </w14:textFill>
        </w:rPr>
        <w:t>实际发电量）（kW</w:t>
      </w: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甲方电网购电年平均电价-</w:t>
      </w:r>
      <w:r>
        <w:rPr>
          <w:rFonts w:hint="eastAsia" w:ascii="宋体" w:hAnsi="宋体" w:eastAsia="宋体" w:cs="宋体"/>
          <w:color w:val="000000" w:themeColor="text1"/>
          <w:sz w:val="21"/>
          <w:szCs w:val="21"/>
          <w:highlight w:val="none"/>
          <w:lang w:eastAsia="zh-CN"/>
          <w14:textFill>
            <w14:solidFill>
              <w14:schemeClr w14:val="tx1"/>
            </w14:solidFill>
          </w14:textFill>
        </w:rPr>
        <w:t>中标综合单价）（元/kW</w:t>
      </w: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r>
        <w:rPr>
          <w:rFonts w:hint="eastAsia" w:ascii="宋体" w:hAnsi="宋体" w:eastAsia="宋体" w:cs="宋体"/>
          <w:color w:val="000000" w:themeColor="text1"/>
          <w:sz w:val="21"/>
          <w:szCs w:val="21"/>
          <w:highlight w:val="none"/>
          <w:lang w:eastAsia="zh-CN"/>
          <w14:textFill>
            <w14:solidFill>
              <w14:schemeClr w14:val="tx1"/>
            </w14:solidFill>
          </w14:textFill>
        </w:rPr>
        <w:t>），差额电费在次年甲方支付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的购电费用中扣减。</w:t>
      </w:r>
    </w:p>
    <w:p w14:paraId="09CD2F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）当光伏电站等于或超过相应年限考核发电量时，不予奖励。</w:t>
      </w:r>
    </w:p>
    <w:p w14:paraId="5FF729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）光伏</w:t>
      </w:r>
      <w:r>
        <w:rPr>
          <w:rFonts w:hint="eastAsia" w:ascii="宋体" w:hAnsi="宋体" w:eastAsia="宋体" w:cs="宋体"/>
          <w:color w:val="000000" w:themeColor="text1"/>
          <w:sz w:val="21"/>
          <w:szCs w:val="21"/>
          <w:highlight w:val="none"/>
          <w:lang w:val="en-US" w:eastAsia="zh-CN"/>
          <w14:textFill>
            <w14:solidFill>
              <w14:schemeClr w14:val="tx1"/>
            </w14:solidFill>
          </w14:textFill>
        </w:rPr>
        <w:t>发电项目</w:t>
      </w:r>
      <w:r>
        <w:rPr>
          <w:rFonts w:hint="eastAsia" w:ascii="宋体" w:hAnsi="宋体" w:eastAsia="宋体" w:cs="宋体"/>
          <w:color w:val="000000" w:themeColor="text1"/>
          <w:sz w:val="21"/>
          <w:szCs w:val="21"/>
          <w:highlight w:val="none"/>
          <w:lang w:eastAsia="zh-CN"/>
          <w14:textFill>
            <w14:solidFill>
              <w14:schemeClr w14:val="tx1"/>
            </w14:solidFill>
          </w14:textFill>
        </w:rPr>
        <w:t>运营期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考核发电量</w:t>
      </w:r>
      <w:r>
        <w:rPr>
          <w:rFonts w:hint="eastAsia" w:ascii="宋体" w:hAnsi="宋体" w:eastAsia="宋体" w:cs="宋体"/>
          <w:color w:val="000000" w:themeColor="text1"/>
          <w:sz w:val="21"/>
          <w:szCs w:val="21"/>
          <w:highlight w:val="none"/>
          <w:lang w:eastAsia="zh-CN"/>
          <w14:textFill>
            <w14:solidFill>
              <w14:schemeClr w14:val="tx1"/>
            </w14:solidFill>
          </w14:textFill>
        </w:rPr>
        <w:t>详见附件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用户需求书。</w:t>
      </w:r>
    </w:p>
    <w:p w14:paraId="5DC19F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w:t>
      </w:r>
      <w:r>
        <w:rPr>
          <w:rFonts w:hint="eastAsia" w:ascii="宋体" w:hAnsi="宋体" w:eastAsia="宋体" w:cs="宋体"/>
          <w:color w:val="000000" w:themeColor="text1"/>
          <w:sz w:val="21"/>
          <w:szCs w:val="21"/>
          <w:highlight w:val="none"/>
          <w:lang w:eastAsia="zh-CN"/>
          <w14:textFill>
            <w14:solidFill>
              <w14:schemeClr w14:val="tx1"/>
            </w14:solidFill>
          </w14:textFill>
        </w:rPr>
        <w:t>本合同中标综合单价（即销售额，不含乙方销项税额）为¥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元/kW</w:t>
      </w: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r>
        <w:rPr>
          <w:rFonts w:hint="eastAsia" w:ascii="宋体" w:hAnsi="宋体" w:eastAsia="宋体" w:cs="宋体"/>
          <w:color w:val="000000" w:themeColor="text1"/>
          <w:sz w:val="21"/>
          <w:szCs w:val="21"/>
          <w:highlight w:val="none"/>
          <w:lang w:eastAsia="zh-CN"/>
          <w14:textFill>
            <w14:solidFill>
              <w14:schemeClr w14:val="tx1"/>
            </w14:solidFill>
          </w14:textFill>
        </w:rPr>
        <w:t>（大写人民币每kW</w:t>
      </w: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），合同签订之日起不因市场行情变化等任何原因而调整综合单价。</w:t>
      </w:r>
    </w:p>
    <w:p w14:paraId="202A86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w:t>
      </w:r>
      <w:r>
        <w:rPr>
          <w:rFonts w:hint="eastAsia" w:ascii="宋体" w:hAnsi="宋体" w:eastAsia="宋体" w:cs="宋体"/>
          <w:color w:val="000000" w:themeColor="text1"/>
          <w:sz w:val="21"/>
          <w:szCs w:val="21"/>
          <w:highlight w:val="none"/>
          <w:lang w:eastAsia="zh-CN"/>
          <w14:textFill>
            <w14:solidFill>
              <w14:schemeClr w14:val="tx1"/>
            </w14:solidFill>
          </w14:textFill>
        </w:rPr>
        <w:t>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 ，在本合同履行过程中，税收政策变动导致增值税税率调整，依法应调整销项税额的，依法调整；但因乙方未按甲方要求完成服务、未根据合同约定提供合法、完整的请款资料或其他原因导致销项税额增加的，相应损失由乙方承担。</w:t>
      </w:r>
    </w:p>
    <w:p w14:paraId="1EA31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因乙方未按法定税率计算税额或未根据本合同约定出具对应税额的增值税专用发票等乙方原因导致甲方多支付税额的，乙方必须退还甲方，给甲方造成损失的，乙方须向甲方赔偿相应损失。</w:t>
      </w:r>
    </w:p>
    <w:p w14:paraId="768E66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在合同的履行期间，乙方应按合同约定为甲方提供供电服务，如乙方被取消供电服务资格的，由此造成的一切损失由乙方承担。</w:t>
      </w:r>
    </w:p>
    <w:p w14:paraId="196E88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w:t>
      </w:r>
      <w:r>
        <w:rPr>
          <w:rFonts w:hint="eastAsia" w:ascii="宋体" w:hAnsi="宋体" w:eastAsia="宋体" w:cs="宋体"/>
          <w:color w:val="000000" w:themeColor="text1"/>
          <w:sz w:val="21"/>
          <w:szCs w:val="21"/>
          <w:highlight w:val="none"/>
          <w:lang w:eastAsia="zh-CN"/>
          <w14:textFill>
            <w14:solidFill>
              <w14:schemeClr w14:val="tx1"/>
            </w14:solidFill>
          </w14:textFill>
        </w:rPr>
        <w:t>乙方应承担完成合同义务的全部费用，包括但不限于：</w:t>
      </w:r>
    </w:p>
    <w:p w14:paraId="1E0523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乙方全额出资建设项目涉及的项目前期手续办理、现场勘测、建筑物承载力检测、光伏发电系统设备、配套设施、工程设计、供配电设备安装、通信调度、调试、运行、维护、间接费、风险及所有不可预见费等以及政府相关部门规定乙方缴纳的各种费用。</w:t>
      </w:r>
    </w:p>
    <w:p w14:paraId="398ADD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）合理利润、乙方销项税额以外的税费等；</w:t>
      </w:r>
    </w:p>
    <w:p w14:paraId="4BEDE3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）法律法规、商业公认、招标文件规定由乙方承担的其他直接及间接费用。</w:t>
      </w:r>
    </w:p>
    <w:p w14:paraId="2476B5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合同的履约过程中，乙方根据本合同约定需向甲方支付违约金、赔偿金、或其他应付费用等款项的，乙方必须向甲方支付完相关款项后，甲方才根据本合同向乙方支付应付的电费及对应的销项税额。若因乙方未能支付前述费用，影响项目实施的，甲方有权直接从未付的电费中扣除，且乙方必须按照扣除前述费用前的应付的电费（销售额）开具增值税专用发票，保证增值税税额符合法律规定。</w:t>
      </w:r>
    </w:p>
    <w:p w14:paraId="6C679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w:t>
      </w:r>
      <w:r>
        <w:rPr>
          <w:rFonts w:hint="eastAsia" w:ascii="宋体" w:hAnsi="宋体" w:eastAsia="宋体" w:cs="宋体"/>
          <w:color w:val="000000" w:themeColor="text1"/>
          <w:sz w:val="21"/>
          <w:szCs w:val="21"/>
          <w:highlight w:val="none"/>
          <w:lang w:eastAsia="zh-CN"/>
          <w14:textFill>
            <w14:solidFill>
              <w14:schemeClr w14:val="tx1"/>
            </w14:solidFill>
          </w14:textFill>
        </w:rPr>
        <w:t>付款方式</w:t>
      </w:r>
    </w:p>
    <w:p w14:paraId="382BF8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（一）双方一致同意，甲方通过以下的计算方式，</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每月</w:t>
      </w:r>
      <w:r>
        <w:rPr>
          <w:rFonts w:hint="eastAsia" w:ascii="宋体" w:hAnsi="宋体" w:eastAsia="宋体" w:cs="宋体"/>
          <w:color w:val="000000" w:themeColor="text1"/>
          <w:sz w:val="21"/>
          <w:szCs w:val="21"/>
          <w:highlight w:val="none"/>
          <w:lang w:eastAsia="zh-CN"/>
          <w14:textFill>
            <w14:solidFill>
              <w14:schemeClr w14:val="tx1"/>
            </w14:solidFill>
          </w14:textFill>
        </w:rPr>
        <w:t>向乙方支付实际服务费：</w:t>
      </w:r>
    </w:p>
    <w:p w14:paraId="4D0300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结算费用（不含销项税额）=中标综合单价（不含销项税额）×上月实际用电量。中标综合单价（不含销项税额）在合同执行期间固定不变，不得因材料、劳务成本、服务的行业标准或国家标准的变动或其他任何理由予以变更。</w:t>
      </w:r>
    </w:p>
    <w:p w14:paraId="28DD7A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（二）双方一致同意，甲方通过以下方式以人民币支付服务费给乙方：</w:t>
      </w:r>
    </w:p>
    <w:p w14:paraId="6F3310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在甲方对乙方提供的符合要求的发票进行审核并核定实际用电量后，确定实际应付的电费及对应的销项税额，由乙方向甲方提交请款报告并根据甲方需求，开具合法等额的增值税专用发票，甲方在收到请款报告及发票后次月15日</w:t>
      </w:r>
      <w:r>
        <w:rPr>
          <w:rFonts w:hint="eastAsia" w:ascii="宋体" w:hAnsi="宋体" w:eastAsia="宋体" w:cs="宋体"/>
          <w:color w:val="000000" w:themeColor="text1"/>
          <w:sz w:val="21"/>
          <w:szCs w:val="21"/>
          <w:highlight w:val="none"/>
          <w:lang w:val="en-US" w:eastAsia="zh-CN"/>
          <w14:textFill>
            <w14:solidFill>
              <w14:schemeClr w14:val="tx1"/>
            </w14:solidFill>
          </w14:textFill>
        </w:rPr>
        <w:t>前</w:t>
      </w:r>
      <w:r>
        <w:rPr>
          <w:rFonts w:hint="eastAsia" w:ascii="宋体" w:hAnsi="宋体" w:eastAsia="宋体" w:cs="宋体"/>
          <w:color w:val="000000" w:themeColor="text1"/>
          <w:sz w:val="21"/>
          <w:szCs w:val="21"/>
          <w:highlight w:val="none"/>
          <w:lang w:eastAsia="zh-CN"/>
          <w14:textFill>
            <w14:solidFill>
              <w14:schemeClr w14:val="tx1"/>
            </w14:solidFill>
          </w14:textFill>
        </w:rPr>
        <w:t>向乙方支付实际应付的电费及对应的销项税额。</w:t>
      </w:r>
      <w:r>
        <w:rPr>
          <w:rFonts w:hint="eastAsia" w:ascii="宋体" w:hAnsi="宋体" w:eastAsia="宋体" w:cs="宋体"/>
          <w:color w:val="000000" w:themeColor="text1"/>
          <w:szCs w:val="21"/>
          <w:highlight w:val="none"/>
          <w:lang w:val="en-US" w:eastAsia="zh-CN"/>
          <w14:textFill>
            <w14:solidFill>
              <w14:schemeClr w14:val="tx1"/>
            </w14:solidFill>
          </w14:textFill>
        </w:rPr>
        <w:t>甲方通过银行转账或银行承兑汇票方式支付相应款项至乙方银行账户中，汇票期限不超过三个月，每期款项支付方式由甲方决定。</w:t>
      </w:r>
      <w:r>
        <w:rPr>
          <w:rFonts w:hint="eastAsia" w:ascii="宋体" w:hAnsi="宋体" w:eastAsia="宋体" w:cs="宋体"/>
          <w:color w:val="000000" w:themeColor="text1"/>
          <w:sz w:val="21"/>
          <w:szCs w:val="21"/>
          <w:highlight w:val="none"/>
          <w:lang w:eastAsia="zh-CN"/>
          <w14:textFill>
            <w14:solidFill>
              <w14:schemeClr w14:val="tx1"/>
            </w14:solidFill>
          </w14:textFill>
        </w:rPr>
        <w:t>乙方向甲方开具的增值税专用发票，保证真实合法有效，否则，甲方有权拒绝付款，付款期限相应顺延。由于乙方提供的发票不符合税法规定，给甲方造成的损失由乙方承担赔偿责任。</w:t>
      </w:r>
    </w:p>
    <w:p w14:paraId="17D71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乙方收款账号：</w:t>
      </w:r>
    </w:p>
    <w:p w14:paraId="633E8C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户名：</w:t>
      </w:r>
    </w:p>
    <w:p w14:paraId="2205B4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开户行：</w:t>
      </w:r>
    </w:p>
    <w:p w14:paraId="02E0A4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账号：</w:t>
      </w:r>
    </w:p>
    <w:p w14:paraId="29A203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第八条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lang w:eastAsia="zh-CN"/>
          <w14:textFill>
            <w14:solidFill>
              <w14:schemeClr w14:val="tx1"/>
            </w14:solidFill>
          </w14:textFill>
        </w:rPr>
        <w:t>乙方</w:t>
      </w:r>
      <w:r>
        <w:rPr>
          <w:rFonts w:hint="eastAsia" w:ascii="宋体" w:hAnsi="宋体" w:eastAsia="宋体" w:cs="宋体"/>
          <w:b/>
          <w:bCs/>
          <w:color w:val="000000" w:themeColor="text1"/>
          <w:sz w:val="21"/>
          <w:szCs w:val="21"/>
          <w:highlight w:val="none"/>
          <w14:textFill>
            <w14:solidFill>
              <w14:schemeClr w14:val="tx1"/>
            </w14:solidFill>
          </w14:textFill>
        </w:rPr>
        <w:t>的权利义务</w:t>
      </w:r>
    </w:p>
    <w:p w14:paraId="5A21CA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w:t>
      </w:r>
      <w:r>
        <w:rPr>
          <w:rFonts w:hint="eastAsia" w:ascii="宋体" w:hAnsi="宋体" w:eastAsia="宋体" w:cs="宋体"/>
          <w:color w:val="000000" w:themeColor="text1"/>
          <w:sz w:val="21"/>
          <w:szCs w:val="21"/>
          <w:highlight w:val="none"/>
          <w:lang w:eastAsia="zh-CN"/>
          <w14:textFill>
            <w14:solidFill>
              <w14:schemeClr w14:val="tx1"/>
            </w14:solidFill>
          </w14:textFill>
        </w:rPr>
        <w:t>服务期</w:t>
      </w:r>
      <w:r>
        <w:rPr>
          <w:rFonts w:hint="eastAsia" w:ascii="宋体" w:hAnsi="宋体" w:eastAsia="宋体" w:cs="宋体"/>
          <w:color w:val="000000" w:themeColor="text1"/>
          <w:sz w:val="21"/>
          <w:szCs w:val="21"/>
          <w:highlight w:val="none"/>
          <w14:textFill>
            <w14:solidFill>
              <w14:schemeClr w14:val="tx1"/>
            </w14:solidFill>
          </w14:textFill>
        </w:rPr>
        <w:t>内，</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应当按约定的用途使用项目场地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未经</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同意，不可擅自影响</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的正常生产经营。</w:t>
      </w:r>
    </w:p>
    <w:p w14:paraId="0698E0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负责电站相关审批、备案手续、证照的办理及与供电部门的接入协调事项，</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应提供必要的协助。</w:t>
      </w:r>
    </w:p>
    <w:p w14:paraId="33C9B6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8.3在</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将与电站相关的</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内部规章制度和特殊安全规定要求尽快、准确告知</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的前提下，</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应确保员工及其聘请的第三方在电站建设、运营、管理过程中遵守</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的上述相关规章制度。</w:t>
      </w:r>
    </w:p>
    <w:p w14:paraId="36029B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w:t>
      </w:r>
      <w:r>
        <w:rPr>
          <w:rFonts w:hint="eastAsia" w:ascii="宋体" w:hAnsi="宋体" w:eastAsia="宋体" w:cs="宋体"/>
          <w:color w:val="000000" w:themeColor="text1"/>
          <w:sz w:val="21"/>
          <w:szCs w:val="21"/>
          <w:highlight w:val="none"/>
          <w:lang w:eastAsia="zh-CN"/>
          <w14:textFill>
            <w14:solidFill>
              <w14:schemeClr w14:val="tx1"/>
            </w14:solidFill>
          </w14:textFill>
        </w:rPr>
        <w:t>在服务期限内，未经甲方书面同意，乙方不得向第三方转让项目公司股权或出售电站资产。</w:t>
      </w:r>
    </w:p>
    <w:p w14:paraId="6C944C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w:t>
      </w:r>
      <w:r>
        <w:rPr>
          <w:rFonts w:hint="eastAsia" w:ascii="宋体" w:hAnsi="宋体" w:eastAsia="宋体" w:cs="宋体"/>
          <w:color w:val="000000" w:themeColor="text1"/>
          <w:sz w:val="21"/>
          <w:szCs w:val="21"/>
          <w:highlight w:val="none"/>
          <w14:textFill>
            <w14:solidFill>
              <w14:schemeClr w14:val="tx1"/>
            </w14:solidFill>
          </w14:textFill>
        </w:rPr>
        <w:t>乙方应免费对甲方指派的操作人员进行适当的培训，以使其能了解设施的基本原理和操作，便于以后日常使用维护。</w:t>
      </w:r>
    </w:p>
    <w:p w14:paraId="165CF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设备的安装和调试应符合国家、行业或企业有关施工管理条例和与项目相对应的技术标准规范要求以及甲方合理的施工、管理要求。</w:t>
      </w:r>
    </w:p>
    <w:p w14:paraId="5854FE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.7项目建成后，乙方应建立健全项目运行维护管理制度，并严格执行。</w:t>
      </w:r>
    </w:p>
    <w:p w14:paraId="57C578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.8电站建成后，在</w:t>
      </w:r>
      <w:r>
        <w:rPr>
          <w:rFonts w:hint="eastAsia" w:ascii="宋体" w:hAnsi="宋体" w:eastAsia="宋体" w:cs="宋体"/>
          <w:color w:val="000000" w:themeColor="text1"/>
          <w:sz w:val="21"/>
          <w:szCs w:val="21"/>
          <w:highlight w:val="none"/>
          <w:lang w:eastAsia="zh-CN"/>
          <w14:textFill>
            <w14:solidFill>
              <w14:schemeClr w14:val="tx1"/>
            </w14:solidFill>
          </w14:textFill>
        </w:rPr>
        <w:t>合同</w:t>
      </w:r>
      <w:r>
        <w:rPr>
          <w:rFonts w:hint="eastAsia" w:ascii="宋体" w:hAnsi="宋体" w:eastAsia="宋体" w:cs="宋体"/>
          <w:color w:val="000000" w:themeColor="text1"/>
          <w:sz w:val="21"/>
          <w:szCs w:val="21"/>
          <w:highlight w:val="none"/>
          <w14:textFill>
            <w14:solidFill>
              <w14:schemeClr w14:val="tx1"/>
            </w14:solidFill>
          </w14:textFill>
        </w:rPr>
        <w:t>约定的使用期限内，电站所涉及的检修维护和故障处理工作全部由乙方负责，维护费用也全部由乙方负责。</w:t>
      </w:r>
    </w:p>
    <w:p w14:paraId="122F32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.9乙方应当确保其工作人员或者其聘请的第三方在项目实施、运行的整个过程中遵守相关法律法规，以及甲方的相关规章制度。</w:t>
      </w:r>
    </w:p>
    <w:p w14:paraId="2ADE87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.10乙方在项目的施工和电站运营期间，因乙方管理不当、电站故障造成所使用厂房和屋面损坏时，应负责进行修复，相关费用由乙方承担。</w:t>
      </w:r>
    </w:p>
    <w:p w14:paraId="5851B0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.11乙方所建电站的系统的接入性能应满足电网公司要求，保证甲方用户侧电气设备的安全运行；系统应设置足够的防雷设施，防止雷电感应及雷电波侵入对用户侧电气设备造成危害。</w:t>
      </w:r>
    </w:p>
    <w:p w14:paraId="6CC523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.12在项目竣工后，乙方应确保该项目施工过程中未给甲方造成损失，以及项目建设施工的质量是否合格。</w:t>
      </w:r>
    </w:p>
    <w:p w14:paraId="338119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.13乙方应保证与项目相关的设备、设施的运行符合国家法律法规及产业政策要求，保证与项目相关的设备、设施连续稳定运行且运行状况良好。</w:t>
      </w:r>
    </w:p>
    <w:p w14:paraId="3DDFDA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在电站施工期间，电站所占用屋面的维修、维护及发生费用由乙方负担，乙方应确保本项目实施过程中的施工安全，因施工所引起的任何安全事故均由乙方承担责任；若因乙方施工、维护及运营等原因造成甲方屋面破坏（如漏水等），乙方应及时修复破损部位，并承担相应赔偿责任。</w:t>
      </w:r>
    </w:p>
    <w:p w14:paraId="43761B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第九条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lang w:eastAsia="zh-CN"/>
          <w14:textFill>
            <w14:solidFill>
              <w14:schemeClr w14:val="tx1"/>
            </w14:solidFill>
          </w14:textFill>
        </w:rPr>
        <w:t>甲方</w:t>
      </w:r>
      <w:r>
        <w:rPr>
          <w:rFonts w:hint="eastAsia" w:ascii="宋体" w:hAnsi="宋体" w:eastAsia="宋体" w:cs="宋体"/>
          <w:b/>
          <w:bCs/>
          <w:color w:val="000000" w:themeColor="text1"/>
          <w:sz w:val="21"/>
          <w:szCs w:val="21"/>
          <w:highlight w:val="none"/>
          <w14:textFill>
            <w14:solidFill>
              <w14:schemeClr w14:val="tx1"/>
            </w14:solidFill>
          </w14:textFill>
        </w:rPr>
        <w:t>的权利义务</w:t>
      </w:r>
    </w:p>
    <w:p w14:paraId="7C9F7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应按</w:t>
      </w:r>
      <w:r>
        <w:rPr>
          <w:rFonts w:hint="eastAsia" w:ascii="宋体" w:hAnsi="宋体" w:eastAsia="宋体" w:cs="宋体"/>
          <w:color w:val="000000" w:themeColor="text1"/>
          <w:sz w:val="21"/>
          <w:szCs w:val="21"/>
          <w:highlight w:val="none"/>
          <w:lang w:eastAsia="zh-CN"/>
          <w14:textFill>
            <w14:solidFill>
              <w14:schemeClr w14:val="tx1"/>
            </w14:solidFill>
          </w14:textFill>
        </w:rPr>
        <w:t>本合同</w:t>
      </w:r>
      <w:r>
        <w:rPr>
          <w:rFonts w:hint="eastAsia" w:ascii="宋体" w:hAnsi="宋体" w:eastAsia="宋体" w:cs="宋体"/>
          <w:color w:val="000000" w:themeColor="text1"/>
          <w:sz w:val="21"/>
          <w:szCs w:val="21"/>
          <w:highlight w:val="none"/>
          <w14:textFill>
            <w14:solidFill>
              <w14:schemeClr w14:val="tx1"/>
            </w14:solidFill>
          </w14:textFill>
        </w:rPr>
        <w:t>约定向</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支付电费。</w:t>
      </w:r>
    </w:p>
    <w:p w14:paraId="047D8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应将其与电站相关的内部规章制度和特殊安全规定要求提前告知</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,以便</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遵守。</w:t>
      </w:r>
    </w:p>
    <w:p w14:paraId="7E7994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w:t>
      </w:r>
      <w:r>
        <w:rPr>
          <w:rFonts w:hint="eastAsia" w:ascii="宋体" w:hAnsi="宋体" w:eastAsia="宋体" w:cs="宋体"/>
          <w:color w:val="000000" w:themeColor="text1"/>
          <w:sz w:val="21"/>
          <w:szCs w:val="21"/>
          <w:highlight w:val="none"/>
          <w14:textFill>
            <w14:solidFill>
              <w14:schemeClr w14:val="tx1"/>
            </w14:solidFill>
          </w14:textFill>
        </w:rPr>
        <w:t>甲方对用于本项目的</w:t>
      </w:r>
      <w:r>
        <w:rPr>
          <w:rFonts w:hint="eastAsia" w:ascii="宋体" w:hAnsi="宋体" w:eastAsia="宋体" w:cs="宋体"/>
          <w:color w:val="000000" w:themeColor="text1"/>
          <w:sz w:val="21"/>
          <w:szCs w:val="21"/>
          <w:highlight w:val="none"/>
          <w:lang w:eastAsia="zh-CN"/>
          <w14:textFill>
            <w14:solidFill>
              <w14:schemeClr w14:val="tx1"/>
            </w14:solidFill>
          </w14:textFill>
        </w:rPr>
        <w:t>构筑物、</w:t>
      </w:r>
      <w:r>
        <w:rPr>
          <w:rFonts w:hint="eastAsia" w:ascii="宋体" w:hAnsi="宋体" w:eastAsia="宋体" w:cs="宋体"/>
          <w:color w:val="000000" w:themeColor="text1"/>
          <w:sz w:val="21"/>
          <w:szCs w:val="21"/>
          <w:highlight w:val="none"/>
          <w14:textFill>
            <w14:solidFill>
              <w14:schemeClr w14:val="tx1"/>
            </w14:solidFill>
          </w14:textFill>
        </w:rPr>
        <w:t>构筑物池面</w:t>
      </w:r>
      <w:r>
        <w:rPr>
          <w:rFonts w:hint="eastAsia" w:ascii="宋体" w:hAnsi="宋体" w:eastAsia="宋体" w:cs="宋体"/>
          <w:color w:val="000000" w:themeColor="text1"/>
          <w:sz w:val="21"/>
          <w:szCs w:val="21"/>
          <w:highlight w:val="none"/>
          <w:lang w:eastAsia="zh-CN"/>
          <w14:textFill>
            <w14:solidFill>
              <w14:schemeClr w14:val="tx1"/>
            </w14:solidFill>
          </w14:textFill>
        </w:rPr>
        <w:t>、建筑物及</w:t>
      </w:r>
      <w:r>
        <w:rPr>
          <w:rFonts w:hint="eastAsia" w:ascii="宋体" w:hAnsi="宋体" w:eastAsia="宋体" w:cs="宋体"/>
          <w:color w:val="000000" w:themeColor="text1"/>
          <w:sz w:val="21"/>
          <w:szCs w:val="21"/>
          <w:highlight w:val="none"/>
          <w14:textFill>
            <w14:solidFill>
              <w14:schemeClr w14:val="tx1"/>
            </w14:solidFill>
          </w14:textFill>
        </w:rPr>
        <w:t>建筑物屋面拥有并确保拥有持续、合法的所有权，在交付乙方使用前未存在任何未披露的抵押、担保或权利限制，也确保免受任何政府查封、冻结等强制性措施。本协议签订时，甲方向乙方出具主体资格证明文件，对房屋拥有合法权利的证明文件（包括但不限于租赁房屋的土地使用权证、房屋产权证、房屋竣工验收文件），以及房屋建筑结构和电气图纸资料。</w:t>
      </w:r>
    </w:p>
    <w:p w14:paraId="447F9A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w:t>
      </w:r>
      <w:r>
        <w:rPr>
          <w:rFonts w:hint="eastAsia" w:ascii="宋体" w:hAnsi="宋体" w:eastAsia="宋体" w:cs="宋体"/>
          <w:color w:val="000000" w:themeColor="text1"/>
          <w:sz w:val="21"/>
          <w:szCs w:val="21"/>
          <w:highlight w:val="none"/>
          <w14:textFill>
            <w14:solidFill>
              <w14:schemeClr w14:val="tx1"/>
            </w14:solidFill>
          </w14:textFill>
        </w:rPr>
        <w:t>甲方协助乙方共同保护设置在房屋屋面的太阳能发电设备。如房屋屋面出现自然和正常使用引起的损坏，甲乙双方协商解决。为保障电力安全，在任何争议或纠纷未最终解决之前，甲方不得采取任何措施妨碍光伏发电设备正常运行。</w:t>
      </w:r>
    </w:p>
    <w:p w14:paraId="6B4350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不可抗力</w:t>
      </w:r>
    </w:p>
    <w:p w14:paraId="0A7F0D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w:t>
      </w:r>
      <w:r>
        <w:rPr>
          <w:rFonts w:hint="eastAsia" w:ascii="宋体" w:hAnsi="宋体" w:eastAsia="宋体" w:cs="宋体"/>
          <w:color w:val="000000" w:themeColor="text1"/>
          <w:sz w:val="21"/>
          <w:szCs w:val="21"/>
          <w:highlight w:val="none"/>
          <w:lang w:eastAsia="zh-CN"/>
          <w14:textFill>
            <w14:solidFill>
              <w14:schemeClr w14:val="tx1"/>
            </w14:solidFill>
          </w14:textFill>
        </w:rPr>
        <w:t>本合同</w:t>
      </w:r>
      <w:r>
        <w:rPr>
          <w:rFonts w:hint="eastAsia" w:ascii="宋体" w:hAnsi="宋体" w:eastAsia="宋体" w:cs="宋体"/>
          <w:color w:val="000000" w:themeColor="text1"/>
          <w:sz w:val="21"/>
          <w:szCs w:val="21"/>
          <w:highlight w:val="none"/>
          <w14:textFill>
            <w14:solidFill>
              <w14:schemeClr w14:val="tx1"/>
            </w14:solidFill>
          </w14:textFill>
        </w:rPr>
        <w:t>所称不可抗力，指不能预见、不能防止或不能克服的客观情况，包括但不限于地震、水灾、火灾、台风等自然灾害，战争、动乱、暴乱等社会事件及政策法律规定变化等。</w:t>
      </w:r>
    </w:p>
    <w:p w14:paraId="023864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10.2如果一方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以下简称“受影响方”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由于不可抗力事件发生，无法部分或全部履行</w:t>
      </w:r>
      <w:r>
        <w:rPr>
          <w:rFonts w:hint="eastAsia" w:ascii="宋体" w:hAnsi="宋体" w:eastAsia="宋体" w:cs="宋体"/>
          <w:color w:val="000000" w:themeColor="text1"/>
          <w:sz w:val="21"/>
          <w:szCs w:val="21"/>
          <w:highlight w:val="none"/>
          <w:lang w:eastAsia="zh-CN"/>
          <w14:textFill>
            <w14:solidFill>
              <w14:schemeClr w14:val="tx1"/>
            </w14:solidFill>
          </w14:textFill>
        </w:rPr>
        <w:t>本合同</w:t>
      </w:r>
      <w:r>
        <w:rPr>
          <w:rFonts w:hint="eastAsia" w:ascii="宋体" w:hAnsi="宋体" w:eastAsia="宋体" w:cs="宋体"/>
          <w:color w:val="000000" w:themeColor="text1"/>
          <w:sz w:val="21"/>
          <w:szCs w:val="21"/>
          <w:highlight w:val="none"/>
          <w14:textFill>
            <w14:solidFill>
              <w14:schemeClr w14:val="tx1"/>
            </w14:solidFill>
          </w14:textFill>
        </w:rPr>
        <w:t>，受影响方应在不可抗力事件发生后立刻告知另一方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以下简称“非受影响方”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，且受影响方应自</w:t>
      </w:r>
      <w:r>
        <w:rPr>
          <w:rFonts w:hint="eastAsia" w:ascii="宋体" w:hAnsi="宋体" w:eastAsia="宋体" w:cs="宋体"/>
          <w:color w:val="000000" w:themeColor="text1"/>
          <w:sz w:val="21"/>
          <w:szCs w:val="21"/>
          <w:highlight w:val="none"/>
          <w:lang w:eastAsia="zh-CN"/>
          <w14:textFill>
            <w14:solidFill>
              <w14:schemeClr w14:val="tx1"/>
            </w14:solidFill>
          </w14:textFill>
        </w:rPr>
        <w:t>不可</w:t>
      </w:r>
      <w:r>
        <w:rPr>
          <w:rFonts w:hint="eastAsia" w:ascii="宋体" w:hAnsi="宋体" w:eastAsia="宋体" w:cs="宋体"/>
          <w:color w:val="000000" w:themeColor="text1"/>
          <w:sz w:val="21"/>
          <w:szCs w:val="21"/>
          <w:highlight w:val="none"/>
          <w14:textFill>
            <w14:solidFill>
              <w14:schemeClr w14:val="tx1"/>
            </w14:solidFill>
          </w14:textFill>
        </w:rPr>
        <w:t>抗力发生后5个工作日内以书面形式通知非受影响方并附,上相关证明文件。</w:t>
      </w:r>
    </w:p>
    <w:p w14:paraId="30A3D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10.3受影响方应采取一切合理的措施，以减轻或消除不可抗力事件对双方的不利影响。</w:t>
      </w:r>
    </w:p>
    <w:p w14:paraId="2913D0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10.4在不可抗力事件持续期间受影响方的履行义务</w:t>
      </w:r>
      <w:r>
        <w:rPr>
          <w:rFonts w:hint="eastAsia" w:ascii="宋体" w:hAnsi="宋体" w:eastAsia="宋体" w:cs="宋体"/>
          <w:color w:val="000000" w:themeColor="text1"/>
          <w:sz w:val="21"/>
          <w:szCs w:val="21"/>
          <w:highlight w:val="none"/>
          <w:lang w:eastAsia="zh-CN"/>
          <w14:textFill>
            <w14:solidFill>
              <w14:schemeClr w14:val="tx1"/>
            </w14:solidFill>
          </w14:textFill>
        </w:rPr>
        <w:t>暂时</w:t>
      </w:r>
      <w:r>
        <w:rPr>
          <w:rFonts w:hint="eastAsia" w:ascii="宋体" w:hAnsi="宋体" w:eastAsia="宋体" w:cs="宋体"/>
          <w:color w:val="000000" w:themeColor="text1"/>
          <w:sz w:val="21"/>
          <w:szCs w:val="21"/>
          <w:highlight w:val="none"/>
          <w14:textFill>
            <w14:solidFill>
              <w14:schemeClr w14:val="tx1"/>
            </w14:solidFill>
          </w14:textFill>
        </w:rPr>
        <w:t>中止，相应的义务履行期限相应顺延，受影响方不承担相应责任。不可抗力事件结束后，受影响方应尽快继续履行</w:t>
      </w:r>
      <w:r>
        <w:rPr>
          <w:rFonts w:hint="eastAsia" w:ascii="宋体" w:hAnsi="宋体" w:eastAsia="宋体" w:cs="宋体"/>
          <w:color w:val="000000" w:themeColor="text1"/>
          <w:sz w:val="21"/>
          <w:szCs w:val="21"/>
          <w:highlight w:val="none"/>
          <w:lang w:eastAsia="zh-CN"/>
          <w14:textFill>
            <w14:solidFill>
              <w14:schemeClr w14:val="tx1"/>
            </w14:solidFill>
          </w14:textFill>
        </w:rPr>
        <w:t>本合同</w:t>
      </w:r>
      <w:r>
        <w:rPr>
          <w:rFonts w:hint="eastAsia" w:ascii="宋体" w:hAnsi="宋体" w:eastAsia="宋体" w:cs="宋体"/>
          <w:color w:val="000000" w:themeColor="text1"/>
          <w:sz w:val="21"/>
          <w:szCs w:val="21"/>
          <w:highlight w:val="none"/>
          <w14:textFill>
            <w14:solidFill>
              <w14:schemeClr w14:val="tx1"/>
            </w14:solidFill>
          </w14:textFill>
        </w:rPr>
        <w:t>。</w:t>
      </w:r>
    </w:p>
    <w:p w14:paraId="5E7F66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第</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十一</w:t>
      </w:r>
      <w:r>
        <w:rPr>
          <w:rFonts w:hint="eastAsia" w:ascii="宋体" w:hAnsi="宋体" w:eastAsia="宋体" w:cs="宋体"/>
          <w:b/>
          <w:color w:val="000000" w:themeColor="text1"/>
          <w:kern w:val="0"/>
          <w:sz w:val="21"/>
          <w:szCs w:val="21"/>
          <w:highlight w:val="none"/>
          <w14:textFill>
            <w14:solidFill>
              <w14:schemeClr w14:val="tx1"/>
            </w14:solidFill>
          </w14:textFill>
        </w:rPr>
        <w:t>条</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履约</w:t>
      </w:r>
      <w:r>
        <w:rPr>
          <w:rFonts w:hint="eastAsia" w:ascii="宋体" w:hAnsi="宋体" w:eastAsia="宋体" w:cs="宋体"/>
          <w:b/>
          <w:color w:val="000000" w:themeColor="text1"/>
          <w:kern w:val="0"/>
          <w:sz w:val="21"/>
          <w:szCs w:val="21"/>
          <w:highlight w:val="none"/>
          <w14:textFill>
            <w14:solidFill>
              <w14:schemeClr w14:val="tx1"/>
            </w14:solidFill>
          </w14:textFill>
        </w:rPr>
        <w:t>担保</w:t>
      </w:r>
    </w:p>
    <w:p w14:paraId="0B665086">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
          <w14:textFill>
            <w14:solidFill>
              <w14:schemeClr w14:val="tx1"/>
            </w14:solidFill>
          </w14:textFill>
        </w:rPr>
        <w:t>11.</w:t>
      </w:r>
      <w:r>
        <w:rPr>
          <w:rFonts w:hint="eastAsia" w:ascii="宋体" w:hAnsi="宋体" w:eastAsia="宋体" w:cs="宋体"/>
          <w:bCs/>
          <w:color w:val="000000" w:themeColor="text1"/>
          <w:kern w:val="0"/>
          <w:sz w:val="21"/>
          <w:szCs w:val="21"/>
          <w:highlight w:val="none"/>
          <w:lang w:bidi="ar"/>
          <w14:textFill>
            <w14:solidFill>
              <w14:schemeClr w14:val="tx1"/>
            </w14:solidFill>
          </w14:textFill>
        </w:rPr>
        <w:t>1乙方应当根据招标文件的规定向甲方提供履约担保，履约担保形式及金额由乙方从以下方式中任选一种：</w:t>
      </w:r>
    </w:p>
    <w:p w14:paraId="3759B7FB">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□履约保证金（银行转账形式）金额为</w:t>
      </w:r>
      <w:r>
        <w:rPr>
          <w:rFonts w:hint="eastAsia" w:ascii="宋体" w:hAnsi="宋体" w:eastAsia="宋体" w:cs="宋体"/>
          <w:bCs/>
          <w:color w:val="000000" w:themeColor="text1"/>
          <w:kern w:val="0"/>
          <w:sz w:val="21"/>
          <w:szCs w:val="21"/>
          <w:highlight w:val="none"/>
          <w:u w:val="single"/>
          <w:lang w:bidi="ar"/>
          <w14:textFill>
            <w14:solidFill>
              <w14:schemeClr w14:val="tx1"/>
            </w14:solidFill>
          </w14:textFill>
        </w:rPr>
        <w:t>¥     元（大写人民币     ）</w:t>
      </w:r>
      <w:r>
        <w:rPr>
          <w:rFonts w:hint="eastAsia" w:ascii="宋体" w:hAnsi="宋体" w:eastAsia="宋体" w:cs="宋体"/>
          <w:bCs/>
          <w:color w:val="000000" w:themeColor="text1"/>
          <w:kern w:val="0"/>
          <w:sz w:val="21"/>
          <w:szCs w:val="21"/>
          <w:highlight w:val="none"/>
          <w:lang w:bidi="ar"/>
          <w14:textFill>
            <w14:solidFill>
              <w14:schemeClr w14:val="tx1"/>
            </w14:solidFill>
          </w14:textFill>
        </w:rPr>
        <w:t>；</w:t>
      </w:r>
    </w:p>
    <w:p w14:paraId="69FEF0FC">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□不可撤销银行履约保函金额为</w:t>
      </w:r>
      <w:r>
        <w:rPr>
          <w:rFonts w:hint="eastAsia" w:ascii="宋体" w:hAnsi="宋体" w:eastAsia="宋体" w:cs="宋体"/>
          <w:bCs/>
          <w:color w:val="000000" w:themeColor="text1"/>
          <w:kern w:val="0"/>
          <w:sz w:val="21"/>
          <w:szCs w:val="21"/>
          <w:highlight w:val="none"/>
          <w:u w:val="single"/>
          <w:lang w:bidi="ar"/>
          <w14:textFill>
            <w14:solidFill>
              <w14:schemeClr w14:val="tx1"/>
            </w14:solidFill>
          </w14:textFill>
        </w:rPr>
        <w:t>¥     元（大写人民币     ）</w:t>
      </w:r>
      <w:r>
        <w:rPr>
          <w:rFonts w:hint="eastAsia" w:ascii="宋体" w:hAnsi="宋体" w:eastAsia="宋体" w:cs="宋体"/>
          <w:bCs/>
          <w:color w:val="000000" w:themeColor="text1"/>
          <w:kern w:val="0"/>
          <w:sz w:val="21"/>
          <w:szCs w:val="21"/>
          <w:highlight w:val="none"/>
          <w:lang w:bidi="ar"/>
          <w14:textFill>
            <w14:solidFill>
              <w14:schemeClr w14:val="tx1"/>
            </w14:solidFill>
          </w14:textFill>
        </w:rPr>
        <w:t>；</w:t>
      </w:r>
    </w:p>
    <w:p w14:paraId="02CF5A75">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□履约保证保险金额为</w:t>
      </w:r>
      <w:r>
        <w:rPr>
          <w:rFonts w:hint="eastAsia" w:ascii="宋体" w:hAnsi="宋体" w:eastAsia="宋体" w:cs="宋体"/>
          <w:bCs/>
          <w:color w:val="000000" w:themeColor="text1"/>
          <w:kern w:val="0"/>
          <w:sz w:val="21"/>
          <w:szCs w:val="21"/>
          <w:highlight w:val="none"/>
          <w:u w:val="single"/>
          <w:lang w:bidi="ar"/>
          <w14:textFill>
            <w14:solidFill>
              <w14:schemeClr w14:val="tx1"/>
            </w14:solidFill>
          </w14:textFill>
        </w:rPr>
        <w:t>¥     元（大写人民币     ）</w:t>
      </w:r>
      <w:r>
        <w:rPr>
          <w:rFonts w:hint="eastAsia" w:ascii="宋体" w:hAnsi="宋体" w:eastAsia="宋体" w:cs="宋体"/>
          <w:bCs/>
          <w:color w:val="000000" w:themeColor="text1"/>
          <w:kern w:val="0"/>
          <w:sz w:val="21"/>
          <w:szCs w:val="21"/>
          <w:highlight w:val="none"/>
          <w:lang w:bidi="ar"/>
          <w14:textFill>
            <w14:solidFill>
              <w14:schemeClr w14:val="tx1"/>
            </w14:solidFill>
          </w14:textFill>
        </w:rPr>
        <w:t>；</w:t>
      </w:r>
    </w:p>
    <w:p w14:paraId="66A82AC8">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□担保公司履约担保书金额为</w:t>
      </w:r>
      <w:r>
        <w:rPr>
          <w:rFonts w:hint="eastAsia" w:ascii="宋体" w:hAnsi="宋体" w:eastAsia="宋体" w:cs="宋体"/>
          <w:bCs/>
          <w:color w:val="000000" w:themeColor="text1"/>
          <w:kern w:val="0"/>
          <w:sz w:val="21"/>
          <w:szCs w:val="21"/>
          <w:highlight w:val="none"/>
          <w:u w:val="single"/>
          <w:lang w:bidi="ar"/>
          <w14:textFill>
            <w14:solidFill>
              <w14:schemeClr w14:val="tx1"/>
            </w14:solidFill>
          </w14:textFill>
        </w:rPr>
        <w:t>¥     元（大写人民币     ）</w:t>
      </w:r>
      <w:r>
        <w:rPr>
          <w:rFonts w:hint="eastAsia" w:ascii="宋体" w:hAnsi="宋体" w:eastAsia="宋体" w:cs="宋体"/>
          <w:bCs/>
          <w:color w:val="000000" w:themeColor="text1"/>
          <w:kern w:val="0"/>
          <w:sz w:val="21"/>
          <w:szCs w:val="21"/>
          <w:highlight w:val="none"/>
          <w:lang w:bidi="ar"/>
          <w14:textFill>
            <w14:solidFill>
              <w14:schemeClr w14:val="tx1"/>
            </w14:solidFill>
          </w14:textFill>
        </w:rPr>
        <w:t>。</w:t>
      </w:r>
    </w:p>
    <w:p w14:paraId="1DC413D7">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
          <w14:textFill>
            <w14:solidFill>
              <w14:schemeClr w14:val="tx1"/>
            </w14:solidFill>
          </w14:textFill>
        </w:rPr>
        <w:t>11.</w:t>
      </w:r>
      <w:r>
        <w:rPr>
          <w:rFonts w:hint="eastAsia" w:ascii="宋体" w:hAnsi="宋体" w:eastAsia="宋体" w:cs="宋体"/>
          <w:bCs/>
          <w:color w:val="000000" w:themeColor="text1"/>
          <w:kern w:val="0"/>
          <w:sz w:val="21"/>
          <w:szCs w:val="21"/>
          <w:highlight w:val="none"/>
          <w:lang w:bidi="ar"/>
          <w14:textFill>
            <w14:solidFill>
              <w14:schemeClr w14:val="tx1"/>
            </w14:solidFill>
          </w14:textFill>
        </w:rPr>
        <w:t>2履约担保用于补偿甲方因乙方不能完全履行其合同义务而蒙受的损失，如发生下列任一情况时，甲方除有权依合同追究乙方违约责任外，</w:t>
      </w:r>
      <w:r>
        <w:rPr>
          <w:rFonts w:hint="eastAsia" w:ascii="宋体" w:hAnsi="宋体" w:eastAsia="宋体" w:cs="宋体"/>
          <w:bCs/>
          <w:color w:val="000000" w:themeColor="text1"/>
          <w:kern w:val="0"/>
          <w:sz w:val="21"/>
          <w:szCs w:val="21"/>
          <w:highlight w:val="none"/>
          <w:lang w:val="en-US" w:eastAsia="zh-CN" w:bidi="ar"/>
          <w14:textFill>
            <w14:solidFill>
              <w14:schemeClr w14:val="tx1"/>
            </w14:solidFill>
          </w14:textFill>
        </w:rPr>
        <w:t>同时</w:t>
      </w:r>
      <w:r>
        <w:rPr>
          <w:rFonts w:hint="eastAsia" w:ascii="宋体" w:hAnsi="宋体" w:eastAsia="宋体" w:cs="宋体"/>
          <w:bCs/>
          <w:color w:val="000000" w:themeColor="text1"/>
          <w:kern w:val="0"/>
          <w:sz w:val="21"/>
          <w:szCs w:val="21"/>
          <w:highlight w:val="none"/>
          <w:lang w:bidi="ar"/>
          <w14:textFill>
            <w14:solidFill>
              <w14:schemeClr w14:val="tx1"/>
            </w14:solidFill>
          </w14:textFill>
        </w:rPr>
        <w:t>有权提取履约担保并进行相应处理：</w:t>
      </w:r>
    </w:p>
    <w:p w14:paraId="3B3CE29B">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（1）乙方</w:t>
      </w:r>
      <w:r>
        <w:rPr>
          <w:rFonts w:hint="eastAsia" w:ascii="宋体" w:hAnsi="宋体" w:eastAsia="宋体" w:cs="Times New Roman"/>
          <w:color w:val="000000" w:themeColor="text1"/>
          <w:kern w:val="0"/>
          <w:szCs w:val="21"/>
          <w:highlight w:val="none"/>
          <w14:textFill>
            <w14:solidFill>
              <w14:schemeClr w14:val="tx1"/>
            </w14:solidFill>
          </w14:textFill>
        </w:rPr>
        <w:t>将合同项下</w:t>
      </w:r>
      <w:r>
        <w:rPr>
          <w:rFonts w:hint="eastAsia" w:ascii="宋体" w:hAnsi="宋体" w:eastAsia="宋体" w:cs="宋体"/>
          <w:bCs/>
          <w:color w:val="000000" w:themeColor="text1"/>
          <w:kern w:val="0"/>
          <w:sz w:val="21"/>
          <w:szCs w:val="21"/>
          <w:highlight w:val="none"/>
          <w:lang w:bidi="ar"/>
          <w14:textFill>
            <w14:solidFill>
              <w14:schemeClr w14:val="tx1"/>
            </w14:solidFill>
          </w14:textFill>
        </w:rPr>
        <w:t>乙方</w:t>
      </w:r>
      <w:r>
        <w:rPr>
          <w:rFonts w:hint="eastAsia" w:ascii="宋体" w:hAnsi="宋体" w:eastAsia="宋体" w:cs="Times New Roman"/>
          <w:color w:val="000000" w:themeColor="text1"/>
          <w:kern w:val="0"/>
          <w:szCs w:val="21"/>
          <w:highlight w:val="none"/>
          <w14:textFill>
            <w14:solidFill>
              <w14:schemeClr w14:val="tx1"/>
            </w14:solidFill>
          </w14:textFill>
        </w:rPr>
        <w:t>的权利义务全部转让给第三方，或未经</w:t>
      </w:r>
      <w:r>
        <w:rPr>
          <w:rFonts w:hint="eastAsia" w:ascii="宋体" w:hAnsi="宋体" w:eastAsia="宋体" w:cs="宋体"/>
          <w:bCs/>
          <w:color w:val="000000" w:themeColor="text1"/>
          <w:kern w:val="0"/>
          <w:sz w:val="21"/>
          <w:szCs w:val="21"/>
          <w:highlight w:val="none"/>
          <w:lang w:bidi="ar"/>
          <w14:textFill>
            <w14:solidFill>
              <w14:schemeClr w14:val="tx1"/>
            </w14:solidFill>
          </w14:textFill>
        </w:rPr>
        <w:t>甲方</w:t>
      </w:r>
      <w:r>
        <w:rPr>
          <w:rFonts w:hint="eastAsia" w:ascii="宋体" w:hAnsi="宋体" w:eastAsia="宋体" w:cs="Times New Roman"/>
          <w:color w:val="000000" w:themeColor="text1"/>
          <w:kern w:val="0"/>
          <w:szCs w:val="21"/>
          <w:highlight w:val="none"/>
          <w14:textFill>
            <w14:solidFill>
              <w14:schemeClr w14:val="tx1"/>
            </w14:solidFill>
          </w14:textFill>
        </w:rPr>
        <w:t>书面同意将部分权利义务转让给第三方的，</w:t>
      </w:r>
      <w:r>
        <w:rPr>
          <w:rFonts w:hint="eastAsia" w:ascii="宋体" w:hAnsi="宋体" w:eastAsia="宋体" w:cs="宋体"/>
          <w:bCs/>
          <w:color w:val="000000" w:themeColor="text1"/>
          <w:kern w:val="0"/>
          <w:sz w:val="21"/>
          <w:szCs w:val="21"/>
          <w:highlight w:val="none"/>
          <w:lang w:bidi="ar"/>
          <w14:textFill>
            <w14:solidFill>
              <w14:schemeClr w14:val="tx1"/>
            </w14:solidFill>
          </w14:textFill>
        </w:rPr>
        <w:t>甲方</w:t>
      </w:r>
      <w:r>
        <w:rPr>
          <w:rFonts w:hint="eastAsia" w:ascii="宋体" w:hAnsi="宋体" w:eastAsia="宋体" w:cs="Times New Roman"/>
          <w:color w:val="000000" w:themeColor="text1"/>
          <w:kern w:val="0"/>
          <w:szCs w:val="21"/>
          <w:highlight w:val="none"/>
          <w14:textFill>
            <w14:solidFill>
              <w14:schemeClr w14:val="tx1"/>
            </w14:solidFill>
          </w14:textFill>
        </w:rPr>
        <w:t>有权没收其履约担保。</w:t>
      </w:r>
    </w:p>
    <w:p w14:paraId="662B1C69">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（2）在合同履行期间，乙方怠于履行合同义务，经甲方通知或要求承担违约金后仍拒不改正的，甲方</w:t>
      </w:r>
      <w:r>
        <w:rPr>
          <w:rFonts w:hint="eastAsia" w:ascii="宋体" w:hAnsi="宋体" w:eastAsia="宋体" w:cs="宋体"/>
          <w:bCs/>
          <w:color w:val="000000" w:themeColor="text1"/>
          <w:kern w:val="0"/>
          <w:sz w:val="21"/>
          <w:szCs w:val="21"/>
          <w:highlight w:val="none"/>
          <w:lang w:val="en-US" w:eastAsia="zh-CN" w:bidi="ar"/>
          <w14:textFill>
            <w14:solidFill>
              <w14:schemeClr w14:val="tx1"/>
            </w14:solidFill>
          </w14:textFill>
        </w:rPr>
        <w:t>有权</w:t>
      </w:r>
      <w:r>
        <w:rPr>
          <w:rFonts w:hint="eastAsia" w:ascii="宋体" w:hAnsi="宋体" w:eastAsia="宋体" w:cs="宋体"/>
          <w:bCs/>
          <w:color w:val="000000" w:themeColor="text1"/>
          <w:kern w:val="0"/>
          <w:sz w:val="21"/>
          <w:szCs w:val="21"/>
          <w:highlight w:val="none"/>
          <w:lang w:bidi="ar"/>
          <w14:textFill>
            <w14:solidFill>
              <w14:schemeClr w14:val="tx1"/>
            </w14:solidFill>
          </w14:textFill>
        </w:rPr>
        <w:t>没收或适当扣除其履约担保。</w:t>
      </w:r>
    </w:p>
    <w:p w14:paraId="6A74A4EB">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6258851D">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（4）在合同履行期间，乙方违约产生的违约金、赔偿、罚款或其他应付费用等款项，甲方有权直接从未付款项中直接扣除或启用履约担保予以支付。</w:t>
      </w:r>
    </w:p>
    <w:p w14:paraId="7D933470">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（5）合同期内，乙方不能及时完成合同某项义务的，甲方有权提取履约担保用于处理该项工作。</w:t>
      </w:r>
    </w:p>
    <w:p w14:paraId="4C562DDB">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（6）其他根据本合同约定或法律规定，甲方可启用履约担保的情形。</w:t>
      </w:r>
    </w:p>
    <w:p w14:paraId="64D63BAE">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
          <w14:textFill>
            <w14:solidFill>
              <w14:schemeClr w14:val="tx1"/>
            </w14:solidFill>
          </w14:textFill>
        </w:rPr>
        <w:t>11.</w:t>
      </w:r>
      <w:r>
        <w:rPr>
          <w:rFonts w:hint="eastAsia" w:ascii="宋体" w:hAnsi="宋体" w:eastAsia="宋体" w:cs="宋体"/>
          <w:bCs/>
          <w:color w:val="000000" w:themeColor="text1"/>
          <w:kern w:val="0"/>
          <w:sz w:val="21"/>
          <w:szCs w:val="21"/>
          <w:highlight w:val="none"/>
          <w:lang w:bidi="ar"/>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乙方以履约保证金（银行转账形式）提供履约担保的，在合同期限届满并且乙方完成本合同及本合同下所有补充协议的全部服务义务，甲方向乙方支付全部款项二十八（28）日后，</w:t>
      </w:r>
      <w:r>
        <w:rPr>
          <w:rFonts w:hint="eastAsia" w:ascii="宋体" w:hAnsi="宋体" w:eastAsia="宋体" w:cs="宋体"/>
          <w:bCs/>
          <w:color w:val="000000" w:themeColor="text1"/>
          <w:kern w:val="0"/>
          <w:sz w:val="21"/>
          <w:szCs w:val="21"/>
          <w:highlight w:val="none"/>
          <w:lang w:bidi="ar"/>
          <w14:textFill>
            <w14:solidFill>
              <w14:schemeClr w14:val="tx1"/>
            </w14:solidFill>
          </w14:textFill>
        </w:rPr>
        <w:t>经</w:t>
      </w:r>
      <w:r>
        <w:rPr>
          <w:rFonts w:hint="eastAsia" w:ascii="宋体" w:hAnsi="宋体" w:eastAsia="宋体" w:cs="宋体"/>
          <w:color w:val="000000" w:themeColor="text1"/>
          <w:kern w:val="0"/>
          <w:sz w:val="21"/>
          <w:szCs w:val="21"/>
          <w:highlight w:val="none"/>
          <w:lang w:bidi="ar"/>
          <w14:textFill>
            <w14:solidFill>
              <w14:schemeClr w14:val="tx1"/>
            </w14:solidFill>
          </w14:textFill>
        </w:rPr>
        <w:t>甲方</w:t>
      </w:r>
      <w:r>
        <w:rPr>
          <w:rFonts w:hint="eastAsia" w:ascii="宋体" w:hAnsi="宋体" w:eastAsia="宋体" w:cs="宋体"/>
          <w:bCs/>
          <w:color w:val="000000" w:themeColor="text1"/>
          <w:kern w:val="0"/>
          <w:sz w:val="21"/>
          <w:szCs w:val="21"/>
          <w:highlight w:val="none"/>
          <w:lang w:bidi="ar"/>
          <w14:textFill>
            <w14:solidFill>
              <w14:schemeClr w14:val="tx1"/>
            </w14:solidFill>
          </w14:textFill>
        </w:rPr>
        <w:t>确认，乙方可向</w:t>
      </w:r>
      <w:r>
        <w:rPr>
          <w:rFonts w:hint="eastAsia" w:ascii="宋体" w:hAnsi="宋体" w:eastAsia="宋体" w:cs="宋体"/>
          <w:color w:val="000000" w:themeColor="text1"/>
          <w:kern w:val="0"/>
          <w:sz w:val="21"/>
          <w:szCs w:val="21"/>
          <w:highlight w:val="none"/>
          <w:lang w:bidi="ar"/>
          <w14:textFill>
            <w14:solidFill>
              <w14:schemeClr w14:val="tx1"/>
            </w14:solidFill>
          </w14:textFill>
        </w:rPr>
        <w:t>甲方</w:t>
      </w:r>
      <w:r>
        <w:rPr>
          <w:rFonts w:hint="eastAsia" w:ascii="宋体" w:hAnsi="宋体" w:eastAsia="宋体" w:cs="宋体"/>
          <w:bCs/>
          <w:color w:val="000000" w:themeColor="text1"/>
          <w:kern w:val="0"/>
          <w:sz w:val="21"/>
          <w:szCs w:val="21"/>
          <w:highlight w:val="none"/>
          <w:lang w:bidi="ar"/>
          <w14:textFill>
            <w14:solidFill>
              <w14:schemeClr w14:val="tx1"/>
            </w14:solidFill>
          </w14:textFill>
        </w:rPr>
        <w:t>提交退回履约担保的申请。</w:t>
      </w:r>
      <w:r>
        <w:rPr>
          <w:rFonts w:hint="eastAsia" w:ascii="宋体" w:hAnsi="宋体" w:eastAsia="宋体" w:cs="宋体"/>
          <w:color w:val="000000" w:themeColor="text1"/>
          <w:kern w:val="0"/>
          <w:sz w:val="21"/>
          <w:szCs w:val="21"/>
          <w:highlight w:val="none"/>
          <w:lang w:bidi="ar"/>
          <w14:textFill>
            <w14:solidFill>
              <w14:schemeClr w14:val="tx1"/>
            </w14:solidFill>
          </w14:textFill>
        </w:rPr>
        <w:t>甲方</w:t>
      </w:r>
      <w:r>
        <w:rPr>
          <w:rFonts w:hint="eastAsia" w:ascii="宋体" w:hAnsi="宋体" w:eastAsia="宋体" w:cs="宋体"/>
          <w:bCs/>
          <w:color w:val="000000" w:themeColor="text1"/>
          <w:kern w:val="0"/>
          <w:sz w:val="21"/>
          <w:szCs w:val="21"/>
          <w:highlight w:val="none"/>
          <w:lang w:bidi="ar"/>
          <w14:textFill>
            <w14:solidFill>
              <w14:schemeClr w14:val="tx1"/>
            </w14:solidFill>
          </w14:textFill>
        </w:rPr>
        <w:t>审核无异议后，办理履约担保退还手续，履约保证金（银行转账形式）形式提交的履约担保退回时一律以银行转账的形式无息退回到乙方的帐户。</w:t>
      </w:r>
    </w:p>
    <w:p w14:paraId="023CEC9E">
      <w:pPr>
        <w:autoSpaceDE w:val="0"/>
        <w:autoSpaceDN w:val="0"/>
        <w:adjustRightInd w:val="0"/>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
          <w14:textFill>
            <w14:solidFill>
              <w14:schemeClr w14:val="tx1"/>
            </w14:solidFill>
          </w14:textFill>
        </w:rPr>
        <w:t>11.</w:t>
      </w:r>
      <w:r>
        <w:rPr>
          <w:rFonts w:hint="eastAsia" w:ascii="宋体" w:hAnsi="宋体" w:eastAsia="宋体" w:cs="宋体"/>
          <w:bCs/>
          <w:color w:val="000000" w:themeColor="text1"/>
          <w:kern w:val="0"/>
          <w:sz w:val="21"/>
          <w:szCs w:val="21"/>
          <w:highlight w:val="none"/>
          <w:lang w:bidi="ar"/>
          <w14:textFill>
            <w14:solidFill>
              <w14:schemeClr w14:val="tx1"/>
            </w14:solidFill>
          </w14:textFill>
        </w:rPr>
        <w:t>4如乙方提供</w:t>
      </w:r>
      <w:r>
        <w:rPr>
          <w:rFonts w:hint="eastAsia" w:ascii="宋体" w:hAnsi="宋体" w:eastAsia="宋体" w:cs="宋体"/>
          <w:bCs/>
          <w:color w:val="000000" w:themeColor="text1"/>
          <w:kern w:val="0"/>
          <w:sz w:val="21"/>
          <w:szCs w:val="21"/>
          <w:highlight w:val="none"/>
          <w:lang w:eastAsia="zh-CN" w:bidi="ar"/>
          <w14:textFill>
            <w14:solidFill>
              <w14:schemeClr w14:val="tx1"/>
            </w14:solidFill>
          </w14:textFill>
        </w:rPr>
        <w:t>不可撤销银行履约</w:t>
      </w:r>
      <w:r>
        <w:rPr>
          <w:rFonts w:hint="eastAsia" w:ascii="宋体" w:hAnsi="宋体" w:eastAsia="宋体" w:cs="宋体"/>
          <w:bCs/>
          <w:color w:val="000000" w:themeColor="text1"/>
          <w:kern w:val="0"/>
          <w:sz w:val="21"/>
          <w:szCs w:val="21"/>
          <w:highlight w:val="none"/>
          <w:lang w:bidi="ar"/>
          <w14:textFill>
            <w14:solidFill>
              <w14:schemeClr w14:val="tx1"/>
            </w14:solidFill>
          </w14:textFill>
        </w:rPr>
        <w:t>保函（或履约保证保险或担保公司履约担保书）作为履约担保的，不可撤销银行履约保函（或履约保证保险或担保公司履约担保书）</w:t>
      </w:r>
      <w:r>
        <w:rPr>
          <w:rFonts w:hint="eastAsia" w:ascii="宋体" w:hAnsi="宋体" w:eastAsia="宋体" w:cs="宋体"/>
          <w:color w:val="000000" w:themeColor="text1"/>
          <w:sz w:val="21"/>
          <w:szCs w:val="21"/>
          <w:highlight w:val="none"/>
          <w14:textFill>
            <w14:solidFill>
              <w14:schemeClr w14:val="tx1"/>
            </w14:solidFill>
          </w14:textFill>
        </w:rPr>
        <w:t>应</w:t>
      </w:r>
      <w:r>
        <w:rPr>
          <w:rFonts w:hint="eastAsia" w:ascii="宋体" w:hAnsi="宋体" w:eastAsia="宋体" w:cs="宋体"/>
          <w:color w:val="000000" w:themeColor="text1"/>
          <w:sz w:val="21"/>
          <w:szCs w:val="21"/>
          <w:highlight w:val="none"/>
          <w:lang w:eastAsia="zh-CN"/>
          <w14:textFill>
            <w14:solidFill>
              <w14:schemeClr w14:val="tx1"/>
            </w14:solidFill>
          </w14:textFill>
        </w:rPr>
        <w:t>自</w:t>
      </w:r>
      <w:r>
        <w:rPr>
          <w:rFonts w:hint="eastAsia" w:ascii="宋体" w:hAnsi="宋体" w:eastAsia="宋体" w:cs="宋体"/>
          <w:color w:val="000000" w:themeColor="text1"/>
          <w:sz w:val="21"/>
          <w:szCs w:val="21"/>
          <w:highlight w:val="none"/>
          <w14:textFill>
            <w14:solidFill>
              <w14:schemeClr w14:val="tx1"/>
            </w14:solidFill>
          </w14:textFill>
        </w:rPr>
        <w:t>合同签订之日起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或签订合同前）</w:t>
      </w:r>
      <w:r>
        <w:rPr>
          <w:rFonts w:hint="eastAsia" w:ascii="宋体" w:hAnsi="宋体" w:eastAsia="宋体" w:cs="宋体"/>
          <w:bCs/>
          <w:color w:val="000000" w:themeColor="text1"/>
          <w:sz w:val="21"/>
          <w:szCs w:val="21"/>
          <w:highlight w:val="none"/>
          <w14:textFill>
            <w14:solidFill>
              <w14:schemeClr w14:val="tx1"/>
            </w14:solidFill>
          </w14:textFill>
        </w:rPr>
        <w:t>至合</w:t>
      </w:r>
      <w:r>
        <w:rPr>
          <w:rFonts w:hint="eastAsia" w:ascii="宋体" w:hAnsi="宋体" w:eastAsia="宋体" w:cs="宋体"/>
          <w:color w:val="000000" w:themeColor="text1"/>
          <w:sz w:val="21"/>
          <w:szCs w:val="21"/>
          <w:highlight w:val="none"/>
          <w14:textFill>
            <w14:solidFill>
              <w14:schemeClr w14:val="tx1"/>
            </w14:solidFill>
          </w14:textFill>
        </w:rPr>
        <w:t>同期限届满并完成合同及补充协议项下全部服务义务，甲方向乙方支付全部款项后二十八（28）日内保持有效。</w:t>
      </w:r>
      <w:r>
        <w:rPr>
          <w:rFonts w:hint="eastAsia" w:ascii="宋体" w:hAnsi="宋体" w:eastAsia="宋体" w:cs="宋体"/>
          <w:bCs/>
          <w:color w:val="000000" w:themeColor="text1"/>
          <w:kern w:val="0"/>
          <w:sz w:val="21"/>
          <w:szCs w:val="21"/>
          <w:highlight w:val="none"/>
          <w:lang w:bidi="ar"/>
          <w14:textFill>
            <w14:solidFill>
              <w14:schemeClr w14:val="tx1"/>
            </w14:solidFill>
          </w14:textFill>
        </w:rPr>
        <w:t>如不可撤销银行履约保函（或履约保证保险或担保公司履约担保书）在规定有效期届满时尚未完成合同全部服务义务</w:t>
      </w:r>
      <w:r>
        <w:rPr>
          <w:rFonts w:hint="eastAsia" w:ascii="宋体" w:hAnsi="宋体" w:eastAsia="宋体" w:cs="宋体"/>
          <w:bCs/>
          <w:color w:val="000000" w:themeColor="text1"/>
          <w:kern w:val="0"/>
          <w:sz w:val="21"/>
          <w:szCs w:val="21"/>
          <w:highlight w:val="none"/>
          <w:lang w:eastAsia="zh-CN" w:bidi="ar"/>
          <w14:textFill>
            <w14:solidFill>
              <w14:schemeClr w14:val="tx1"/>
            </w14:solidFill>
          </w14:textFill>
        </w:rPr>
        <w:t>且未</w:t>
      </w:r>
      <w:r>
        <w:rPr>
          <w:rFonts w:hint="eastAsia" w:ascii="宋体" w:hAnsi="宋体" w:eastAsia="宋体" w:cs="宋体"/>
          <w:bCs/>
          <w:color w:val="000000" w:themeColor="text1"/>
          <w:kern w:val="0"/>
          <w:sz w:val="21"/>
          <w:szCs w:val="21"/>
          <w:highlight w:val="none"/>
          <w:lang w:bidi="ar"/>
          <w14:textFill>
            <w14:solidFill>
              <w14:schemeClr w14:val="tx1"/>
            </w14:solidFill>
          </w14:textFill>
        </w:rPr>
        <w:t>结算完毕的，乙方必须在</w:t>
      </w:r>
      <w:r>
        <w:rPr>
          <w:rFonts w:hint="eastAsia" w:ascii="宋体" w:hAnsi="宋体" w:eastAsia="宋体" w:cs="宋体"/>
          <w:bCs/>
          <w:color w:val="000000" w:themeColor="text1"/>
          <w:kern w:val="0"/>
          <w:sz w:val="21"/>
          <w:szCs w:val="21"/>
          <w:highlight w:val="none"/>
          <w:lang w:eastAsia="zh-CN" w:bidi="ar"/>
          <w14:textFill>
            <w14:solidFill>
              <w14:schemeClr w14:val="tx1"/>
            </w14:solidFill>
          </w14:textFill>
        </w:rPr>
        <w:t>不可撤销银行履约</w:t>
      </w:r>
      <w:r>
        <w:rPr>
          <w:rFonts w:hint="eastAsia" w:ascii="宋体" w:hAnsi="宋体" w:eastAsia="宋体" w:cs="宋体"/>
          <w:bCs/>
          <w:color w:val="000000" w:themeColor="text1"/>
          <w:kern w:val="0"/>
          <w:sz w:val="21"/>
          <w:szCs w:val="21"/>
          <w:highlight w:val="none"/>
          <w:lang w:bidi="ar"/>
          <w14:textFill>
            <w14:solidFill>
              <w14:schemeClr w14:val="tx1"/>
            </w14:solidFill>
          </w14:textFill>
        </w:rPr>
        <w:t>保函（或履约保证保险或担保公司履约担保书）到期15日前无条件办理办妥符合甲方要求的延期手续或重新提供</w:t>
      </w:r>
      <w:r>
        <w:rPr>
          <w:rFonts w:hint="eastAsia" w:ascii="宋体" w:hAnsi="宋体" w:eastAsia="宋体" w:cs="宋体"/>
          <w:bCs/>
          <w:color w:val="000000" w:themeColor="text1"/>
          <w:kern w:val="0"/>
          <w:sz w:val="21"/>
          <w:szCs w:val="21"/>
          <w:highlight w:val="none"/>
          <w:lang w:eastAsia="zh-CN" w:bidi="ar"/>
          <w14:textFill>
            <w14:solidFill>
              <w14:schemeClr w14:val="tx1"/>
            </w14:solidFill>
          </w14:textFill>
        </w:rPr>
        <w:t>不可撤销银行履约</w:t>
      </w:r>
      <w:r>
        <w:rPr>
          <w:rFonts w:hint="eastAsia" w:ascii="宋体" w:hAnsi="宋体" w:eastAsia="宋体" w:cs="宋体"/>
          <w:bCs/>
          <w:color w:val="000000" w:themeColor="text1"/>
          <w:kern w:val="0"/>
          <w:sz w:val="21"/>
          <w:szCs w:val="21"/>
          <w:highlight w:val="none"/>
          <w:lang w:bidi="ar"/>
          <w14:textFill>
            <w14:solidFill>
              <w14:schemeClr w14:val="tx1"/>
            </w14:solidFill>
          </w14:textFill>
        </w:rPr>
        <w:t>保函（或履约保证保险或担保公司履约担保书）；否则视为乙方违约，甲方有权在不可撤销银行履约保函（或履约保证保险或担保公司履约担保书）到期前向出具履约担保的机构提取履约担保。在</w:t>
      </w:r>
      <w:r>
        <w:rPr>
          <w:rFonts w:hint="eastAsia" w:ascii="宋体" w:hAnsi="宋体" w:eastAsia="宋体" w:cs="宋体"/>
          <w:bCs/>
          <w:color w:val="000000" w:themeColor="text1"/>
          <w:kern w:val="0"/>
          <w:sz w:val="21"/>
          <w:szCs w:val="21"/>
          <w:highlight w:val="none"/>
          <w:lang w:eastAsia="zh-CN" w:bidi="ar"/>
          <w14:textFill>
            <w14:solidFill>
              <w14:schemeClr w14:val="tx1"/>
            </w14:solidFill>
          </w14:textFill>
        </w:rPr>
        <w:t>不可撤销银行履约</w:t>
      </w:r>
      <w:r>
        <w:rPr>
          <w:rFonts w:hint="eastAsia" w:ascii="宋体" w:hAnsi="宋体" w:eastAsia="宋体" w:cs="宋体"/>
          <w:bCs/>
          <w:color w:val="000000" w:themeColor="text1"/>
          <w:kern w:val="0"/>
          <w:sz w:val="21"/>
          <w:szCs w:val="21"/>
          <w:highlight w:val="none"/>
          <w:lang w:bidi="ar"/>
          <w14:textFill>
            <w14:solidFill>
              <w14:schemeClr w14:val="tx1"/>
            </w14:solidFill>
          </w14:textFill>
        </w:rPr>
        <w:t>保函（或履约保证保险或担保公司履约担保书）到期后乙方未按甲方要求重新提供的，甲方有权要求乙方以履约担保金额为限承担违约金，违约金可直接从应付而未付合同款中扣除。</w:t>
      </w:r>
    </w:p>
    <w:p w14:paraId="2CF62524">
      <w:pPr>
        <w:autoSpaceDE w:val="0"/>
        <w:autoSpaceDN w:val="0"/>
        <w:adjustRightInd w:val="0"/>
        <w:spacing w:line="360" w:lineRule="auto"/>
        <w:ind w:firstLine="420" w:firstLineChars="200"/>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
          <w14:textFill>
            <w14:solidFill>
              <w14:schemeClr w14:val="tx1"/>
            </w14:solidFill>
          </w14:textFill>
        </w:rPr>
        <w:t>11.</w:t>
      </w:r>
      <w:r>
        <w:rPr>
          <w:rFonts w:hint="eastAsia" w:ascii="宋体" w:hAnsi="宋体" w:eastAsia="宋体" w:cs="宋体"/>
          <w:bCs/>
          <w:color w:val="000000" w:themeColor="text1"/>
          <w:kern w:val="0"/>
          <w:sz w:val="21"/>
          <w:szCs w:val="21"/>
          <w:highlight w:val="none"/>
          <w:lang w:bidi="ar"/>
          <w14:textFill>
            <w14:solidFill>
              <w14:schemeClr w14:val="tx1"/>
            </w14:solidFill>
          </w14:textFill>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14CBDA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w:t>
      </w:r>
      <w:r>
        <w:rPr>
          <w:rFonts w:hint="eastAsia" w:ascii="宋体" w:hAnsi="宋体" w:eastAsia="宋体" w:cs="宋体"/>
          <w:b/>
          <w:bCs/>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违约责任</w:t>
      </w:r>
    </w:p>
    <w:p w14:paraId="0B19F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w:t>
      </w:r>
      <w:r>
        <w:rPr>
          <w:rFonts w:hint="eastAsia" w:ascii="宋体" w:hAnsi="宋体" w:eastAsia="宋体" w:cs="宋体"/>
          <w:color w:val="000000" w:themeColor="text1"/>
          <w:szCs w:val="21"/>
          <w:highlight w:val="none"/>
          <w14:textFill>
            <w14:solidFill>
              <w14:schemeClr w14:val="tx1"/>
            </w14:solidFill>
          </w14:textFill>
        </w:rPr>
        <w:t>乙方</w:t>
      </w:r>
      <w:r>
        <w:rPr>
          <w:rFonts w:hint="eastAsia" w:ascii="宋体" w:hAnsi="宋体" w:eastAsia="宋体" w:cs="宋体"/>
          <w:color w:val="000000" w:themeColor="text1"/>
          <w:szCs w:val="21"/>
          <w:highlight w:val="none"/>
          <w:lang w:val="en-US" w:eastAsia="zh-CN"/>
          <w14:textFill>
            <w14:solidFill>
              <w14:schemeClr w14:val="tx1"/>
            </w14:solidFill>
          </w14:textFill>
        </w:rPr>
        <w:t>需</w:t>
      </w:r>
      <w:r>
        <w:rPr>
          <w:rFonts w:hint="eastAsia" w:ascii="宋体" w:hAnsi="宋体" w:eastAsia="宋体" w:cs="宋体"/>
          <w:color w:val="000000" w:themeColor="text1"/>
          <w:szCs w:val="21"/>
          <w:highlight w:val="none"/>
          <w14:textFill>
            <w14:solidFill>
              <w14:schemeClr w14:val="tx1"/>
            </w14:solidFill>
          </w14:textFill>
        </w:rPr>
        <w:t>确保其及所有参与本项目的人员具备完成</w:t>
      </w:r>
      <w:r>
        <w:rPr>
          <w:rFonts w:hint="eastAsia" w:ascii="宋体" w:hAnsi="宋体" w:eastAsia="宋体" w:cs="宋体"/>
          <w:color w:val="000000" w:themeColor="text1"/>
          <w:szCs w:val="21"/>
          <w:highlight w:val="none"/>
          <w:lang w:val="en-US" w:eastAsia="zh-CN"/>
          <w14:textFill>
            <w14:solidFill>
              <w14:schemeClr w14:val="tx1"/>
            </w14:solidFill>
          </w14:textFill>
        </w:rPr>
        <w:t>本</w:t>
      </w:r>
      <w:r>
        <w:rPr>
          <w:rFonts w:hint="eastAsia" w:ascii="宋体" w:hAnsi="宋体" w:eastAsia="宋体" w:cs="宋体"/>
          <w:color w:val="000000" w:themeColor="text1"/>
          <w:szCs w:val="21"/>
          <w:highlight w:val="none"/>
          <w14:textFill>
            <w14:solidFill>
              <w14:schemeClr w14:val="tx1"/>
            </w14:solidFill>
          </w14:textFill>
        </w:rPr>
        <w:t>项目所需的全部合法资质与许可，甲方有权要求乙方提供相关资质证明文件进行核实。本合同履行过程中，甲方发现乙方或其人员或参与本项目的</w:t>
      </w:r>
      <w:r>
        <w:rPr>
          <w:rFonts w:hint="eastAsia" w:ascii="宋体" w:hAnsi="宋体" w:eastAsia="宋体" w:cs="宋体"/>
          <w:color w:val="000000" w:themeColor="text1"/>
          <w:szCs w:val="21"/>
          <w:highlight w:val="none"/>
          <w:lang w:val="en-US" w:eastAsia="zh-CN"/>
          <w14:textFill>
            <w14:solidFill>
              <w14:schemeClr w14:val="tx1"/>
            </w14:solidFill>
          </w14:textFill>
        </w:rPr>
        <w:t>任意第三方</w:t>
      </w:r>
      <w:r>
        <w:rPr>
          <w:rFonts w:hint="eastAsia" w:ascii="宋体" w:hAnsi="宋体" w:eastAsia="宋体" w:cs="宋体"/>
          <w:color w:val="000000" w:themeColor="text1"/>
          <w:szCs w:val="21"/>
          <w:highlight w:val="none"/>
          <w14:textFill>
            <w14:solidFill>
              <w14:schemeClr w14:val="tx1"/>
            </w14:solidFill>
          </w14:textFill>
        </w:rPr>
        <w:t>不具备</w:t>
      </w:r>
      <w:r>
        <w:rPr>
          <w:rFonts w:hint="eastAsia" w:ascii="宋体" w:hAnsi="宋体" w:eastAsia="宋体" w:cs="宋体"/>
          <w:color w:val="000000" w:themeColor="text1"/>
          <w:szCs w:val="21"/>
          <w:highlight w:val="none"/>
          <w:lang w:val="en-US" w:eastAsia="zh-CN"/>
          <w14:textFill>
            <w14:solidFill>
              <w14:schemeClr w14:val="tx1"/>
            </w14:solidFill>
          </w14:textFill>
        </w:rPr>
        <w:t>相关</w:t>
      </w:r>
      <w:r>
        <w:rPr>
          <w:rFonts w:hint="eastAsia" w:ascii="宋体" w:hAnsi="宋体" w:eastAsia="宋体" w:cs="宋体"/>
          <w:color w:val="000000" w:themeColor="text1"/>
          <w:szCs w:val="21"/>
          <w:highlight w:val="none"/>
          <w14:textFill>
            <w14:solidFill>
              <w14:schemeClr w14:val="tx1"/>
            </w14:solidFill>
          </w14:textFill>
        </w:rPr>
        <w:t>必需资质的，甲方有权要求乙方在</w:t>
      </w:r>
      <w:r>
        <w:rPr>
          <w:rFonts w:hint="eastAsia" w:ascii="宋体" w:hAnsi="宋体" w:eastAsia="宋体" w:cs="宋体"/>
          <w:color w:val="000000" w:themeColor="text1"/>
          <w:szCs w:val="21"/>
          <w:highlight w:val="none"/>
          <w:lang w:val="en-US"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提出的整改期限内完成资质补充或替换不符合要求的人员</w:t>
      </w:r>
      <w:r>
        <w:rPr>
          <w:rFonts w:hint="eastAsia" w:ascii="宋体" w:hAnsi="宋体" w:eastAsia="宋体" w:cs="宋体"/>
          <w:color w:val="000000" w:themeColor="text1"/>
          <w:szCs w:val="21"/>
          <w:highlight w:val="none"/>
          <w:lang w:val="en-US" w:eastAsia="zh-CN"/>
          <w14:textFill>
            <w14:solidFill>
              <w14:schemeClr w14:val="tx1"/>
            </w14:solidFill>
          </w14:textFill>
        </w:rPr>
        <w:t>或第三方</w:t>
      </w:r>
      <w:r>
        <w:rPr>
          <w:rFonts w:hint="eastAsia" w:ascii="宋体" w:hAnsi="宋体" w:eastAsia="宋体" w:cs="宋体"/>
          <w:color w:val="000000" w:themeColor="text1"/>
          <w:szCs w:val="21"/>
          <w:highlight w:val="none"/>
          <w14:textFill>
            <w14:solidFill>
              <w14:schemeClr w14:val="tx1"/>
            </w14:solidFill>
          </w14:textFill>
        </w:rPr>
        <w:t>。乙方未能在甲方规定期限内满足相关资质要求的，</w:t>
      </w:r>
      <w:r>
        <w:rPr>
          <w:rFonts w:hint="eastAsia" w:ascii="宋体" w:hAnsi="宋体" w:eastAsia="宋体" w:cs="宋体"/>
          <w:color w:val="000000" w:themeColor="text1"/>
          <w:szCs w:val="21"/>
          <w:highlight w:val="none"/>
          <w:lang w:val="en-US" w:eastAsia="zh-CN"/>
          <w14:textFill>
            <w14:solidFill>
              <w14:schemeClr w14:val="tx1"/>
            </w14:solidFill>
          </w14:textFill>
        </w:rPr>
        <w:t>甲方有权单方解除合同。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若由此给甲方造成损失的，乙方还应当承担全部赔偿责任。</w:t>
      </w:r>
    </w:p>
    <w:p w14:paraId="0DA638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乙方履约过程中，若乙方每迟于一日并网验收的，乙方需向甲方支付违约金，每日违约金为人民币1000.00元。乙方逾期60日未能并网验收的，乙方除根据前述约定支付违约金外，甲方有权单方解除合同。若由此给甲方造成损失的，乙方还应当承担全部赔偿责任。</w:t>
      </w:r>
    </w:p>
    <w:p w14:paraId="2A7B06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合同期限内，乙方所投入建设本项目的设备材料设施出现故障或质量问题的，需要维修或更换的，乙方应及时维护或更换，若因乙方不及时维护或更换，由此给甲方造成损失的，乙方还应当承担全部赔偿责任。</w:t>
      </w:r>
    </w:p>
    <w:p w14:paraId="03367A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如因乙方安全生产设备、措施、操作规程、环保设备设施、劳动保护条件等不符合规范要求或标准，导致安全生产事故/造成人身损害或财产损失的，由乙方自行承担全部责任和后果，如因此给甲方造成损失的，乙方承担全部赔偿责任。</w:t>
      </w:r>
    </w:p>
    <w:p w14:paraId="7290F6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如乙方原因导致本合同无法继续履行的（包括但不限于项目建设终止、项目服务期未满乙方终止供电服务等），乙方须向甲方一次性支付违约金60万元，若乙方在甲方发出书面项目场地拆除及场地恢复原状通知后，乙方九十（90）日内未完成项目场地拆除及场地恢复原状工作的，甲方有权自行委托第三方对项目场地进行拆除及场地恢复原状处置工作，乙方须承担甲方委托第三方对项目场地进行拆除及场地恢复原状处置工作的全部费用，以及给甲方造成的一切损失。</w:t>
      </w:r>
    </w:p>
    <w:p w14:paraId="2BEAB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w:t>
      </w:r>
      <w:r>
        <w:rPr>
          <w:rFonts w:hint="eastAsia" w:ascii="宋体" w:hAnsi="宋体" w:eastAsia="宋体" w:cs="宋体"/>
          <w:color w:val="000000" w:themeColor="text1"/>
          <w:sz w:val="21"/>
          <w:szCs w:val="21"/>
          <w:highlight w:val="none"/>
          <w14:textFill>
            <w14:solidFill>
              <w14:schemeClr w14:val="tx1"/>
            </w14:solidFill>
          </w14:textFill>
        </w:rPr>
        <w:t>乙方违反本合同约定将合同项下乙方的权利义务全部转让给第三方，或未经甲方书面同意将部分权利义务分包给第三方的，甲方有权单方解除合同，若由此给甲方造成损失的，乙方还应当承担全部赔偿责任。如因乙方将乙方本合同项下全部/部分权利义务分别给第三方导致安全事故或人身损害事故的，造成甲方其他损失或甲方被认定承担赔偿责任，甲方有权</w:t>
      </w:r>
      <w:r>
        <w:rPr>
          <w:rFonts w:hint="eastAsia" w:ascii="宋体" w:hAnsi="宋体" w:eastAsia="宋体" w:cs="宋体"/>
          <w:color w:val="000000" w:themeColor="text1"/>
          <w:sz w:val="21"/>
          <w:szCs w:val="21"/>
          <w:highlight w:val="none"/>
          <w:lang w:eastAsia="zh-CN"/>
          <w14:textFill>
            <w14:solidFill>
              <w14:schemeClr w14:val="tx1"/>
            </w14:solidFill>
          </w14:textFill>
        </w:rPr>
        <w:t>没收</w:t>
      </w:r>
      <w:r>
        <w:rPr>
          <w:rFonts w:hint="eastAsia" w:ascii="宋体" w:hAnsi="宋体" w:eastAsia="宋体" w:cs="宋体"/>
          <w:color w:val="000000" w:themeColor="text1"/>
          <w:sz w:val="21"/>
          <w:szCs w:val="21"/>
          <w:highlight w:val="none"/>
          <w14:textFill>
            <w14:solidFill>
              <w14:schemeClr w14:val="tx1"/>
            </w14:solidFill>
          </w14:textFill>
        </w:rPr>
        <w:t>乙方的</w:t>
      </w:r>
      <w:r>
        <w:rPr>
          <w:rFonts w:hint="eastAsia" w:ascii="宋体" w:hAnsi="宋体" w:eastAsia="宋体" w:cs="宋体"/>
          <w:color w:val="000000" w:themeColor="text1"/>
          <w:sz w:val="21"/>
          <w:szCs w:val="21"/>
          <w:highlight w:val="none"/>
          <w:lang w:eastAsia="zh-CN"/>
          <w14:textFill>
            <w14:solidFill>
              <w14:schemeClr w14:val="tx1"/>
            </w14:solidFill>
          </w14:textFill>
        </w:rPr>
        <w:t>履约保证金</w:t>
      </w:r>
      <w:r>
        <w:rPr>
          <w:rFonts w:hint="eastAsia" w:ascii="宋体" w:hAnsi="宋体" w:eastAsia="宋体" w:cs="宋体"/>
          <w:color w:val="000000" w:themeColor="text1"/>
          <w:sz w:val="21"/>
          <w:szCs w:val="21"/>
          <w:highlight w:val="none"/>
          <w14:textFill>
            <w14:solidFill>
              <w14:schemeClr w14:val="tx1"/>
            </w14:solidFill>
          </w14:textFill>
        </w:rPr>
        <w:t>，前述履约保证金不足以弥补甲方损失的，乙方还需足额赔偿。</w:t>
      </w:r>
    </w:p>
    <w:p w14:paraId="7BEB1A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12.7因乙方未能按时、足额向任何第三方单位支付款项等原因导致甲方与第三方单位发生纠纷的，甲方</w:t>
      </w:r>
      <w:r>
        <w:rPr>
          <w:rFonts w:hint="eastAsia" w:ascii="宋体" w:hAnsi="宋体" w:eastAsia="宋体" w:cs="宋体"/>
          <w:color w:val="000000" w:themeColor="text1"/>
          <w:szCs w:val="21"/>
          <w:highlight w:val="none"/>
          <w14:textFill>
            <w14:solidFill>
              <w14:schemeClr w14:val="tx1"/>
            </w14:solidFill>
          </w14:textFill>
        </w:rPr>
        <w:t>有权要求</w:t>
      </w:r>
      <w:r>
        <w:rPr>
          <w:rFonts w:hint="eastAsia" w:ascii="宋体" w:hAnsi="宋体" w:eastAsia="宋体" w:cs="宋体"/>
          <w:color w:val="000000" w:themeColor="text1"/>
          <w:szCs w:val="21"/>
          <w:highlight w:val="none"/>
          <w:lang w:val="en-US"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赔偿</w:t>
      </w:r>
      <w:r>
        <w:rPr>
          <w:rFonts w:hint="eastAsia" w:ascii="宋体" w:hAnsi="宋体" w:eastAsia="宋体" w:cs="宋体"/>
          <w:color w:val="000000" w:themeColor="text1"/>
          <w:szCs w:val="21"/>
          <w:highlight w:val="none"/>
          <w:lang w:val="en-US" w:eastAsia="zh-CN"/>
          <w14:textFill>
            <w14:solidFill>
              <w14:schemeClr w14:val="tx1"/>
            </w14:solidFill>
          </w14:textFill>
        </w:rPr>
        <w:t>因此给甲方</w:t>
      </w:r>
      <w:r>
        <w:rPr>
          <w:rFonts w:hint="eastAsia" w:ascii="宋体" w:hAnsi="宋体" w:eastAsia="宋体" w:cs="宋体"/>
          <w:color w:val="000000" w:themeColor="text1"/>
          <w:szCs w:val="21"/>
          <w:highlight w:val="none"/>
          <w14:textFill>
            <w14:solidFill>
              <w14:schemeClr w14:val="tx1"/>
            </w14:solidFill>
          </w14:textFill>
        </w:rPr>
        <w:t>造成的一切损失，包括但不限于直接经济损失、律师费、诉讼费、鉴定费等。</w:t>
      </w:r>
    </w:p>
    <w:p w14:paraId="4A4A2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w:t>
      </w:r>
      <w:r>
        <w:rPr>
          <w:rFonts w:hint="eastAsia" w:ascii="宋体" w:hAnsi="宋体" w:eastAsia="宋体" w:cs="宋体"/>
          <w:color w:val="000000" w:themeColor="text1"/>
          <w:sz w:val="21"/>
          <w:szCs w:val="21"/>
          <w:highlight w:val="none"/>
          <w14:textFill>
            <w14:solidFill>
              <w14:schemeClr w14:val="tx1"/>
            </w14:solidFill>
          </w14:textFill>
        </w:rPr>
        <w:t>不可抗力致使</w:t>
      </w:r>
      <w:r>
        <w:rPr>
          <w:rFonts w:hint="eastAsia" w:ascii="宋体" w:hAnsi="宋体" w:eastAsia="宋体" w:cs="宋体"/>
          <w:color w:val="000000" w:themeColor="text1"/>
          <w:sz w:val="21"/>
          <w:szCs w:val="21"/>
          <w:highlight w:val="none"/>
          <w:lang w:eastAsia="zh-CN"/>
          <w14:textFill>
            <w14:solidFill>
              <w14:schemeClr w14:val="tx1"/>
            </w14:solidFill>
          </w14:textFill>
        </w:rPr>
        <w:t>本合同</w:t>
      </w:r>
      <w:r>
        <w:rPr>
          <w:rFonts w:hint="eastAsia" w:ascii="宋体" w:hAnsi="宋体" w:eastAsia="宋体" w:cs="宋体"/>
          <w:color w:val="000000" w:themeColor="text1"/>
          <w:sz w:val="21"/>
          <w:szCs w:val="21"/>
          <w:highlight w:val="none"/>
          <w14:textFill>
            <w14:solidFill>
              <w14:schemeClr w14:val="tx1"/>
            </w14:solidFill>
          </w14:textFill>
        </w:rPr>
        <w:t>无法履行的，双方均可以终止</w:t>
      </w:r>
      <w:r>
        <w:rPr>
          <w:rFonts w:hint="eastAsia" w:ascii="宋体" w:hAnsi="宋体" w:eastAsia="宋体" w:cs="宋体"/>
          <w:color w:val="000000" w:themeColor="text1"/>
          <w:sz w:val="21"/>
          <w:szCs w:val="21"/>
          <w:highlight w:val="none"/>
          <w:lang w:eastAsia="zh-CN"/>
          <w14:textFill>
            <w14:solidFill>
              <w14:schemeClr w14:val="tx1"/>
            </w14:solidFill>
          </w14:textFill>
        </w:rPr>
        <w:t>本合同</w:t>
      </w:r>
      <w:r>
        <w:rPr>
          <w:rFonts w:hint="eastAsia" w:ascii="宋体" w:hAnsi="宋体" w:eastAsia="宋体" w:cs="宋体"/>
          <w:color w:val="000000" w:themeColor="text1"/>
          <w:sz w:val="21"/>
          <w:szCs w:val="21"/>
          <w:highlight w:val="none"/>
          <w14:textFill>
            <w14:solidFill>
              <w14:schemeClr w14:val="tx1"/>
            </w14:solidFill>
          </w14:textFill>
        </w:rPr>
        <w:t>，且双方互不追究违约责任，但因此造成</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投入的成本损失应由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乙方自行承担</w:t>
      </w:r>
      <w:r>
        <w:rPr>
          <w:rFonts w:hint="eastAsia" w:ascii="宋体" w:hAnsi="宋体" w:eastAsia="宋体" w:cs="宋体"/>
          <w:color w:val="000000" w:themeColor="text1"/>
          <w:sz w:val="21"/>
          <w:szCs w:val="21"/>
          <w:highlight w:val="none"/>
          <w14:textFill>
            <w14:solidFill>
              <w14:schemeClr w14:val="tx1"/>
            </w14:solidFill>
          </w14:textFill>
        </w:rPr>
        <w:t>。如果不可抗力事件不足以导致</w:t>
      </w:r>
      <w:r>
        <w:rPr>
          <w:rFonts w:hint="eastAsia" w:ascii="宋体" w:hAnsi="宋体" w:eastAsia="宋体" w:cs="宋体"/>
          <w:color w:val="000000" w:themeColor="text1"/>
          <w:sz w:val="21"/>
          <w:szCs w:val="21"/>
          <w:highlight w:val="none"/>
          <w:lang w:eastAsia="zh-CN"/>
          <w14:textFill>
            <w14:solidFill>
              <w14:schemeClr w14:val="tx1"/>
            </w14:solidFill>
          </w14:textFill>
        </w:rPr>
        <w:t>本合同</w:t>
      </w:r>
      <w:r>
        <w:rPr>
          <w:rFonts w:hint="eastAsia" w:ascii="宋体" w:hAnsi="宋体" w:eastAsia="宋体" w:cs="宋体"/>
          <w:color w:val="000000" w:themeColor="text1"/>
          <w:sz w:val="21"/>
          <w:szCs w:val="21"/>
          <w:highlight w:val="none"/>
          <w14:textFill>
            <w14:solidFill>
              <w14:schemeClr w14:val="tx1"/>
            </w14:solidFill>
          </w14:textFill>
        </w:rPr>
        <w:t>无法履行，甲、乙双方应根据其对协议履行的影响程度确认延期履行或部分免除责任。</w:t>
      </w:r>
    </w:p>
    <w:p w14:paraId="117A62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合同履行过程中，乙方若违反本合同中的任一约定，甲方有权立即向乙方发出书面通知，要求乙方在指定期限内纠正其违约行为并承担相应的违约责任。除本合同已明确约定的违约责任外，针对乙方的任一未在本合同中具体规定的违约行为，甲方有权要求乙方按照甲方当期应付电费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作为乙方的违约金。若乙方在甲方指定的期限内未予纠正违约行为或未承担相应违约责任，甲方有权采取包括但不限于以下救济措施：单方解除合同、要求乙方赔偿因其违约行为给甲方造成的一切损失（包括但不限于直接经济损失、律师费、诉讼费、担保费、交通费等合理支出），以及通过法律途径（如提起诉讼）追究乙方的法律责任。</w:t>
      </w:r>
    </w:p>
    <w:p w14:paraId="6F4820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12.10</w:t>
      </w:r>
      <w:r>
        <w:rPr>
          <w:rFonts w:hint="default" w:ascii="宋体" w:hAnsi="宋体" w:eastAsia="宋体" w:cs="宋体"/>
          <w:color w:val="000000" w:themeColor="text1"/>
          <w:sz w:val="21"/>
          <w:szCs w:val="21"/>
          <w:highlight w:val="none"/>
          <w:lang w:val="en-US" w:eastAsia="zh-CN"/>
          <w14:textFill>
            <w14:solidFill>
              <w14:schemeClr w14:val="tx1"/>
            </w14:solidFill>
          </w14:textFill>
        </w:rPr>
        <w:t>未经甲方书面许可，乙方不得向第三方提供或披漏本项目内容及甲方业务有关的资料和信息，法律规定的除外，否则，甲方有权追究乙方的责任。</w:t>
      </w:r>
    </w:p>
    <w:p w14:paraId="6C6A7A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w:t>
      </w:r>
      <w:r>
        <w:rPr>
          <w:rFonts w:hint="eastAsia" w:ascii="宋体" w:hAnsi="宋体" w:eastAsia="宋体" w:cs="宋体"/>
          <w:b/>
          <w:bCs/>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条 合同争议的解决办法</w:t>
      </w:r>
    </w:p>
    <w:p w14:paraId="2FAFF7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双方在履约中发生争执和分歧，双方应通过友好协商解决，如不能通过友好协商解决的，任何一方均可向甲方住所地有管辖权的人民法院提起诉讼解决。</w:t>
      </w:r>
    </w:p>
    <w:p w14:paraId="066A1A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w:t>
      </w:r>
      <w:r>
        <w:rPr>
          <w:rFonts w:hint="eastAsia" w:ascii="宋体" w:hAnsi="宋体" w:eastAsia="宋体" w:cs="宋体"/>
          <w:b/>
          <w:bCs/>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条 其他</w:t>
      </w:r>
    </w:p>
    <w:p w14:paraId="4B48D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highlight w:val="none"/>
          <w14:textFill>
            <w14:solidFill>
              <w14:schemeClr w14:val="tx1"/>
            </w14:solidFill>
          </w14:textFill>
        </w:rPr>
        <w:t>1乙方确认：本合同中列明的乙方“地址”为有效的收件地址，甲方对乙方的相关通知、函件等可通过特快专递方式送达至该地址。甲方通过特快专递方式向乙方“地址”发出相关通知、函件等3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b w:val="0"/>
          <w:bCs w:val="0"/>
          <w:color w:val="000000" w:themeColor="text1"/>
          <w:sz w:val="21"/>
          <w:szCs w:val="21"/>
          <w:highlight w:val="none"/>
          <w14:textFill>
            <w14:solidFill>
              <w14:schemeClr w14:val="tx1"/>
            </w14:solidFill>
          </w14:textFill>
        </w:rPr>
        <w:t>后，即视为有效送达。乙方更换地址的，应该 1 日内书面告知甲方。</w:t>
      </w:r>
    </w:p>
    <w:p w14:paraId="3ACBA5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highlight w:val="none"/>
          <w14:textFill>
            <w14:solidFill>
              <w14:schemeClr w14:val="tx1"/>
            </w14:solidFill>
          </w14:textFill>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661DCE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highlight w:val="none"/>
          <w14:textFill>
            <w14:solidFill>
              <w14:schemeClr w14:val="tx1"/>
            </w14:solidFill>
          </w14:textFill>
        </w:rPr>
        <w:t>3本合同一式   份，其中甲方执  份，乙方执   份，招标代理机构执 壹 份，每份均具有同等法律效力。</w:t>
      </w:r>
    </w:p>
    <w:p w14:paraId="155EC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highlight w:val="none"/>
          <w14:textFill>
            <w14:solidFill>
              <w14:schemeClr w14:val="tx1"/>
            </w14:solidFill>
          </w14:textFill>
        </w:rPr>
        <w:t>4本合同经双方法定代表人或负责人签名并盖章后生效。对本合同及其附件的变更，须经甲、乙双方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法定代表人或负责人</w:t>
      </w:r>
      <w:r>
        <w:rPr>
          <w:rFonts w:hint="eastAsia" w:ascii="宋体" w:hAnsi="宋体" w:eastAsia="宋体" w:cs="宋体"/>
          <w:b w:val="0"/>
          <w:bCs w:val="0"/>
          <w:color w:val="000000" w:themeColor="text1"/>
          <w:sz w:val="21"/>
          <w:szCs w:val="21"/>
          <w:highlight w:val="none"/>
          <w14:textFill>
            <w14:solidFill>
              <w14:schemeClr w14:val="tx1"/>
            </w14:solidFill>
          </w14:textFill>
        </w:rPr>
        <w:t>签署书面协议方可生效。</w:t>
      </w:r>
    </w:p>
    <w:p w14:paraId="509437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highlight w:val="none"/>
          <w14:textFill>
            <w14:solidFill>
              <w14:schemeClr w14:val="tx1"/>
            </w14:solidFill>
          </w14:textFill>
        </w:rPr>
        <w:t>5本合同附件是本合同不可分割内容，与本合同同时生效，同具法律效力。当附件内容与本合同不一致时，以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有利于甲方的</w:t>
      </w:r>
      <w:r>
        <w:rPr>
          <w:rFonts w:hint="eastAsia" w:ascii="宋体" w:hAnsi="宋体" w:eastAsia="宋体" w:cs="宋体"/>
          <w:b w:val="0"/>
          <w:bCs w:val="0"/>
          <w:color w:val="000000" w:themeColor="text1"/>
          <w:sz w:val="21"/>
          <w:szCs w:val="21"/>
          <w:highlight w:val="none"/>
          <w14:textFill>
            <w14:solidFill>
              <w14:schemeClr w14:val="tx1"/>
            </w14:solidFill>
          </w14:textFill>
        </w:rPr>
        <w:t>为准。</w:t>
      </w:r>
    </w:p>
    <w:p w14:paraId="55534A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附件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：光伏组件总平面布置图</w:t>
      </w:r>
    </w:p>
    <w:p w14:paraId="0FCDE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附件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：用户需求书</w:t>
      </w:r>
    </w:p>
    <w:p w14:paraId="34DB3E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附件3：廉洁协议书</w:t>
      </w:r>
    </w:p>
    <w:p w14:paraId="694152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附件4：安全生产管理协议</w:t>
      </w:r>
    </w:p>
    <w:p w14:paraId="18E940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p w14:paraId="45EC91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p w14:paraId="0C56A4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bl>
      <w:tblPr>
        <w:tblStyle w:val="38"/>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5"/>
        <w:gridCol w:w="5185"/>
      </w:tblGrid>
      <w:tr w14:paraId="2469EA9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13CE9321">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bidi="ar"/>
                <w14:textFill>
                  <w14:solidFill>
                    <w14:schemeClr w14:val="tx1"/>
                  </w14:solidFill>
                </w14:textFill>
              </w:rPr>
              <w:t>甲方：东莞市石鼓净水有限公司</w:t>
            </w:r>
          </w:p>
          <w:p w14:paraId="1D5B0446">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p>
          <w:p w14:paraId="68563267">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p>
        </w:tc>
        <w:tc>
          <w:tcPr>
            <w:tcW w:w="5185" w:type="dxa"/>
            <w:tcBorders>
              <w:top w:val="nil"/>
              <w:left w:val="nil"/>
              <w:bottom w:val="nil"/>
              <w:right w:val="nil"/>
            </w:tcBorders>
            <w:shd w:val="clear" w:color="auto" w:fill="auto"/>
          </w:tcPr>
          <w:p w14:paraId="22C0E487">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bidi="ar"/>
                <w14:textFill>
                  <w14:solidFill>
                    <w14:schemeClr w14:val="tx1"/>
                  </w14:solidFill>
                </w14:textFill>
              </w:rPr>
              <w:t>乙方：</w:t>
            </w:r>
          </w:p>
        </w:tc>
      </w:tr>
      <w:tr w14:paraId="7FF0B79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14A01C65">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法定代表（或负责）人：</w:t>
            </w:r>
          </w:p>
        </w:tc>
        <w:tc>
          <w:tcPr>
            <w:tcW w:w="5185" w:type="dxa"/>
            <w:tcBorders>
              <w:top w:val="nil"/>
              <w:left w:val="nil"/>
              <w:bottom w:val="nil"/>
              <w:right w:val="nil"/>
            </w:tcBorders>
            <w:shd w:val="clear" w:color="auto" w:fill="auto"/>
          </w:tcPr>
          <w:p w14:paraId="078C7CEF">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法定代表（或负责）人：</w:t>
            </w:r>
          </w:p>
        </w:tc>
      </w:tr>
      <w:tr w14:paraId="6E515BA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3A917574">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地址：</w:t>
            </w:r>
            <w:r>
              <w:rPr>
                <w:rFonts w:hint="eastAsia" w:ascii="宋体" w:hAnsi="宋体" w:eastAsia="宋体" w:cs="宋体"/>
                <w:b/>
                <w:color w:val="000000" w:themeColor="text1"/>
                <w:kern w:val="0"/>
                <w:szCs w:val="21"/>
                <w:highlight w:val="none"/>
                <w:lang w:bidi="ar"/>
                <w14:textFill>
                  <w14:solidFill>
                    <w14:schemeClr w14:val="tx1"/>
                  </w14:solidFill>
                </w14:textFill>
              </w:rPr>
              <w:t xml:space="preserve"> </w:t>
            </w:r>
          </w:p>
        </w:tc>
        <w:tc>
          <w:tcPr>
            <w:tcW w:w="5185" w:type="dxa"/>
            <w:tcBorders>
              <w:top w:val="nil"/>
              <w:left w:val="nil"/>
              <w:bottom w:val="nil"/>
              <w:right w:val="nil"/>
            </w:tcBorders>
            <w:shd w:val="clear" w:color="auto" w:fill="auto"/>
          </w:tcPr>
          <w:p w14:paraId="5646FA45">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地址：</w:t>
            </w:r>
            <w:r>
              <w:rPr>
                <w:rFonts w:hint="eastAsia" w:ascii="宋体" w:hAnsi="宋体" w:eastAsia="宋体" w:cs="宋体"/>
                <w:b/>
                <w:color w:val="000000" w:themeColor="text1"/>
                <w:kern w:val="0"/>
                <w:szCs w:val="21"/>
                <w:highlight w:val="none"/>
                <w:lang w:bidi="ar"/>
                <w14:textFill>
                  <w14:solidFill>
                    <w14:schemeClr w14:val="tx1"/>
                  </w14:solidFill>
                </w14:textFill>
              </w:rPr>
              <w:t xml:space="preserve"> </w:t>
            </w:r>
          </w:p>
        </w:tc>
      </w:tr>
      <w:tr w14:paraId="699B2E5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0DAB0B2D">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电话：</w:t>
            </w:r>
          </w:p>
        </w:tc>
        <w:tc>
          <w:tcPr>
            <w:tcW w:w="5185" w:type="dxa"/>
            <w:tcBorders>
              <w:top w:val="nil"/>
              <w:left w:val="nil"/>
              <w:bottom w:val="nil"/>
              <w:right w:val="nil"/>
            </w:tcBorders>
            <w:shd w:val="clear" w:color="auto" w:fill="auto"/>
          </w:tcPr>
          <w:p w14:paraId="7CCCC85E">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电话：</w:t>
            </w:r>
          </w:p>
        </w:tc>
      </w:tr>
      <w:tr w14:paraId="66E289E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31931E20">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传真：</w:t>
            </w:r>
          </w:p>
        </w:tc>
        <w:tc>
          <w:tcPr>
            <w:tcW w:w="5185" w:type="dxa"/>
            <w:tcBorders>
              <w:top w:val="nil"/>
              <w:left w:val="nil"/>
              <w:bottom w:val="nil"/>
              <w:right w:val="nil"/>
            </w:tcBorders>
            <w:shd w:val="clear" w:color="auto" w:fill="auto"/>
          </w:tcPr>
          <w:p w14:paraId="151A9E6E">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传真：</w:t>
            </w:r>
          </w:p>
        </w:tc>
      </w:tr>
      <w:tr w14:paraId="32EE41F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79F0CA0B">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签约日期：</w:t>
            </w:r>
          </w:p>
        </w:tc>
        <w:tc>
          <w:tcPr>
            <w:tcW w:w="5185" w:type="dxa"/>
            <w:tcBorders>
              <w:top w:val="nil"/>
              <w:left w:val="nil"/>
              <w:bottom w:val="nil"/>
              <w:right w:val="nil"/>
            </w:tcBorders>
            <w:shd w:val="clear" w:color="auto" w:fill="auto"/>
          </w:tcPr>
          <w:p w14:paraId="620A2683">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签约日期：</w:t>
            </w:r>
          </w:p>
        </w:tc>
      </w:tr>
      <w:tr w14:paraId="3AE04E1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1FE65BF1">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签约地点：广东省东莞市</w:t>
            </w:r>
          </w:p>
        </w:tc>
        <w:tc>
          <w:tcPr>
            <w:tcW w:w="5185" w:type="dxa"/>
            <w:tcBorders>
              <w:top w:val="nil"/>
              <w:left w:val="nil"/>
              <w:bottom w:val="nil"/>
              <w:right w:val="nil"/>
            </w:tcBorders>
            <w:shd w:val="clear" w:color="auto" w:fill="auto"/>
          </w:tcPr>
          <w:p w14:paraId="39DB2E52">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p>
        </w:tc>
      </w:tr>
      <w:tr w14:paraId="512330E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4BF23F79">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开户银行：</w:t>
            </w:r>
          </w:p>
        </w:tc>
        <w:tc>
          <w:tcPr>
            <w:tcW w:w="5185" w:type="dxa"/>
            <w:tcBorders>
              <w:top w:val="nil"/>
              <w:left w:val="nil"/>
              <w:bottom w:val="nil"/>
              <w:right w:val="nil"/>
            </w:tcBorders>
            <w:shd w:val="clear" w:color="auto" w:fill="auto"/>
          </w:tcPr>
          <w:p w14:paraId="0D84EBC5">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开户银行：</w:t>
            </w:r>
          </w:p>
        </w:tc>
      </w:tr>
      <w:tr w14:paraId="5EF09DF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52922CFB">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银行账户：</w:t>
            </w:r>
          </w:p>
        </w:tc>
        <w:tc>
          <w:tcPr>
            <w:tcW w:w="5185" w:type="dxa"/>
            <w:tcBorders>
              <w:top w:val="nil"/>
              <w:left w:val="nil"/>
              <w:bottom w:val="nil"/>
              <w:right w:val="nil"/>
            </w:tcBorders>
            <w:shd w:val="clear" w:color="auto" w:fill="auto"/>
          </w:tcPr>
          <w:p w14:paraId="2AC071B7">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银行账户：</w:t>
            </w:r>
          </w:p>
        </w:tc>
      </w:tr>
      <w:tr w14:paraId="467E21F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05B1A3F8">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银行账号：</w:t>
            </w:r>
          </w:p>
        </w:tc>
        <w:tc>
          <w:tcPr>
            <w:tcW w:w="5185" w:type="dxa"/>
            <w:tcBorders>
              <w:top w:val="nil"/>
              <w:left w:val="nil"/>
              <w:bottom w:val="nil"/>
              <w:right w:val="nil"/>
            </w:tcBorders>
            <w:shd w:val="clear" w:color="auto" w:fill="auto"/>
          </w:tcPr>
          <w:p w14:paraId="54F13DF2">
            <w:pPr>
              <w:keepNext w:val="0"/>
              <w:keepLines w:val="0"/>
              <w:suppressLineNumbers w:val="0"/>
              <w:autoSpaceDE w:val="0"/>
              <w:autoSpaceDN w:val="0"/>
              <w:adjustRightInd w:val="0"/>
              <w:spacing w:before="0" w:beforeAutospacing="0" w:after="0" w:afterAutospacing="0" w:line="480" w:lineRule="auto"/>
              <w:ind w:left="0" w:right="0"/>
              <w:jc w:val="left"/>
              <w:rPr>
                <w:rFonts w:hint="default"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银行账号：</w:t>
            </w:r>
          </w:p>
        </w:tc>
      </w:tr>
    </w:tbl>
    <w:p w14:paraId="3B47AE4B">
      <w:pPr>
        <w:rPr>
          <w:rFonts w:hint="eastAsia"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br w:type="page"/>
      </w:r>
    </w:p>
    <w:p w14:paraId="7B1E9A10">
      <w:pPr>
        <w:autoSpaceDE w:val="0"/>
        <w:autoSpaceDN w:val="0"/>
        <w:spacing w:line="360" w:lineRule="auto"/>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附件</w:t>
      </w: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3</w:t>
      </w:r>
      <w:r>
        <w:rPr>
          <w:rFonts w:hint="eastAsia" w:ascii="宋体" w:hAnsi="宋体" w:eastAsia="宋体" w:cs="宋体"/>
          <w:b/>
          <w:bCs/>
          <w:color w:val="000000" w:themeColor="text1"/>
          <w:kern w:val="0"/>
          <w:szCs w:val="21"/>
          <w:highlight w:val="none"/>
          <w:lang w:bidi="ar"/>
          <w14:textFill>
            <w14:solidFill>
              <w14:schemeClr w14:val="tx1"/>
            </w14:solidFill>
          </w14:textFill>
        </w:rPr>
        <w:t>：廉洁协议书</w:t>
      </w:r>
    </w:p>
    <w:p w14:paraId="6FC598FB">
      <w:pPr>
        <w:spacing w:line="600" w:lineRule="exact"/>
        <w:ind w:right="31" w:rightChars="15"/>
        <w:jc w:val="center"/>
        <w:rPr>
          <w:rFonts w:ascii="宋体" w:hAnsi="宋体" w:eastAsia="宋体" w:cs="方正小标宋简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bidi="ar"/>
          <w14:textFill>
            <w14:solidFill>
              <w14:schemeClr w14:val="tx1"/>
            </w14:solidFill>
          </w14:textFill>
        </w:rPr>
        <w:t>廉洁协议书</w:t>
      </w:r>
    </w:p>
    <w:p w14:paraId="15C8FD8F">
      <w:pPr>
        <w:spacing w:line="600" w:lineRule="exact"/>
        <w:ind w:right="31" w:rightChars="15"/>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 xml:space="preserve"> </w:t>
      </w:r>
    </w:p>
    <w:p w14:paraId="4A6FB4A1">
      <w:pPr>
        <w:spacing w:line="56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项目名称：</w:t>
      </w:r>
      <w:r>
        <w:rPr>
          <w:rFonts w:hint="eastAsia" w:ascii="宋体" w:hAnsi="宋体" w:eastAsia="宋体" w:cs="宋体"/>
          <w:color w:val="000000" w:themeColor="text1"/>
          <w:szCs w:val="21"/>
          <w:highlight w:val="none"/>
          <w:lang w:bidi="ar"/>
          <w14:textFill>
            <w14:solidFill>
              <w14:schemeClr w14:val="tx1"/>
            </w14:solidFill>
          </w14:textFill>
        </w:rPr>
        <w:t xml:space="preserve">                 （招标编号：</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w:t>
      </w:r>
    </w:p>
    <w:p w14:paraId="363443C1">
      <w:pPr>
        <w:spacing w:line="56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甲方（业主单位）：</w:t>
      </w:r>
    </w:p>
    <w:p w14:paraId="780D63C7">
      <w:pPr>
        <w:spacing w:line="56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乙方：</w:t>
      </w:r>
    </w:p>
    <w:p w14:paraId="3D65E39A">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898FCC0">
      <w:pPr>
        <w:spacing w:line="560" w:lineRule="exact"/>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第一条  甲乙双方的权利和义务</w:t>
      </w:r>
    </w:p>
    <w:p w14:paraId="616A9BCD">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（一）严格遵守党和国家有关法律法规等有关廉洁从业规定。</w:t>
      </w:r>
    </w:p>
    <w:p w14:paraId="4E1D8459">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（二）严格执行本项目的合同文件，自觉按合同办事。</w:t>
      </w:r>
    </w:p>
    <w:p w14:paraId="25E4E285">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3A2E96B1">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（四）建立健全廉洁制度，开展廉洁教育，设立廉洁监督公示牌，公布举报电话，监督并认真查处违法违纪行为。</w:t>
      </w:r>
    </w:p>
    <w:p w14:paraId="104D72D5">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（五）发现对方在业务活动中有违反廉洁规定的行为，有及时提醒对方纠正的权利和义务。</w:t>
      </w:r>
    </w:p>
    <w:p w14:paraId="0A76B9F1">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（六）发现对方严重违反本协议义务条款的行为，有向其上级有关部门举报、建议给予处理并要求告知处理结果的权利。</w:t>
      </w:r>
    </w:p>
    <w:p w14:paraId="03F57C53">
      <w:pPr>
        <w:spacing w:line="560" w:lineRule="exact"/>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第二条  甲方的义务</w:t>
      </w:r>
    </w:p>
    <w:p w14:paraId="53FDD59F">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（一）甲方及其工作人员不得索要或接受乙方的礼金、有价证券和贵重物品，不得在乙方报销任何应由甲方或个人支付的费用。</w:t>
      </w:r>
    </w:p>
    <w:p w14:paraId="6C5D1F9E">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（二）甲方工作人员不得参加乙方安排的高消费宴请和娱乐活动；不得接受乙方提供的通讯工具、交通工具和高档办公用品。</w:t>
      </w:r>
    </w:p>
    <w:p w14:paraId="19B420F2">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（三）甲方及其工作人员不得要求或者接受乙方为其住房装修、婚丧嫁娶活动、家属或亲友的工作安排以及出国出境、旅游等提供方便。</w:t>
      </w:r>
    </w:p>
    <w:p w14:paraId="287521F7">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（四）甲方工作人员不得向乙方介绍其家属或者亲友（包括家属或亲友开办的公司企业）从事于本项目涉及的经济业务活动。</w:t>
      </w:r>
    </w:p>
    <w:p w14:paraId="3E26C29E">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（五）甲方及其工作人员不得以任何理由向乙方推荐分包单位，不得要求乙方购买合同规定外的材料和设备。</w:t>
      </w:r>
    </w:p>
    <w:p w14:paraId="118AEA3F">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（六）甲方及其工作人员不得进行违反廉洁规定的其他活动。</w:t>
      </w:r>
    </w:p>
    <w:p w14:paraId="6F30EBE6">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13B6DCD1">
      <w:pPr>
        <w:spacing w:line="560" w:lineRule="exact"/>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第三条  乙方义务</w:t>
      </w:r>
    </w:p>
    <w:p w14:paraId="655BE430">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（一）乙方不得以任何理由向甲方及其工作人员馈赠礼金、有价证券、贵重礼品，或报销应由甲方单位或个人支付的任何费用。</w:t>
      </w:r>
    </w:p>
    <w:p w14:paraId="32FE8EB0">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（二）乙方及其工作人员不得以考察、参观、洽谈业务、签订合同等的借口邀请甲方及其工作人员参加高消费的宴请、娱乐和健身等活动。</w:t>
      </w:r>
    </w:p>
    <w:p w14:paraId="45320FCF">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（三）乙方不得为甲方单位和个人购置或提供通讯工具、交通工具和高档办公用品等。</w:t>
      </w:r>
    </w:p>
    <w:p w14:paraId="5AD3CB7C">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（四）乙方及其工作人员不得为甲方工作人员购买、装修、维修私人住房、汽车等。</w:t>
      </w:r>
    </w:p>
    <w:p w14:paraId="74CF6EBE">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（五）乙方及其工作人员不得为甲方工作人员的婚丧嫁娶、家属或亲友的工作安排，及出国出境提供方便以及报销任何私人消费的费用。</w:t>
      </w:r>
    </w:p>
    <w:p w14:paraId="5348205A">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（六）乙方及其工作人员不得进行影响甲方及其工作人员公正执行合同和履行职务的其他活动。</w:t>
      </w:r>
    </w:p>
    <w:p w14:paraId="6FDC4D95">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67031355">
      <w:pPr>
        <w:spacing w:line="560" w:lineRule="exact"/>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第四条  违约责任</w:t>
      </w:r>
    </w:p>
    <w:p w14:paraId="093C6BA9">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（一）甲方违反本协议第一、第二条给乙方单位造成经济损失的，应予以赔偿。</w:t>
      </w:r>
    </w:p>
    <w:p w14:paraId="3AB5ECEA">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（二）乙方违反本协议第一、第三条给甲方单位造成经济损失的，应予以赔偿。</w:t>
      </w:r>
    </w:p>
    <w:p w14:paraId="6C1E9E12">
      <w:pPr>
        <w:spacing w:line="560" w:lineRule="exact"/>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第五条  监督检查</w:t>
      </w:r>
    </w:p>
    <w:p w14:paraId="6CB7A7A8">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甲乙双方的廉洁从业行为由甲乙双方或甲乙双方上级单位的纪检、监察部门负责监督，对本协议履行情况进行检查。</w:t>
      </w:r>
    </w:p>
    <w:p w14:paraId="497AF397">
      <w:pPr>
        <w:spacing w:line="560" w:lineRule="exact"/>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第六条 举报信访受理</w:t>
      </w:r>
    </w:p>
    <w:p w14:paraId="5DD9C1B0">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（一）举报受理部门：东莞市水务集团有限公司纪检监察部。</w:t>
      </w:r>
    </w:p>
    <w:p w14:paraId="4110BF81">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（二）举报电话：（0769）23076092。</w:t>
      </w:r>
    </w:p>
    <w:p w14:paraId="4CFC0CEA">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（三）举报邮箱：</w:t>
      </w:r>
      <w:r>
        <w:rPr>
          <w:rFonts w:ascii="等线" w:hAnsi="等线" w:eastAsia="等线" w:cs="Times New Roman"/>
          <w:color w:val="000000" w:themeColor="text1"/>
          <w:highlight w:val="none"/>
          <w14:textFill>
            <w14:solidFill>
              <w14:schemeClr w14:val="tx1"/>
            </w14:solidFill>
          </w14:textFill>
        </w:rPr>
        <w:fldChar w:fldCharType="begin"/>
      </w:r>
      <w:r>
        <w:rPr>
          <w:rFonts w:ascii="等线" w:hAnsi="等线" w:eastAsia="等线" w:cs="Times New Roman"/>
          <w:color w:val="000000" w:themeColor="text1"/>
          <w:highlight w:val="none"/>
          <w14:textFill>
            <w14:solidFill>
              <w14:schemeClr w14:val="tx1"/>
            </w14:solidFill>
          </w14:textFill>
        </w:rPr>
        <w:instrText xml:space="preserve"> HYPERLINK "mailto:jcsj@dgswjt.cn。" </w:instrText>
      </w:r>
      <w:r>
        <w:rPr>
          <w:rFonts w:ascii="等线" w:hAnsi="等线" w:eastAsia="等线" w:cs="Times New Roman"/>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u w:val="none"/>
          <w14:textFill>
            <w14:solidFill>
              <w14:schemeClr w14:val="tx1"/>
            </w14:solidFill>
          </w14:textFill>
        </w:rPr>
        <w:t>jcsj@dgswjt.cn。</w:t>
      </w:r>
      <w:r>
        <w:rPr>
          <w:rFonts w:hint="eastAsia" w:ascii="宋体" w:hAnsi="宋体" w:eastAsia="宋体" w:cs="宋体"/>
          <w:color w:val="000000" w:themeColor="text1"/>
          <w:sz w:val="21"/>
          <w:szCs w:val="21"/>
          <w:highlight w:val="none"/>
          <w:u w:val="none"/>
          <w14:textFill>
            <w14:solidFill>
              <w14:schemeClr w14:val="tx1"/>
            </w14:solidFill>
          </w14:textFill>
        </w:rPr>
        <w:fldChar w:fldCharType="end"/>
      </w:r>
    </w:p>
    <w:p w14:paraId="195DCF4A">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（四）信访地址：广东省东莞市东城街道育华路1号。</w:t>
      </w:r>
    </w:p>
    <w:p w14:paraId="132243DC">
      <w:pPr>
        <w:spacing w:line="560" w:lineRule="exact"/>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第七条 其他</w:t>
      </w:r>
    </w:p>
    <w:p w14:paraId="2F504FD6">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本协议有效期为甲乙双方法定代表人或负责人签字并加盖章之日起至该工程/采购项目竣工验收完毕，质保期/服务期满后止。本协议一式</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份，甲、乙双方各执</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份，甲、乙双方上级主管部门各执</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份。</w:t>
      </w:r>
    </w:p>
    <w:p w14:paraId="121D3E4B">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3FEAF159">
      <w:pPr>
        <w:spacing w:line="56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6B770758">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甲方（盖章）：                乙方（盖章）： </w:t>
      </w:r>
    </w:p>
    <w:p w14:paraId="7DF5A263">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01A10654">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法定代表（或负责）人：           法定代表（或负责）人：</w:t>
      </w:r>
    </w:p>
    <w:p w14:paraId="4D6FFE69">
      <w:pPr>
        <w:spacing w:line="56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2EC87974">
      <w:pPr>
        <w:spacing w:line="5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签订日期：    年  月  日</w:t>
      </w:r>
    </w:p>
    <w:p w14:paraId="45CC4DF9">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bidi="ar"/>
          <w14:textFill>
            <w14:solidFill>
              <w14:schemeClr w14:val="tx1"/>
            </w14:solidFill>
          </w14:textFill>
        </w:rPr>
        <w:t xml:space="preserve"> </w:t>
      </w:r>
    </w:p>
    <w:p w14:paraId="05F73CFF">
      <w:pPr>
        <w:widowControl/>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bidi="ar"/>
          <w14:textFill>
            <w14:solidFill>
              <w14:schemeClr w14:val="tx1"/>
            </w14:solidFill>
          </w14:textFill>
        </w:rPr>
        <w:br w:type="page"/>
      </w:r>
    </w:p>
    <w:p w14:paraId="09A44971">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bidi="ar"/>
          <w14:textFill>
            <w14:solidFill>
              <w14:schemeClr w14:val="tx1"/>
            </w14:solidFill>
          </w14:textFill>
        </w:rPr>
        <w:t>附件</w:t>
      </w:r>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b/>
          <w:color w:val="000000" w:themeColor="text1"/>
          <w:kern w:val="0"/>
          <w:sz w:val="24"/>
          <w:szCs w:val="24"/>
          <w:highlight w:val="none"/>
          <w:lang w:bidi="ar"/>
          <w14:textFill>
            <w14:solidFill>
              <w14:schemeClr w14:val="tx1"/>
            </w14:solidFill>
          </w14:textFill>
        </w:rPr>
        <w:t>：安全生产管理协议</w:t>
      </w:r>
    </w:p>
    <w:p w14:paraId="392D5DCC">
      <w:pPr>
        <w:autoSpaceDE w:val="0"/>
        <w:autoSpaceDN w:val="0"/>
        <w:adjustRightInd w:val="0"/>
        <w:jc w:val="center"/>
        <w:rPr>
          <w:rFonts w:ascii="宋体" w:hAnsi="宋体" w:eastAsia="宋体" w:cs="仿宋"/>
          <w:bCs/>
          <w:color w:val="000000" w:themeColor="text1"/>
          <w:kern w:val="0"/>
          <w:sz w:val="28"/>
          <w:szCs w:val="28"/>
          <w:highlight w:val="none"/>
          <w14:textFill>
            <w14:solidFill>
              <w14:schemeClr w14:val="tx1"/>
            </w14:solidFill>
          </w14:textFill>
        </w:rPr>
      </w:pPr>
      <w:r>
        <w:rPr>
          <w:rFonts w:hint="eastAsia" w:ascii="宋体" w:hAnsi="宋体" w:eastAsia="宋体" w:cs="仿宋"/>
          <w:bCs/>
          <w:color w:val="000000" w:themeColor="text1"/>
          <w:kern w:val="0"/>
          <w:sz w:val="28"/>
          <w:szCs w:val="28"/>
          <w:highlight w:val="none"/>
          <w:lang w:bidi="ar"/>
          <w14:textFill>
            <w14:solidFill>
              <w14:schemeClr w14:val="tx1"/>
            </w14:solidFill>
          </w14:textFill>
        </w:rPr>
        <w:t xml:space="preserve"> </w:t>
      </w:r>
    </w:p>
    <w:p w14:paraId="3638AA9F">
      <w:pPr>
        <w:jc w:val="center"/>
        <w:rPr>
          <w:rFonts w:ascii="宋体" w:hAnsi="宋体" w:eastAsia="宋体" w:cs="仿宋"/>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bidi="ar"/>
          <w14:textFill>
            <w14:solidFill>
              <w14:schemeClr w14:val="tx1"/>
            </w14:solidFill>
          </w14:textFill>
        </w:rPr>
        <w:t>安全生产管理协议</w:t>
      </w:r>
    </w:p>
    <w:p w14:paraId="09FA1016">
      <w:pPr>
        <w:jc w:val="center"/>
        <w:rPr>
          <w:rFonts w:ascii="宋体" w:hAnsi="宋体" w:eastAsia="宋体" w:cs="仿宋"/>
          <w:bCs/>
          <w:color w:val="000000" w:themeColor="text1"/>
          <w:sz w:val="28"/>
          <w:szCs w:val="28"/>
          <w:highlight w:val="none"/>
          <w14:textFill>
            <w14:solidFill>
              <w14:schemeClr w14:val="tx1"/>
            </w14:solidFill>
          </w14:textFill>
        </w:rPr>
      </w:pPr>
      <w:r>
        <w:rPr>
          <w:rFonts w:hint="eastAsia" w:ascii="宋体" w:hAnsi="宋体" w:eastAsia="宋体" w:cs="仿宋"/>
          <w:bCs/>
          <w:color w:val="000000" w:themeColor="text1"/>
          <w:sz w:val="28"/>
          <w:szCs w:val="28"/>
          <w:highlight w:val="none"/>
          <w:lang w:bidi="ar"/>
          <w14:textFill>
            <w14:solidFill>
              <w14:schemeClr w14:val="tx1"/>
            </w14:solidFill>
          </w14:textFill>
        </w:rPr>
        <w:t xml:space="preserve"> </w:t>
      </w:r>
    </w:p>
    <w:p w14:paraId="03A8A6AA">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甲方：</w:t>
      </w:r>
    </w:p>
    <w:p w14:paraId="77971F6E">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地址:</w:t>
      </w:r>
    </w:p>
    <w:p w14:paraId="4220F880">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电话:                </w:t>
      </w:r>
    </w:p>
    <w:p w14:paraId="57C74BA6">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传真</w:t>
      </w:r>
    </w:p>
    <w:p w14:paraId="519A89E4">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仿宋"/>
          <w:color w:val="000000" w:themeColor="text1"/>
          <w:szCs w:val="21"/>
          <w:highlight w:val="none"/>
          <w:lang w:bidi="ar"/>
          <w14:textFill>
            <w14:solidFill>
              <w14:schemeClr w14:val="tx1"/>
            </w14:solidFill>
          </w14:textFill>
        </w:rPr>
        <w:t xml:space="preserve"> </w:t>
      </w:r>
    </w:p>
    <w:p w14:paraId="6BB363CE">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乙方：</w:t>
      </w:r>
    </w:p>
    <w:p w14:paraId="03C265A7">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地址:</w:t>
      </w:r>
    </w:p>
    <w:p w14:paraId="04774F0C">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电话:</w:t>
      </w:r>
    </w:p>
    <w:p w14:paraId="43CCF93F">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传真</w:t>
      </w:r>
    </w:p>
    <w:p w14:paraId="3CCE06FB">
      <w:pPr>
        <w:spacing w:line="360" w:lineRule="auto"/>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仿宋"/>
          <w:color w:val="000000" w:themeColor="text1"/>
          <w:szCs w:val="21"/>
          <w:highlight w:val="none"/>
          <w:lang w:bidi="ar"/>
          <w14:textFill>
            <w14:solidFill>
              <w14:schemeClr w14:val="tx1"/>
            </w14:solidFill>
          </w14:textFill>
        </w:rPr>
        <w:t xml:space="preserve"> </w:t>
      </w:r>
    </w:p>
    <w:p w14:paraId="584C8302">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6E6F6EA6">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p>
    <w:p w14:paraId="52487395">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3817BAB1">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3、乙方使用被派遣劳动者的，应当将被派遣劳动者纳入本单位从业人员统一管理，对被派遣劳动者进行岗位安全操作规程和安全操作技能的教育和培训。</w:t>
      </w:r>
    </w:p>
    <w:p w14:paraId="683A2277">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0E418A14">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5、乙方应当教育和督促从业人员严格执行本单位的安全生产规章制度和安全操作规程；并向从业人员如实告知作业场所和工作岗位存在的危险因素、防范措施以及事故应急措施。</w:t>
      </w:r>
    </w:p>
    <w:p w14:paraId="1DCA5CB5">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6、乙方应严格遵守国家、地方政府有关安全生产及劳动保护的法律法规、标准、规定，贯彻执行甲方的各项安全管理规章制度。</w:t>
      </w:r>
    </w:p>
    <w:p w14:paraId="3E844617">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7、乙方依法参加工伤保险，为从业人员缴纳保险费，并应当为从事危险作业的人员办理意外伤害保险。</w:t>
      </w:r>
    </w:p>
    <w:p w14:paraId="1D48D376">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1E4DF0BB">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3948FAD5">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5F883B93">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4B13EE65">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0F8A3F95">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13、在施工过程中，需要进行动土、动火、登高、吊装、断路、进入限制性空间等危险性较高的作业时，乙方的施工负责人、专职或兼职安全员必须现场确认，确保安全后，方可开始施工。</w:t>
      </w:r>
    </w:p>
    <w:p w14:paraId="592BFEFC">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14、因乙方原因，造成乙方损失，由乙方自负，给甲方造成财产损失和人员伤害，乙方要负全部责任，并全额赔偿甲方。</w:t>
      </w:r>
    </w:p>
    <w:p w14:paraId="2C9C24A3">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15、非因甲方原因，造成乙方损失的，甲方不承担任何责任，由乙方自行承担全部责任。</w:t>
      </w:r>
    </w:p>
    <w:p w14:paraId="48939DD2">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16、乙方应严格遵守法律法规以及甲方的安全管理要求，并接受甲方的安全生产工作协调和监督，积极消除安全隐患。安全管理的基本要求包括但不限于以下条款：</w:t>
      </w:r>
    </w:p>
    <w:p w14:paraId="6F024520">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①禁火区内严禁吸烟、动火。有火灾危险的作业区域，乙方必须配置足够的灭火设施。</w:t>
      </w:r>
    </w:p>
    <w:p w14:paraId="1332E1F9">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②焊接、气割作业时两瓶距离必须达到5M及以上，气瓶距可能产生火花的电器、设备和其它火源的间距必须达到10M及以上。</w:t>
      </w:r>
    </w:p>
    <w:p w14:paraId="19DABB30">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③严禁在厂内道路、消防通道内搭建临时建筑或堆放物资。</w:t>
      </w:r>
    </w:p>
    <w:p w14:paraId="2F7BDC6D">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④施工场所的电动工具、电焊机等须有漏电保护器和相应的安全防护装置。</w:t>
      </w:r>
    </w:p>
    <w:p w14:paraId="0913D7EB">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⑤施工现场及居住室、办公室内的用电设施必须符合要求，严禁电线乱接、乱拉，刀闸和开关无盖，在电器设施上堆放物品。</w:t>
      </w:r>
    </w:p>
    <w:p w14:paraId="1F647F52">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⑥防雷、防静电设施及用电设施要有良好接地。</w:t>
      </w:r>
    </w:p>
    <w:p w14:paraId="3884EF8E">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⑦施工现场的危险区域，如临边、深坑、土方堆填区等，必须设置围栏和危险标志，夜间要设信号灯。</w:t>
      </w:r>
    </w:p>
    <w:p w14:paraId="77F25EA2">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394B221A">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135BE11F">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6D45797D">
      <w:pPr>
        <w:spacing w:line="360" w:lineRule="auto"/>
        <w:ind w:firstLine="424" w:firstLineChars="20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17、乙方必须接受甲方的检查与监督，并应主动配合，做好安全工作，凡有违反上述协议的即视为乙方违约，甲方有权视情况从工程结算款/服务价款中扣除（1000-2000）元/次作为违约金。</w:t>
      </w:r>
    </w:p>
    <w:p w14:paraId="0369E24D">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09D0ACF0">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19、乙方对施工过程中潜在的安全风险不明确的，不可盲目施工，否则，造成的不良后果由乙方独自承担。</w:t>
      </w:r>
    </w:p>
    <w:p w14:paraId="7D853052">
      <w:pPr>
        <w:spacing w:line="360" w:lineRule="auto"/>
        <w:ind w:firstLine="424" w:firstLineChars="202"/>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20、本协议自双方法定代表人或负责人签字并盖章后生效。</w:t>
      </w:r>
    </w:p>
    <w:p w14:paraId="56F79734">
      <w:pPr>
        <w:spacing w:line="360" w:lineRule="auto"/>
        <w:rPr>
          <w:rFonts w:ascii="宋体" w:hAnsi="宋体" w:eastAsia="宋体" w:cs="仿宋"/>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乙方声明：</w:t>
      </w:r>
    </w:p>
    <w:p w14:paraId="08576B50">
      <w:pPr>
        <w:spacing w:line="360" w:lineRule="auto"/>
        <w:ind w:firstLine="479" w:firstLineChars="227"/>
        <w:rPr>
          <w:rFonts w:ascii="宋体" w:hAnsi="宋体" w:eastAsia="宋体" w:cs="仿宋"/>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乙方已认真阅读协议内容，对协议条款、</w:t>
      </w:r>
      <w:r>
        <w:rPr>
          <w:rFonts w:hint="eastAsia" w:ascii="宋体" w:hAnsi="宋体" w:eastAsia="宋体" w:cs="宋体"/>
          <w:b/>
          <w:bCs/>
          <w:color w:val="000000" w:themeColor="text1"/>
          <w:szCs w:val="21"/>
          <w:highlight w:val="none"/>
          <w:u w:val="single"/>
          <w:lang w:bidi="ar"/>
          <w14:textFill>
            <w14:solidFill>
              <w14:schemeClr w14:val="tx1"/>
            </w14:solidFill>
          </w14:textFill>
        </w:rPr>
        <w:t>东莞市石鼓净水有限公司污水处理厂分布式光伏发电项目</w:t>
      </w:r>
      <w:r>
        <w:rPr>
          <w:rFonts w:hint="eastAsia" w:ascii="宋体" w:hAnsi="宋体" w:eastAsia="宋体" w:cs="宋体"/>
          <w:b/>
          <w:bCs/>
          <w:color w:val="000000" w:themeColor="text1"/>
          <w:szCs w:val="21"/>
          <w:highlight w:val="none"/>
          <w:lang w:bidi="ar"/>
          <w14:textFill>
            <w14:solidFill>
              <w14:schemeClr w14:val="tx1"/>
            </w14:solidFill>
          </w14:textFill>
        </w:rPr>
        <w:t>的安全管理要求、安全风险充分理解，并自愿承担因违约造成的一切后果。</w:t>
      </w:r>
    </w:p>
    <w:p w14:paraId="04A138FE">
      <w:pPr>
        <w:spacing w:line="360" w:lineRule="auto"/>
        <w:ind w:firstLine="420" w:firstLineChars="200"/>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仿宋"/>
          <w:color w:val="000000" w:themeColor="text1"/>
          <w:szCs w:val="21"/>
          <w:highlight w:val="none"/>
          <w:lang w:bidi="ar"/>
          <w14:textFill>
            <w14:solidFill>
              <w14:schemeClr w14:val="tx1"/>
            </w14:solidFill>
          </w14:textFill>
        </w:rPr>
        <w:t xml:space="preserve"> </w:t>
      </w:r>
    </w:p>
    <w:p w14:paraId="350D5AB0">
      <w:pPr>
        <w:spacing w:line="360" w:lineRule="auto"/>
        <w:ind w:firstLine="476" w:firstLineChars="227"/>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甲方（盖章）：</w:t>
      </w:r>
      <w:r>
        <w:rPr>
          <w:rFonts w:hint="eastAsia" w:ascii="宋体" w:hAnsi="宋体" w:eastAsia="宋体" w:cs="仿宋"/>
          <w:color w:val="000000" w:themeColor="text1"/>
          <w:szCs w:val="21"/>
          <w:highlight w:val="non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乙方（盖章）：</w:t>
      </w:r>
      <w:r>
        <w:rPr>
          <w:rFonts w:hint="eastAsia" w:ascii="宋体" w:hAnsi="宋体" w:eastAsia="宋体" w:cs="仿宋"/>
          <w:color w:val="000000" w:themeColor="text1"/>
          <w:szCs w:val="21"/>
          <w:highlight w:val="none"/>
          <w:lang w:bidi="ar"/>
          <w14:textFill>
            <w14:solidFill>
              <w14:schemeClr w14:val="tx1"/>
            </w14:solidFill>
          </w14:textFill>
        </w:rPr>
        <w:t xml:space="preserve"> </w:t>
      </w:r>
    </w:p>
    <w:p w14:paraId="6D4FA360">
      <w:pPr>
        <w:spacing w:line="360" w:lineRule="auto"/>
        <w:ind w:firstLine="476" w:firstLineChars="227"/>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法定代表人或负责人：</w:t>
      </w:r>
      <w:r>
        <w:rPr>
          <w:rFonts w:hint="eastAsia" w:ascii="宋体" w:hAnsi="宋体" w:eastAsia="宋体" w:cs="仿宋"/>
          <w:color w:val="000000" w:themeColor="text1"/>
          <w:szCs w:val="21"/>
          <w:highlight w:val="non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法定代表人或负责人：</w:t>
      </w:r>
    </w:p>
    <w:p w14:paraId="3EF9BCF9">
      <w:pPr>
        <w:spacing w:line="360" w:lineRule="auto"/>
        <w:ind w:firstLine="476" w:firstLineChars="227"/>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仿宋"/>
          <w:color w:val="000000" w:themeColor="text1"/>
          <w:szCs w:val="21"/>
          <w:highlight w:val="none"/>
          <w:lang w:bidi="ar"/>
          <w14:textFill>
            <w14:solidFill>
              <w14:schemeClr w14:val="tx1"/>
            </w14:solidFill>
          </w14:textFill>
        </w:rPr>
        <w:t xml:space="preserve">   </w:t>
      </w:r>
    </w:p>
    <w:p w14:paraId="66F84656">
      <w:pPr>
        <w:spacing w:line="360" w:lineRule="auto"/>
        <w:ind w:firstLine="476" w:firstLineChars="227"/>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签订日期：</w:t>
      </w:r>
    </w:p>
    <w:p w14:paraId="01EF1854">
      <w:pPr>
        <w:spacing w:line="360" w:lineRule="auto"/>
        <w:ind w:firstLine="476" w:firstLineChars="227"/>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签订地点：广东省东莞市</w:t>
      </w:r>
    </w:p>
    <w:p w14:paraId="56C48907">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52DDFF3B">
      <w:pPr>
        <w:pageBreakBefore/>
        <w:spacing w:before="120" w:beforeLines="50" w:after="120" w:afterLines="50" w:line="360" w:lineRule="auto"/>
        <w:ind w:firstLine="640"/>
        <w:jc w:val="center"/>
        <w:outlineLvl w:val="0"/>
        <w:rPr>
          <w:rFonts w:hint="eastAsia" w:ascii="宋体" w:hAnsi="宋体" w:eastAsia="宋体" w:cs="宋体"/>
          <w:b/>
          <w:bCs/>
          <w:color w:val="000000" w:themeColor="text1"/>
          <w:sz w:val="32"/>
          <w:szCs w:val="32"/>
          <w:highlight w:val="none"/>
          <w:lang w:val="zh-CN"/>
          <w14:textFill>
            <w14:solidFill>
              <w14:schemeClr w14:val="tx1"/>
            </w14:solidFill>
          </w14:textFill>
        </w:rPr>
      </w:pPr>
      <w:bookmarkStart w:id="442" w:name="_Toc31532"/>
      <w:r>
        <w:rPr>
          <w:rFonts w:hint="eastAsia" w:ascii="宋体" w:hAnsi="宋体" w:eastAsia="宋体" w:cs="宋体"/>
          <w:b/>
          <w:bCs/>
          <w:color w:val="000000" w:themeColor="text1"/>
          <w:sz w:val="32"/>
          <w:szCs w:val="32"/>
          <w:highlight w:val="none"/>
          <w:lang w:val="zh-CN"/>
          <w14:textFill>
            <w14:solidFill>
              <w14:schemeClr w14:val="tx1"/>
            </w14:solidFill>
          </w14:textFill>
        </w:rPr>
        <w:t>第五篇 相关保函格式</w:t>
      </w:r>
      <w:bookmarkEnd w:id="442"/>
    </w:p>
    <w:p w14:paraId="4D48A7AA">
      <w:pPr>
        <w:autoSpaceDE w:val="0"/>
        <w:autoSpaceDN w:val="0"/>
        <w:adjustRightInd w:val="0"/>
        <w:spacing w:after="120" w:afterLines="50" w:line="360" w:lineRule="auto"/>
        <w:jc w:val="left"/>
        <w:outlineLvl w:val="9"/>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一、不可撤销银行履约保函格式</w:t>
      </w:r>
    </w:p>
    <w:p w14:paraId="59C035FA">
      <w:pPr>
        <w:autoSpaceDE w:val="0"/>
        <w:autoSpaceDN w:val="0"/>
        <w:adjustRightInd w:val="0"/>
        <w:jc w:val="center"/>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不可撤销银行履约保函</w:t>
      </w:r>
    </w:p>
    <w:p w14:paraId="57B4BBA2">
      <w:pPr>
        <w:widowControl/>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0CC5273">
      <w:pPr>
        <w:autoSpaceDE w:val="0"/>
        <w:autoSpaceDN w:val="0"/>
        <w:adjustRightInd w:val="0"/>
        <w:spacing w:line="360" w:lineRule="auto"/>
        <w:ind w:firstLine="6300"/>
        <w:jc w:val="left"/>
        <w:outlineLvl w:val="9"/>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银行编号：</w:t>
      </w:r>
    </w:p>
    <w:p w14:paraId="06696F8C">
      <w:pPr>
        <w:widowControl/>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67AD5006">
      <w:pPr>
        <w:widowControl/>
        <w:autoSpaceDE w:val="0"/>
        <w:autoSpaceDN w:val="0"/>
        <w:adjustRightInd w:val="0"/>
        <w:spacing w:line="360" w:lineRule="auto"/>
        <w:ind w:firstLine="567" w:firstLineChars="27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（申请人的名称与地址）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7A9F459B">
      <w:pPr>
        <w:widowControl/>
        <w:autoSpaceDE w:val="0"/>
        <w:autoSpaceDN w:val="0"/>
        <w:adjustRightInd w:val="0"/>
        <w:spacing w:line="360" w:lineRule="auto"/>
        <w:ind w:firstLine="567" w:firstLineChars="27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（RMB元）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49AB1568">
      <w:pPr>
        <w:widowControl/>
        <w:autoSpaceDE w:val="0"/>
        <w:autoSpaceDN w:val="0"/>
        <w:adjustRightInd w:val="0"/>
        <w:spacing w:line="360" w:lineRule="auto"/>
        <w:ind w:firstLine="567" w:firstLineChars="27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7B4D0BCA">
      <w:pPr>
        <w:widowControl/>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0C7FFF94">
      <w:pPr>
        <w:widowControl/>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567A4F82">
      <w:pPr>
        <w:widowControl/>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本保函应</w:t>
      </w:r>
      <w:r>
        <w:rPr>
          <w:rFonts w:hint="eastAsia" w:ascii="宋体" w:hAnsi="宋体" w:eastAsia="宋体" w:cs="Times New Roman"/>
          <w:color w:val="000000" w:themeColor="text1"/>
          <w:kern w:val="0"/>
          <w:szCs w:val="21"/>
          <w:highlight w:val="none"/>
          <w14:textFill>
            <w14:solidFill>
              <w14:schemeClr w14:val="tx1"/>
            </w14:solidFill>
          </w14:textFill>
        </w:rPr>
        <w:t>自合同签订之日起（或签订合同前）至合同期限届满并完成合同及补充协议</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项下</w:t>
      </w:r>
      <w:r>
        <w:rPr>
          <w:rFonts w:hint="eastAsia" w:ascii="宋体" w:hAnsi="宋体" w:eastAsia="宋体" w:cs="Times New Roman"/>
          <w:color w:val="000000" w:themeColor="text1"/>
          <w:kern w:val="0"/>
          <w:szCs w:val="21"/>
          <w:highlight w:val="none"/>
          <w14:textFill>
            <w14:solidFill>
              <w14:schemeClr w14:val="tx1"/>
            </w14:solidFill>
          </w14:textFill>
        </w:rPr>
        <w:t>全部服务义务，</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受益人</w:t>
      </w:r>
      <w:r>
        <w:rPr>
          <w:rFonts w:hint="eastAsia" w:ascii="宋体" w:hAnsi="宋体" w:eastAsia="宋体" w:cs="Times New Roman"/>
          <w:color w:val="000000" w:themeColor="text1"/>
          <w:kern w:val="0"/>
          <w:szCs w:val="21"/>
          <w:highlight w:val="none"/>
          <w14:textFill>
            <w14:solidFill>
              <w14:schemeClr w14:val="tx1"/>
            </w14:solidFill>
          </w14:textFill>
        </w:rPr>
        <w:t>向</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申请人</w:t>
      </w:r>
      <w:r>
        <w:rPr>
          <w:rFonts w:hint="eastAsia" w:ascii="宋体" w:hAnsi="宋体" w:eastAsia="宋体" w:cs="Times New Roman"/>
          <w:color w:val="000000" w:themeColor="text1"/>
          <w:kern w:val="0"/>
          <w:szCs w:val="21"/>
          <w:highlight w:val="none"/>
          <w14:textFill>
            <w14:solidFill>
              <w14:schemeClr w14:val="tx1"/>
            </w14:solidFill>
          </w14:textFill>
        </w:rPr>
        <w:t>支付全部款项后二十八（28）日内保持有效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34DEF0D3">
      <w:pPr>
        <w:widowControl/>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43EC72A8">
      <w:pPr>
        <w:widowControl/>
        <w:autoSpaceDE w:val="0"/>
        <w:autoSpaceDN w:val="0"/>
        <w:adjustRightInd w:val="0"/>
        <w:spacing w:line="360" w:lineRule="auto"/>
        <w:ind w:firstLine="2520" w:firstLineChars="1200"/>
        <w:jc w:val="left"/>
        <w:outlineLvl w:val="9"/>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 保 银 行：</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17773367">
      <w:pPr>
        <w:widowControl/>
        <w:autoSpaceDE w:val="0"/>
        <w:autoSpaceDN w:val="0"/>
        <w:adjustRightInd w:val="0"/>
        <w:spacing w:line="360" w:lineRule="auto"/>
        <w:ind w:firstLine="2520" w:firstLineChars="1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(职务)         </w:t>
      </w:r>
    </w:p>
    <w:p w14:paraId="5A237552">
      <w:pPr>
        <w:widowControl/>
        <w:autoSpaceDE w:val="0"/>
        <w:autoSpaceDN w:val="0"/>
        <w:adjustRightInd w:val="0"/>
        <w:spacing w:line="360" w:lineRule="auto"/>
        <w:ind w:firstLine="5502" w:firstLineChars="2620"/>
        <w:jc w:val="left"/>
        <w:outlineLvl w:val="9"/>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(姓名)         </w:t>
      </w:r>
    </w:p>
    <w:p w14:paraId="775FE73A">
      <w:pPr>
        <w:widowControl/>
        <w:autoSpaceDE w:val="0"/>
        <w:autoSpaceDN w:val="0"/>
        <w:adjustRightInd w:val="0"/>
        <w:spacing w:line="360" w:lineRule="auto"/>
        <w:ind w:firstLine="5502" w:firstLineChars="2620"/>
        <w:jc w:val="left"/>
        <w:outlineLvl w:val="9"/>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(签章)         </w:t>
      </w:r>
    </w:p>
    <w:p w14:paraId="12BF94D1">
      <w:pPr>
        <w:autoSpaceDE w:val="0"/>
        <w:autoSpaceDN w:val="0"/>
        <w:adjustRightInd w:val="0"/>
        <w:spacing w:line="360" w:lineRule="auto"/>
        <w:ind w:left="840"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4084E0E8">
      <w:pPr>
        <w:widowControl/>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4F9C7FF9">
      <w:pPr>
        <w:widowControl/>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BF20C3E">
      <w:pPr>
        <w:autoSpaceDE w:val="0"/>
        <w:autoSpaceDN w:val="0"/>
        <w:adjustRightInd w:val="0"/>
        <w:spacing w:line="360" w:lineRule="auto"/>
        <w:ind w:right="368" w:rightChars="175"/>
        <w:jc w:val="left"/>
        <w:outlineLvl w:val="9"/>
        <w:rPr>
          <w:rFonts w:hint="eastAsia" w:ascii="宋体" w:hAnsi="宋体" w:eastAsia="宋体" w:cs="宋体"/>
          <w:color w:val="000000" w:themeColor="text1"/>
          <w:kern w:val="0"/>
          <w:szCs w:val="21"/>
          <w:highlight w:val="none"/>
          <w14:textFill>
            <w14:solidFill>
              <w14:schemeClr w14:val="tx1"/>
            </w14:solidFill>
          </w14:textFill>
        </w:rPr>
        <w:sectPr>
          <w:headerReference r:id="rId14" w:type="first"/>
          <w:footerReference r:id="rId16" w:type="first"/>
          <w:headerReference r:id="rId13" w:type="default"/>
          <w:footerReference r:id="rId15" w:type="default"/>
          <w:pgSz w:w="12240" w:h="15840"/>
          <w:pgMar w:top="1191" w:right="1043" w:bottom="1191" w:left="1043" w:header="720" w:footer="720" w:gutter="0"/>
          <w:cols w:space="720" w:num="1"/>
          <w:titlePg/>
          <w:docGrid w:linePitch="326" w:charSpace="0"/>
        </w:sectPr>
      </w:pPr>
    </w:p>
    <w:p w14:paraId="04349077">
      <w:pPr>
        <w:outlineLvl w:val="9"/>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二、履约保证保险凭证格式</w:t>
      </w:r>
    </w:p>
    <w:p w14:paraId="3A9402F1">
      <w:pPr>
        <w:autoSpaceDE w:val="0"/>
        <w:autoSpaceDN w:val="0"/>
        <w:adjustRightInd w:val="0"/>
        <w:jc w:val="center"/>
        <w:outlineLvl w:val="9"/>
        <w:rPr>
          <w:rFonts w:hint="eastAsia" w:ascii="宋体" w:hAnsi="宋体" w:eastAsia="宋体" w:cs="宋体"/>
          <w:b/>
          <w:color w:val="000000" w:themeColor="text1"/>
          <w:kern w:val="0"/>
          <w:sz w:val="30"/>
          <w:szCs w:val="30"/>
          <w:highlight w:val="none"/>
          <w14:textFill>
            <w14:solidFill>
              <w14:schemeClr w14:val="tx1"/>
            </w14:solidFill>
          </w14:textFill>
        </w:rPr>
      </w:pPr>
    </w:p>
    <w:p w14:paraId="126C9D99">
      <w:pPr>
        <w:autoSpaceDE w:val="0"/>
        <w:autoSpaceDN w:val="0"/>
        <w:adjustRightInd w:val="0"/>
        <w:jc w:val="center"/>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履约保证保险凭证</w:t>
      </w:r>
    </w:p>
    <w:p w14:paraId="41E07ADA">
      <w:pPr>
        <w:autoSpaceDE w:val="0"/>
        <w:autoSpaceDN w:val="0"/>
        <w:adjustRightInd w:val="0"/>
        <w:spacing w:line="360" w:lineRule="auto"/>
        <w:ind w:firstLine="437"/>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34A306A8">
      <w:pPr>
        <w:autoSpaceDE w:val="0"/>
        <w:autoSpaceDN w:val="0"/>
        <w:adjustRightInd w:val="0"/>
        <w:spacing w:line="360" w:lineRule="auto"/>
        <w:ind w:firstLine="437"/>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编号：</w:t>
      </w:r>
    </w:p>
    <w:p w14:paraId="7CE2A411">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（下称“受益人”）： </w:t>
      </w:r>
    </w:p>
    <w:p w14:paraId="577E4B00">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429FDFDA">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（下称“申请人”）已与贵方签订了</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项目（招标编号：        ）</w:t>
      </w:r>
      <w:r>
        <w:rPr>
          <w:rFonts w:hint="eastAsia" w:ascii="宋体" w:hAnsi="宋体" w:eastAsia="宋体" w:cs="宋体"/>
          <w:color w:val="000000" w:themeColor="text1"/>
          <w:kern w:val="0"/>
          <w:szCs w:val="21"/>
          <w:highlight w:val="none"/>
          <w14:textFill>
            <w14:solidFill>
              <w14:schemeClr w14:val="tx1"/>
            </w14:solidFill>
          </w14:textFill>
        </w:rPr>
        <w:t xml:space="preserve">合同。我方已接受申请人的请求，并出具《履约保证保险》保险单。 </w:t>
      </w:r>
    </w:p>
    <w:p w14:paraId="430ACE1E">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一、保证保险金额 </w:t>
      </w:r>
    </w:p>
    <w:p w14:paraId="66BAFA9C">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 （¥</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 </w:t>
      </w:r>
    </w:p>
    <w:p w14:paraId="5AE0FA5B">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二、保证保险的责任范围 </w:t>
      </w:r>
    </w:p>
    <w:p w14:paraId="06BF5306">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在保险期间内，申请人因自身原因未按照与贵方签订的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项目（招标编号：        ）</w:t>
      </w:r>
      <w:r>
        <w:rPr>
          <w:rFonts w:hint="eastAsia" w:ascii="宋体" w:hAnsi="宋体" w:eastAsia="宋体" w:cs="宋体"/>
          <w:color w:val="000000" w:themeColor="text1"/>
          <w:kern w:val="0"/>
          <w:szCs w:val="21"/>
          <w:highlight w:val="none"/>
          <w14:textFill>
            <w14:solidFill>
              <w14:schemeClr w14:val="tx1"/>
            </w14:solidFill>
          </w14:textFill>
        </w:rPr>
        <w:t xml:space="preserve">合同履行相关义务，给贵方造成损失的，贵方可向我方提出索赔，我方按照保险合同的约定承担损失赔偿责任。 </w:t>
      </w:r>
    </w:p>
    <w:p w14:paraId="007A33D7">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三、代偿的安排 </w:t>
      </w:r>
    </w:p>
    <w:p w14:paraId="5F5F4C02">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ACFE25F">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四、生效时间 </w:t>
      </w:r>
    </w:p>
    <w:p w14:paraId="7F7253E8">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本保险凭证自我方法定代表人（或其授权代理人）签字并加盖保险承保章之日起生效。 </w:t>
      </w:r>
    </w:p>
    <w:p w14:paraId="641140D4">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五、其他</w:t>
      </w:r>
    </w:p>
    <w:p w14:paraId="399763FE">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本履约保证保险</w:t>
      </w:r>
      <w:r>
        <w:rPr>
          <w:rFonts w:hint="eastAsia" w:ascii="宋体" w:hAnsi="宋体" w:eastAsia="宋体" w:cs="Times New Roman"/>
          <w:color w:val="000000" w:themeColor="text1"/>
          <w:kern w:val="0"/>
          <w:szCs w:val="21"/>
          <w:highlight w:val="none"/>
          <w14:textFill>
            <w14:solidFill>
              <w14:schemeClr w14:val="tx1"/>
            </w14:solidFill>
          </w14:textFill>
        </w:rPr>
        <w:t>应自合同签订之日起（或签订合同前）至合同期限届满并完成合同及补充协议</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项下</w:t>
      </w:r>
      <w:r>
        <w:rPr>
          <w:rFonts w:hint="eastAsia" w:ascii="宋体" w:hAnsi="宋体" w:eastAsia="宋体" w:cs="Times New Roman"/>
          <w:color w:val="000000" w:themeColor="text1"/>
          <w:kern w:val="0"/>
          <w:szCs w:val="21"/>
          <w:highlight w:val="none"/>
          <w14:textFill>
            <w14:solidFill>
              <w14:schemeClr w14:val="tx1"/>
            </w14:solidFill>
          </w14:textFill>
        </w:rPr>
        <w:t>全部服务义务，</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受益人</w:t>
      </w:r>
      <w:r>
        <w:rPr>
          <w:rFonts w:hint="eastAsia" w:ascii="宋体" w:hAnsi="宋体" w:eastAsia="宋体" w:cs="Times New Roman"/>
          <w:color w:val="000000" w:themeColor="text1"/>
          <w:kern w:val="0"/>
          <w:szCs w:val="21"/>
          <w:highlight w:val="none"/>
          <w14:textFill>
            <w14:solidFill>
              <w14:schemeClr w14:val="tx1"/>
            </w14:solidFill>
          </w14:textFill>
        </w:rPr>
        <w:t>向</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申请人</w:t>
      </w:r>
      <w:r>
        <w:rPr>
          <w:rFonts w:hint="eastAsia" w:ascii="宋体" w:hAnsi="宋体" w:eastAsia="宋体" w:cs="Times New Roman"/>
          <w:color w:val="000000" w:themeColor="text1"/>
          <w:kern w:val="0"/>
          <w:szCs w:val="21"/>
          <w:highlight w:val="none"/>
          <w14:textFill>
            <w14:solidFill>
              <w14:schemeClr w14:val="tx1"/>
            </w14:solidFill>
          </w14:textFill>
        </w:rPr>
        <w:t>支付全部款项后二十八（28）日内保持有效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3961ACBC">
      <w:pPr>
        <w:outlineLvl w:val="9"/>
        <w:rPr>
          <w:rFonts w:hint="eastAsia" w:ascii="宋体" w:hAnsi="宋体" w:eastAsia="宋体" w:cs="宋体"/>
          <w:color w:val="000000" w:themeColor="text1"/>
          <w:highlight w:val="none"/>
          <w14:textFill>
            <w14:solidFill>
              <w14:schemeClr w14:val="tx1"/>
            </w14:solidFill>
          </w14:textFill>
        </w:rPr>
      </w:pPr>
    </w:p>
    <w:p w14:paraId="46EEF4C1">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附：《XXX 保险有限公司履约保证保险（X 款）条款》及保单 </w:t>
      </w:r>
    </w:p>
    <w:p w14:paraId="5408A84A">
      <w:pPr>
        <w:autoSpaceDE w:val="0"/>
        <w:autoSpaceDN w:val="0"/>
        <w:adjustRightInd w:val="0"/>
        <w:spacing w:line="360" w:lineRule="auto"/>
        <w:ind w:firstLine="437"/>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070D6B8B">
      <w:pPr>
        <w:autoSpaceDE w:val="0"/>
        <w:autoSpaceDN w:val="0"/>
        <w:adjustRightInd w:val="0"/>
        <w:spacing w:line="360" w:lineRule="auto"/>
        <w:ind w:firstLine="437"/>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保险人：（盖章）</w:t>
      </w:r>
    </w:p>
    <w:p w14:paraId="5711C465">
      <w:pPr>
        <w:autoSpaceDE w:val="0"/>
        <w:autoSpaceDN w:val="0"/>
        <w:adjustRightInd w:val="0"/>
        <w:spacing w:line="360" w:lineRule="auto"/>
        <w:ind w:firstLine="437"/>
        <w:jc w:val="righ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法定代表人或授权代理人：________ </w:t>
      </w:r>
    </w:p>
    <w:p w14:paraId="7DC34783">
      <w:pPr>
        <w:autoSpaceDE w:val="0"/>
        <w:autoSpaceDN w:val="0"/>
        <w:adjustRightInd w:val="0"/>
        <w:spacing w:line="360" w:lineRule="auto"/>
        <w:ind w:firstLine="437"/>
        <w:jc w:val="righ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月 日</w:t>
      </w:r>
    </w:p>
    <w:p w14:paraId="0CD6B220">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br w:type="page"/>
      </w:r>
    </w:p>
    <w:p w14:paraId="192F50E3">
      <w:pPr>
        <w:autoSpaceDE w:val="0"/>
        <w:autoSpaceDN w:val="0"/>
        <w:adjustRightInd w:val="0"/>
        <w:spacing w:after="120" w:afterLines="50" w:line="360" w:lineRule="auto"/>
        <w:jc w:val="left"/>
        <w:outlineLvl w:val="9"/>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三、担保公司履约担保书格式</w:t>
      </w:r>
    </w:p>
    <w:p w14:paraId="364901BD">
      <w:pPr>
        <w:autoSpaceDE w:val="0"/>
        <w:autoSpaceDN w:val="0"/>
        <w:adjustRightInd w:val="0"/>
        <w:jc w:val="center"/>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担保公司履约担保书</w:t>
      </w:r>
    </w:p>
    <w:p w14:paraId="3401D892">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164ABF47">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（申请人的名称与地址）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项目（招标编号：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36DBC1C8">
      <w:pPr>
        <w:widowControl/>
        <w:autoSpaceDE w:val="0"/>
        <w:autoSpaceDN w:val="0"/>
        <w:adjustRightInd w:val="0"/>
        <w:spacing w:line="360" w:lineRule="auto"/>
        <w:ind w:firstLine="567" w:firstLineChars="27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（RMB元）</w:t>
      </w:r>
      <w:r>
        <w:rPr>
          <w:rFonts w:hint="eastAsia" w:ascii="宋体" w:hAnsi="宋体" w:eastAsia="宋体" w:cs="宋体"/>
          <w:color w:val="000000" w:themeColor="text1"/>
          <w:kern w:val="0"/>
          <w:szCs w:val="21"/>
          <w:highlight w:val="none"/>
          <w14:textFill>
            <w14:solidFill>
              <w14:schemeClr w14:val="tx1"/>
            </w14:solidFill>
          </w14:textFill>
        </w:rPr>
        <w:t>的无条件、</w:t>
      </w:r>
      <w:r>
        <w:rPr>
          <w:rFonts w:hint="eastAsia" w:ascii="宋体" w:hAnsi="宋体" w:eastAsia="宋体" w:cs="宋体"/>
          <w:bCs/>
          <w:color w:val="000000" w:themeColor="text1"/>
          <w:kern w:val="0"/>
          <w:szCs w:val="21"/>
          <w:highlight w:val="none"/>
          <w14:textFill>
            <w14:solidFill>
              <w14:schemeClr w14:val="tx1"/>
            </w14:solidFill>
          </w14:textFill>
        </w:rPr>
        <w:t>不可撤销</w:t>
      </w:r>
      <w:r>
        <w:rPr>
          <w:rFonts w:hint="eastAsia" w:ascii="宋体" w:hAnsi="宋体" w:eastAsia="宋体" w:cs="宋体"/>
          <w:color w:val="000000" w:themeColor="text1"/>
          <w:kern w:val="0"/>
          <w:szCs w:val="21"/>
          <w:highlight w:val="none"/>
          <w14:textFill>
            <w14:solidFill>
              <w14:schemeClr w14:val="tx1"/>
            </w14:solidFill>
          </w14:textFill>
        </w:rPr>
        <w:t>履约担保，作为申请人履行上述合同的担保，</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（担保公司名称）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2D9CE958">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（担保公司名称）  </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，受申请人的委托，无条件和不可撤销地在受益人出具本担保书原件且提出因申请人没有履行上述合同规定，在担保书限额内向受益人支付不超过人民币（大写）_________（¥_______元）的款项。</w:t>
      </w:r>
    </w:p>
    <w:p w14:paraId="22A3A783">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我方还同意，任何受益人与申请人之间可能对合同条款的修改、规范或其他合同文件的变动补充，都不能免除我方按本担保函所承担的责任。因此，有关上述变动、补充和修改无须通知或征得我方同意。</w:t>
      </w:r>
    </w:p>
    <w:p w14:paraId="15282081">
      <w:pPr>
        <w:autoSpaceDE w:val="0"/>
        <w:autoSpaceDN w:val="0"/>
        <w:adjustRightInd w:val="0"/>
        <w:spacing w:line="360" w:lineRule="auto"/>
        <w:ind w:firstLine="437"/>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应自合同签订之日起（或签订合同前）至合同期限届满并完成合同及补充协议项下全部服务义务，受益人向申请人支付全部款项后二十八（28）日内保持有效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753B9928">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1A544935">
      <w:pPr>
        <w:autoSpaceDE w:val="0"/>
        <w:autoSpaceDN w:val="0"/>
        <w:adjustRightInd w:val="0"/>
        <w:spacing w:line="360" w:lineRule="auto"/>
        <w:ind w:firstLine="3990" w:firstLineChars="19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法定代表人或其授权的代理人：（签字或盖私章）</w:t>
      </w:r>
    </w:p>
    <w:p w14:paraId="16040EDD">
      <w:pPr>
        <w:autoSpaceDE w:val="0"/>
        <w:autoSpaceDN w:val="0"/>
        <w:adjustRightInd w:val="0"/>
        <w:spacing w:line="360" w:lineRule="auto"/>
        <w:ind w:firstLine="3990" w:firstLineChars="19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担保公司盖章：</w:t>
      </w:r>
    </w:p>
    <w:p w14:paraId="286DB4F0">
      <w:pPr>
        <w:autoSpaceDE w:val="0"/>
        <w:autoSpaceDN w:val="0"/>
        <w:adjustRightInd w:val="0"/>
        <w:spacing w:line="360" w:lineRule="auto"/>
        <w:ind w:firstLine="3990" w:firstLineChars="19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p w14:paraId="15DD3380">
      <w:pPr>
        <w:autoSpaceDE w:val="0"/>
        <w:autoSpaceDN w:val="0"/>
        <w:adjustRightInd w:val="0"/>
        <w:spacing w:line="360" w:lineRule="auto"/>
        <w:ind w:firstLine="3990" w:firstLineChars="19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p>
    <w:p w14:paraId="0DB745D8">
      <w:pPr>
        <w:autoSpaceDE w:val="0"/>
        <w:autoSpaceDN w:val="0"/>
        <w:adjustRightInd w:val="0"/>
        <w:spacing w:line="360" w:lineRule="auto"/>
        <w:ind w:firstLine="3990" w:firstLineChars="19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363C41D3">
      <w:pPr>
        <w:autoSpaceDE w:val="0"/>
        <w:autoSpaceDN w:val="0"/>
        <w:adjustRightInd w:val="0"/>
        <w:spacing w:line="360" w:lineRule="auto"/>
        <w:ind w:right="368" w:rightChars="175"/>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8C575F9">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3C16DD1D">
      <w:pPr>
        <w:autoSpaceDE w:val="0"/>
        <w:autoSpaceDN w:val="0"/>
        <w:adjustRightInd w:val="0"/>
        <w:spacing w:line="360" w:lineRule="auto"/>
        <w:ind w:firstLine="5775" w:firstLineChars="275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4A4410C7">
      <w:pPr>
        <w:autoSpaceDE w:val="0"/>
        <w:autoSpaceDN w:val="0"/>
        <w:adjustRightInd w:val="0"/>
        <w:spacing w:line="360" w:lineRule="auto"/>
        <w:ind w:firstLine="5775" w:firstLineChars="275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599A4E16">
      <w:pPr>
        <w:autoSpaceDE w:val="0"/>
        <w:autoSpaceDN w:val="0"/>
        <w:adjustRightInd w:val="0"/>
        <w:spacing w:line="360" w:lineRule="auto"/>
        <w:ind w:firstLine="5775" w:firstLineChars="275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75CE8068">
      <w:pPr>
        <w:autoSpaceDE w:val="0"/>
        <w:autoSpaceDN w:val="0"/>
        <w:adjustRightInd w:val="0"/>
        <w:spacing w:line="360" w:lineRule="auto"/>
        <w:ind w:firstLine="5775" w:firstLineChars="275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707CFFA1">
      <w:pPr>
        <w:autoSpaceDE w:val="0"/>
        <w:autoSpaceDN w:val="0"/>
        <w:adjustRightInd w:val="0"/>
        <w:spacing w:line="360" w:lineRule="auto"/>
        <w:ind w:firstLine="5775" w:firstLineChars="275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A7F8687">
      <w:pPr>
        <w:autoSpaceDE w:val="0"/>
        <w:autoSpaceDN w:val="0"/>
        <w:adjustRightInd w:val="0"/>
        <w:spacing w:line="360" w:lineRule="auto"/>
        <w:ind w:firstLine="5775" w:firstLineChars="275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4D49F742">
      <w:pPr>
        <w:autoSpaceDE w:val="0"/>
        <w:autoSpaceDN w:val="0"/>
        <w:adjustRightInd w:val="0"/>
        <w:spacing w:line="360" w:lineRule="auto"/>
        <w:ind w:firstLine="5775" w:firstLineChars="275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3C72D864">
      <w:pPr>
        <w:tabs>
          <w:tab w:val="left" w:pos="1080"/>
        </w:tabs>
        <w:autoSpaceDE w:val="0"/>
        <w:autoSpaceDN w:val="0"/>
        <w:adjustRightInd w:val="0"/>
        <w:spacing w:line="360" w:lineRule="auto"/>
        <w:jc w:val="left"/>
        <w:outlineLvl w:val="9"/>
        <w:rPr>
          <w:color w:val="000000" w:themeColor="text1"/>
          <w:highlight w:val="none"/>
          <w:lang w:val="zh-CN"/>
          <w14:textFill>
            <w14:solidFill>
              <w14:schemeClr w14:val="tx1"/>
            </w14:solidFill>
          </w14:textFill>
        </w:rPr>
      </w:pPr>
    </w:p>
    <w:p w14:paraId="01B58D1D">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000000" w:themeColor="text1"/>
          <w:kern w:val="44"/>
          <w:sz w:val="32"/>
          <w:szCs w:val="32"/>
          <w:highlight w:val="none"/>
          <w14:textFill>
            <w14:solidFill>
              <w14:schemeClr w14:val="tx1"/>
            </w14:solidFill>
          </w14:textFill>
        </w:rPr>
      </w:pPr>
      <w:bookmarkStart w:id="443" w:name="_Toc16138"/>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370"/>
      <w:bookmarkEnd w:id="371"/>
      <w:bookmarkEnd w:id="372"/>
      <w:bookmarkEnd w:id="373"/>
      <w:bookmarkEnd w:id="374"/>
      <w:bookmarkEnd w:id="375"/>
      <w:bookmarkEnd w:id="376"/>
      <w:bookmarkEnd w:id="443"/>
    </w:p>
    <w:p w14:paraId="1C7274E5">
      <w:pPr>
        <w:outlineLvl w:val="9"/>
        <w:rPr>
          <w:rFonts w:hint="eastAsia" w:ascii="宋体" w:hAnsi="宋体" w:eastAsia="宋体" w:cs="宋体"/>
          <w:color w:val="000000" w:themeColor="text1"/>
          <w:sz w:val="84"/>
          <w:highlight w:val="none"/>
          <w14:textFill>
            <w14:solidFill>
              <w14:schemeClr w14:val="tx1"/>
            </w14:solidFill>
          </w14:textFill>
        </w:rPr>
      </w:pPr>
      <w:bookmarkStart w:id="444" w:name="_Toc486167709"/>
      <w:bookmarkStart w:id="445" w:name="_Toc533708121"/>
      <w:bookmarkStart w:id="446" w:name="_Toc140596921"/>
      <w:bookmarkStart w:id="447" w:name="_Toc104991868"/>
      <w:bookmarkStart w:id="448" w:name="_Toc1977721"/>
      <w:bookmarkStart w:id="449" w:name="_Toc94107202"/>
      <w:bookmarkStart w:id="450" w:name="_Toc21133_WPSOffice_Level2"/>
      <w:bookmarkStart w:id="451" w:name="_Toc102860411"/>
      <w:bookmarkStart w:id="452" w:name="_Toc102860067"/>
      <w:bookmarkStart w:id="453" w:name="_Toc142508362"/>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0072AFE0">
      <w:pPr>
        <w:pStyle w:val="20"/>
        <w:spacing w:line="360" w:lineRule="auto"/>
        <w:jc w:val="center"/>
        <w:outlineLvl w:val="9"/>
        <w:rPr>
          <w:rFonts w:hint="eastAsia" w:ascii="宋体" w:hAnsi="宋体" w:eastAsia="宋体" w:cs="宋体"/>
          <w:color w:val="000000" w:themeColor="text1"/>
          <w:sz w:val="84"/>
          <w:highlight w:val="none"/>
          <w14:textFill>
            <w14:solidFill>
              <w14:schemeClr w14:val="tx1"/>
            </w14:solidFill>
          </w14:textFill>
        </w:rPr>
      </w:pPr>
    </w:p>
    <w:p w14:paraId="721D1E85">
      <w:pPr>
        <w:pStyle w:val="20"/>
        <w:spacing w:line="360" w:lineRule="auto"/>
        <w:jc w:val="center"/>
        <w:outlineLvl w:val="9"/>
        <w:rPr>
          <w:rFonts w:hint="eastAsia" w:ascii="宋体" w:hAnsi="宋体" w:eastAsia="宋体" w:cs="宋体"/>
          <w:color w:val="000000" w:themeColor="text1"/>
          <w:sz w:val="84"/>
          <w:highlight w:val="none"/>
          <w14:textFill>
            <w14:solidFill>
              <w14:schemeClr w14:val="tx1"/>
            </w14:solidFill>
          </w14:textFill>
        </w:rPr>
      </w:pPr>
    </w:p>
    <w:p w14:paraId="05D93F71">
      <w:pPr>
        <w:pStyle w:val="20"/>
        <w:spacing w:line="360" w:lineRule="auto"/>
        <w:jc w:val="center"/>
        <w:outlineLvl w:val="9"/>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4BC95DCF">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459FF629">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71474D52">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50D9A17B">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1C864E19">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3D5F7337">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1F66E815">
      <w:pPr>
        <w:pStyle w:val="20"/>
        <w:spacing w:line="360" w:lineRule="auto"/>
        <w:outlineLvl w:val="9"/>
        <w:rPr>
          <w:rFonts w:hint="eastAsia" w:ascii="宋体" w:hAnsi="宋体" w:eastAsia="宋体" w:cs="宋体"/>
          <w:color w:val="000000" w:themeColor="text1"/>
          <w:sz w:val="30"/>
          <w:highlight w:val="none"/>
          <w:lang w:val="en-US" w:eastAsia="zh-CN"/>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u w:val="single"/>
          <w:lang w:val="zh-CN"/>
          <w14:textFill>
            <w14:solidFill>
              <w14:schemeClr w14:val="tx1"/>
            </w14:solidFill>
          </w14:textFill>
        </w:rPr>
        <w:t>DGDS2024-089</w:t>
      </w:r>
      <w:r>
        <w:rPr>
          <w:rFonts w:hint="eastAsia" w:ascii="宋体" w:hAnsi="宋体" w:eastAsia="宋体" w:cs="宋体"/>
          <w:color w:val="000000" w:themeColor="text1"/>
          <w:sz w:val="30"/>
          <w:highlight w:val="none"/>
          <w:u w:val="single"/>
          <w:lang w:val="en-US" w:eastAsia="zh-CN"/>
          <w14:textFill>
            <w14:solidFill>
              <w14:schemeClr w14:val="tx1"/>
            </w14:solidFill>
          </w14:textFill>
        </w:rPr>
        <w:t xml:space="preserve"> </w:t>
      </w:r>
    </w:p>
    <w:p w14:paraId="3BD175DA">
      <w:pPr>
        <w:pStyle w:val="20"/>
        <w:spacing w:line="360" w:lineRule="auto"/>
        <w:outlineLvl w:val="9"/>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u w:val="single"/>
          <w:lang w:val="zh-CN"/>
          <w14:textFill>
            <w14:solidFill>
              <w14:schemeClr w14:val="tx1"/>
            </w14:solidFill>
          </w14:textFill>
        </w:rPr>
        <w:t>东莞市石鼓净水有限公司污水处理厂分布式光伏发电项目</w:t>
      </w:r>
    </w:p>
    <w:p w14:paraId="225DE99B">
      <w:pPr>
        <w:pStyle w:val="20"/>
        <w:spacing w:line="360" w:lineRule="auto"/>
        <w:outlineLvl w:val="9"/>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投标文件商务部分 </w:t>
      </w:r>
    </w:p>
    <w:p w14:paraId="4FD23E62">
      <w:pPr>
        <w:pStyle w:val="20"/>
        <w:spacing w:line="360" w:lineRule="auto"/>
        <w:outlineLvl w:val="9"/>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u w:val="single"/>
          <w:lang w:val="zh-CN"/>
          <w14:textFill>
            <w14:solidFill>
              <w14:schemeClr w14:val="tx1"/>
            </w14:solidFill>
          </w14:textFill>
        </w:rPr>
        <w:t>东莞市石鼓净水有限公司</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0DBC4167">
      <w:pPr>
        <w:pStyle w:val="20"/>
        <w:spacing w:line="360" w:lineRule="auto"/>
        <w:outlineLvl w:val="9"/>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08A77E65">
      <w:pPr>
        <w:pStyle w:val="20"/>
        <w:spacing w:line="360" w:lineRule="auto"/>
        <w:outlineLvl w:val="9"/>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104E79BF">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5F40E3B2">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F3F534D">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2708C2EB">
      <w:pPr>
        <w:pBdr>
          <w:bottom w:val="single" w:color="auto" w:sz="6" w:space="0"/>
        </w:pBdr>
        <w:spacing w:line="480" w:lineRule="auto"/>
        <w:ind w:firstLine="472" w:firstLineChars="224"/>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74E55C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B2CBB2E">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75854766">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040" w:type="pct"/>
            <w:vAlign w:val="center"/>
          </w:tcPr>
          <w:p w14:paraId="337DA705">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1957" w:type="pct"/>
            <w:tcBorders>
              <w:left w:val="single" w:color="auto" w:sz="4" w:space="0"/>
            </w:tcBorders>
            <w:vAlign w:val="center"/>
          </w:tcPr>
          <w:p w14:paraId="37815C33">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6ECBBE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22775B1">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4D68C5C8">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539B7DD6">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2E593BC8">
            <w:pPr>
              <w:keepNext w:val="0"/>
              <w:keepLines w:val="0"/>
              <w:suppressLineNumbers w:val="0"/>
              <w:adjustRightInd w:val="0"/>
              <w:snapToGrid w:val="0"/>
              <w:spacing w:before="0" w:beforeAutospacing="0" w:after="0" w:afterAutospacing="0" w:line="360" w:lineRule="auto"/>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r>
      <w:tr w14:paraId="74778B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9663B29">
            <w:pPr>
              <w:keepNext w:val="0"/>
              <w:keepLines w:val="0"/>
              <w:suppressLineNumbers w:val="0"/>
              <w:spacing w:before="0" w:beforeAutospacing="0" w:after="0" w:afterAutospacing="0"/>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A5DAE76">
            <w:pPr>
              <w:keepNext w:val="0"/>
              <w:keepLines w:val="0"/>
              <w:suppressLineNumbers w:val="0"/>
              <w:spacing w:before="0" w:beforeAutospacing="0" w:after="0" w:afterAutospacing="0"/>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25CF4186">
            <w:pPr>
              <w:keepNext w:val="0"/>
              <w:keepLines w:val="0"/>
              <w:suppressLineNumbers w:val="0"/>
              <w:spacing w:before="0" w:beforeAutospacing="0" w:after="0" w:afterAutospacing="0"/>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2F12099E">
            <w:pPr>
              <w:keepNext w:val="0"/>
              <w:keepLines w:val="0"/>
              <w:suppressLineNumbers w:val="0"/>
              <w:adjustRightInd w:val="0"/>
              <w:snapToGrid w:val="0"/>
              <w:spacing w:before="0" w:beforeAutospacing="0" w:after="0" w:afterAutospacing="0" w:line="360" w:lineRule="auto"/>
              <w:ind w:left="0" w:right="0" w:firstLine="105" w:firstLineChars="50"/>
              <w:outlineLvl w:val="9"/>
              <w:rPr>
                <w:rFonts w:hint="eastAsia" w:ascii="宋体" w:hAnsi="宋体" w:eastAsia="宋体" w:cs="宋体"/>
                <w:bCs/>
                <w:color w:val="000000" w:themeColor="text1"/>
                <w:szCs w:val="21"/>
                <w:highlight w:val="none"/>
                <w14:textFill>
                  <w14:solidFill>
                    <w14:schemeClr w14:val="tx1"/>
                  </w14:solidFill>
                </w14:textFill>
              </w:rPr>
            </w:pPr>
          </w:p>
        </w:tc>
      </w:tr>
      <w:tr w14:paraId="3777DB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A0C2EFF">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1B99699">
            <w:pPr>
              <w:keepNext w:val="0"/>
              <w:keepLines w:val="0"/>
              <w:suppressLineNumbers w:val="0"/>
              <w:adjustRightInd w:val="0"/>
              <w:snapToGrid w:val="0"/>
              <w:spacing w:before="0" w:beforeAutospacing="0" w:after="0" w:afterAutospacing="0" w:line="360" w:lineRule="auto"/>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6B63F291">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00E2D9DA">
            <w:pPr>
              <w:keepNext w:val="0"/>
              <w:keepLines w:val="0"/>
              <w:suppressLineNumbers w:val="0"/>
              <w:spacing w:before="0" w:beforeAutospacing="0" w:after="0" w:afterAutospacing="0" w:line="360" w:lineRule="auto"/>
              <w:ind w:left="0" w:right="0" w:firstLine="8" w:firstLineChars="4"/>
              <w:outlineLvl w:val="9"/>
              <w:rPr>
                <w:rFonts w:hint="eastAsia" w:ascii="宋体" w:hAnsi="宋体" w:eastAsia="宋体" w:cs="宋体"/>
                <w:bCs/>
                <w:color w:val="000000" w:themeColor="text1"/>
                <w:szCs w:val="21"/>
                <w:highlight w:val="none"/>
                <w14:textFill>
                  <w14:solidFill>
                    <w14:schemeClr w14:val="tx1"/>
                  </w14:solidFill>
                </w14:textFill>
              </w:rPr>
            </w:pPr>
          </w:p>
        </w:tc>
      </w:tr>
      <w:tr w14:paraId="32C52F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FD12508">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6AD1C73A">
            <w:pPr>
              <w:keepNext w:val="0"/>
              <w:keepLines w:val="0"/>
              <w:suppressLineNumbers w:val="0"/>
              <w:adjustRightInd w:val="0"/>
              <w:snapToGrid w:val="0"/>
              <w:spacing w:before="0" w:beforeAutospacing="0" w:after="0" w:afterAutospacing="0" w:line="360" w:lineRule="auto"/>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040" w:type="pct"/>
            <w:tcBorders>
              <w:top w:val="single" w:color="auto" w:sz="6" w:space="0"/>
              <w:left w:val="single" w:color="auto" w:sz="6" w:space="0"/>
              <w:bottom w:val="outset" w:color="808080" w:sz="6" w:space="0"/>
              <w:right w:val="single" w:color="auto" w:sz="6" w:space="0"/>
            </w:tcBorders>
            <w:vAlign w:val="center"/>
          </w:tcPr>
          <w:p w14:paraId="60468008">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top w:val="single" w:color="auto" w:sz="6" w:space="0"/>
              <w:left w:val="single" w:color="auto" w:sz="4" w:space="0"/>
              <w:bottom w:val="outset" w:color="808080" w:sz="6" w:space="0"/>
              <w:right w:val="single" w:color="auto" w:sz="6" w:space="0"/>
            </w:tcBorders>
            <w:vAlign w:val="center"/>
          </w:tcPr>
          <w:p w14:paraId="0F670939">
            <w:pPr>
              <w:keepNext w:val="0"/>
              <w:keepLines w:val="0"/>
              <w:suppressLineNumbers w:val="0"/>
              <w:adjustRightInd w:val="0"/>
              <w:snapToGrid w:val="0"/>
              <w:spacing w:before="0" w:beforeAutospacing="0" w:after="0" w:afterAutospacing="0" w:line="360" w:lineRule="auto"/>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r>
      <w:tr w14:paraId="69A85F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8B499A5">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040" w:type="pct"/>
            <w:tcBorders>
              <w:bottom w:val="single" w:color="auto" w:sz="4" w:space="0"/>
            </w:tcBorders>
            <w:vAlign w:val="center"/>
          </w:tcPr>
          <w:p w14:paraId="5D803489">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bottom w:val="single" w:color="auto" w:sz="4" w:space="0"/>
            </w:tcBorders>
            <w:vAlign w:val="center"/>
          </w:tcPr>
          <w:p w14:paraId="47724A1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r>
    </w:tbl>
    <w:p w14:paraId="5C225FFA">
      <w:pPr>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B7A58F4">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bookmarkStart w:id="454" w:name="_Toc13281"/>
      <w:bookmarkStart w:id="455" w:name="_Toc27679"/>
      <w:bookmarkStart w:id="456" w:name="_Toc23782"/>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7C6A9ED1">
      <w:pPr>
        <w:autoSpaceDE w:val="0"/>
        <w:autoSpaceDN w:val="0"/>
        <w:adjustRightInd w:val="0"/>
        <w:spacing w:line="360" w:lineRule="auto"/>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bookmarkStart w:id="457"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457"/>
    </w:p>
    <w:p w14:paraId="47ADF3A5">
      <w:pPr>
        <w:autoSpaceDE w:val="0"/>
        <w:autoSpaceDN w:val="0"/>
        <w:adjustRightInd w:val="0"/>
        <w:spacing w:line="360" w:lineRule="auto"/>
        <w:outlineLvl w:val="9"/>
        <w:rPr>
          <w:rFonts w:hint="eastAsia" w:ascii="宋体" w:hAnsi="宋体" w:eastAsia="宋体" w:cs="宋体"/>
          <w:color w:val="000000" w:themeColor="text1"/>
          <w:szCs w:val="21"/>
          <w:highlight w:val="none"/>
          <w:lang w:val="zh-CN"/>
          <w14:textFill>
            <w14:solidFill>
              <w14:schemeClr w14:val="tx1"/>
            </w14:solidFill>
          </w14:textFill>
        </w:rPr>
      </w:pPr>
    </w:p>
    <w:p w14:paraId="6CEBA9CC">
      <w:pPr>
        <w:autoSpaceDE w:val="0"/>
        <w:autoSpaceDN w:val="0"/>
        <w:adjustRightInd w:val="0"/>
        <w:spacing w:line="360" w:lineRule="auto"/>
        <w:outlineLvl w:val="9"/>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w:t>
      </w:r>
    </w:p>
    <w:p w14:paraId="3958AF5A">
      <w:pPr>
        <w:autoSpaceDE w:val="0"/>
        <w:autoSpaceDN w:val="0"/>
        <w:adjustRightInd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14:paraId="3B7A8B7B">
      <w:pPr>
        <w:wordWrap w:val="0"/>
        <w:autoSpaceDE w:val="0"/>
        <w:autoSpaceDN w:val="0"/>
        <w:adjustRightInd w:val="0"/>
        <w:spacing w:line="360" w:lineRule="auto"/>
        <w:ind w:firstLine="42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东莞市石鼓净水有限公司污水处理厂分布式光伏发电项目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DGDS2024-089</w:t>
      </w:r>
      <w:r>
        <w:rPr>
          <w:rFonts w:hint="eastAsia" w:ascii="宋体" w:hAnsi="宋体" w:eastAsia="宋体" w:cs="宋体"/>
          <w:color w:val="000000" w:themeColor="text1"/>
          <w:szCs w:val="21"/>
          <w:highlight w:val="none"/>
          <w:lang w:val="zh-CN"/>
          <w14:textFill>
            <w14:solidFill>
              <w14:schemeClr w14:val="tx1"/>
            </w14:solidFill>
          </w14:textFill>
        </w:rPr>
        <w:t>)的投标邀请，我方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6F065D8E">
      <w:pPr>
        <w:autoSpaceDE w:val="0"/>
        <w:autoSpaceDN w:val="0"/>
        <w:adjustRightInd w:val="0"/>
        <w:spacing w:line="360" w:lineRule="auto"/>
        <w:ind w:firstLine="42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238A77A6">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（—）唱标信封【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份】（含投标文件电子文件）；</w:t>
      </w:r>
    </w:p>
    <w:p w14:paraId="49426427">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（二）投标文件【正本</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份，副本</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份】。</w:t>
      </w:r>
    </w:p>
    <w:p w14:paraId="730ED278">
      <w:pPr>
        <w:autoSpaceDE w:val="0"/>
        <w:autoSpaceDN w:val="0"/>
        <w:adjustRightInd w:val="0"/>
        <w:spacing w:line="360" w:lineRule="auto"/>
        <w:ind w:firstLine="42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3862E3FF">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（—）我方决定参加招标编号为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DGDS2024-089</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207300B3">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3578E00B">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532B2256">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0FC73529">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7F2803B9">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70FFAC36">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34B6EC36">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1DE9E617">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074FDEDA">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6DC829F6">
      <w:pPr>
        <w:autoSpaceDE w:val="0"/>
        <w:autoSpaceDN w:val="0"/>
        <w:adjustRightInd w:val="0"/>
        <w:spacing w:line="360" w:lineRule="auto"/>
        <w:ind w:firstLine="315" w:firstLineChars="15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14:paraId="239527AE">
      <w:pPr>
        <w:autoSpaceDE w:val="0"/>
        <w:autoSpaceDN w:val="0"/>
        <w:adjustRightInd w:val="0"/>
        <w:spacing w:line="360" w:lineRule="auto"/>
        <w:ind w:left="395" w:leftChars="-12" w:hanging="420" w:hangingChars="200"/>
        <w:outlineLvl w:val="9"/>
        <w:rPr>
          <w:rFonts w:hint="eastAsia" w:ascii="宋体" w:hAnsi="宋体" w:eastAsia="宋体" w:cs="宋体"/>
          <w:color w:val="000000" w:themeColor="text1"/>
          <w:szCs w:val="21"/>
          <w:highlight w:val="none"/>
          <w:u w:val="single"/>
          <w:lang w:val="zh-CN"/>
          <w14:textFill>
            <w14:solidFill>
              <w14:schemeClr w14:val="tx1"/>
            </w14:solidFill>
          </w14:textFill>
        </w:rPr>
      </w:pPr>
    </w:p>
    <w:p w14:paraId="73BD9F6A">
      <w:pPr>
        <w:autoSpaceDE w:val="0"/>
        <w:autoSpaceDN w:val="0"/>
        <w:adjustRightInd w:val="0"/>
        <w:spacing w:line="360" w:lineRule="auto"/>
        <w:ind w:firstLine="420" w:firstLineChars="200"/>
        <w:outlineLvl w:val="9"/>
        <w:rPr>
          <w:rFonts w:hint="eastAsia"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600A8380">
      <w:pPr>
        <w:autoSpaceDE w:val="0"/>
        <w:autoSpaceDN w:val="0"/>
        <w:adjustRightInd w:val="0"/>
        <w:spacing w:line="360" w:lineRule="auto"/>
        <w:ind w:firstLine="420" w:firstLineChars="20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1DE77E0C">
      <w:pPr>
        <w:autoSpaceDE w:val="0"/>
        <w:autoSpaceDN w:val="0"/>
        <w:adjustRightInd w:val="0"/>
        <w:spacing w:line="360" w:lineRule="auto"/>
        <w:ind w:firstLine="420" w:firstLineChars="20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4ED17DCA">
      <w:pPr>
        <w:autoSpaceDE w:val="0"/>
        <w:autoSpaceDN w:val="0"/>
        <w:adjustRightInd w:val="0"/>
        <w:spacing w:line="360" w:lineRule="auto"/>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471D09A8">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p>
    <w:p w14:paraId="16832E2F">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65E65762">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6E7752A5">
      <w:pPr>
        <w:autoSpaceDE w:val="0"/>
        <w:autoSpaceDN w:val="0"/>
        <w:adjustRightInd w:val="0"/>
        <w:spacing w:line="360" w:lineRule="auto"/>
        <w:ind w:firstLine="4960" w:firstLineChars="2362"/>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宋体"/>
          <w:color w:val="000000" w:themeColor="text1"/>
          <w:szCs w:val="24"/>
          <w:highlight w:val="none"/>
          <w:lang w:val="zh-CN"/>
          <w14:textFill>
            <w14:solidFill>
              <w14:schemeClr w14:val="tx1"/>
            </w14:solidFill>
          </w14:textFill>
        </w:rPr>
        <w:t>期：   年   月   日</w:t>
      </w:r>
    </w:p>
    <w:p w14:paraId="2BA21BA2">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53F7496A">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458" w:name="_Toc30995"/>
      <w:bookmarkStart w:id="459" w:name="_Toc12417"/>
      <w:bookmarkStart w:id="460" w:name="_Toc94107203"/>
      <w:bookmarkStart w:id="461" w:name="_Toc140596922"/>
      <w:bookmarkStart w:id="462" w:name="_Toc102860412"/>
      <w:bookmarkStart w:id="463" w:name="_Toc533708122"/>
      <w:bookmarkStart w:id="464" w:name="_Toc3104"/>
      <w:bookmarkStart w:id="465" w:name="_Toc1977722"/>
      <w:bookmarkStart w:id="466" w:name="_Toc102860068"/>
      <w:bookmarkStart w:id="467" w:name="_Toc486167710"/>
      <w:bookmarkStart w:id="468" w:name="_Toc142508363"/>
      <w:bookmarkStart w:id="469" w:name="_Toc28613_WPSOffice_Level2"/>
      <w:bookmarkStart w:id="470" w:name="_Toc104991869"/>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458"/>
      <w:bookmarkEnd w:id="459"/>
      <w:bookmarkEnd w:id="460"/>
      <w:bookmarkEnd w:id="461"/>
      <w:bookmarkEnd w:id="462"/>
      <w:bookmarkEnd w:id="463"/>
      <w:bookmarkEnd w:id="464"/>
      <w:bookmarkEnd w:id="465"/>
      <w:bookmarkEnd w:id="466"/>
      <w:bookmarkEnd w:id="467"/>
      <w:bookmarkEnd w:id="468"/>
      <w:bookmarkEnd w:id="469"/>
      <w:bookmarkEnd w:id="470"/>
    </w:p>
    <w:p w14:paraId="5E883B9E">
      <w:pPr>
        <w:autoSpaceDE w:val="0"/>
        <w:autoSpaceDN w:val="0"/>
        <w:adjustRightInd w:val="0"/>
        <w:spacing w:line="360" w:lineRule="auto"/>
        <w:jc w:val="center"/>
        <w:outlineLvl w:val="9"/>
        <w:rPr>
          <w:rFonts w:hint="eastAsia" w:ascii="宋体" w:hAnsi="宋体" w:eastAsia="宋体" w:cs="宋体"/>
          <w:b/>
          <w:bCs/>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投标承诺书</w:t>
      </w:r>
    </w:p>
    <w:p w14:paraId="17FEFB32">
      <w:pPr>
        <w:widowControl/>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24A0A029">
      <w:pPr>
        <w:widowControl/>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（投标人名称）已完整阅读了</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东莞市石鼓净水有限公司污水处理厂分布式光伏发电项目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lang w:eastAsia="zh-CN"/>
          <w14:textFill>
            <w14:solidFill>
              <w14:schemeClr w14:val="tx1"/>
            </w14:solidFill>
          </w14:textFill>
        </w:rPr>
        <w:t>DGDS2024-089</w:t>
      </w:r>
      <w:r>
        <w:rPr>
          <w:rFonts w:hint="eastAsia" w:ascii="宋体" w:hAnsi="宋体" w:eastAsia="宋体" w:cs="宋体"/>
          <w:color w:val="000000" w:themeColor="text1"/>
          <w:kern w:val="0"/>
          <w:szCs w:val="21"/>
          <w:highlight w:val="none"/>
          <w14:textFill>
            <w14:solidFill>
              <w14:schemeClr w14:val="tx1"/>
            </w14:solidFill>
          </w14:textFill>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color w:val="000000" w:themeColor="text1"/>
          <w:kern w:val="0"/>
          <w:szCs w:val="21"/>
          <w:highlight w:val="none"/>
          <w14:textFill>
            <w14:solidFill>
              <w14:schemeClr w14:val="tx1"/>
            </w14:solidFill>
          </w14:textFill>
        </w:rPr>
        <w:cr/>
      </w:r>
      <w:r>
        <w:rPr>
          <w:rFonts w:hint="eastAsia" w:ascii="宋体" w:hAnsi="宋体" w:eastAsia="宋体" w:cs="宋体"/>
          <w:color w:val="000000" w:themeColor="text1"/>
          <w:kern w:val="0"/>
          <w:szCs w:val="21"/>
          <w:highlight w:val="none"/>
          <w14:textFill>
            <w14:solidFill>
              <w14:schemeClr w14:val="tx1"/>
            </w14:solidFill>
          </w14:textFill>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030F6AAD">
      <w:pPr>
        <w:widowControl/>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472708B9">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6C93FE5F">
      <w:pPr>
        <w:autoSpaceDE w:val="0"/>
        <w:autoSpaceDN w:val="0"/>
        <w:adjustRightInd w:val="0"/>
        <w:spacing w:line="360" w:lineRule="auto"/>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00D87CBA">
      <w:pPr>
        <w:autoSpaceDE w:val="0"/>
        <w:autoSpaceDN w:val="0"/>
        <w:adjustRightInd w:val="0"/>
        <w:spacing w:line="360" w:lineRule="auto"/>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76EC623B">
      <w:pPr>
        <w:autoSpaceDE w:val="0"/>
        <w:autoSpaceDN w:val="0"/>
        <w:adjustRightInd w:val="0"/>
        <w:spacing w:line="360" w:lineRule="auto"/>
        <w:ind w:firstLine="5040"/>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2DB03B49">
      <w:pPr>
        <w:autoSpaceDE w:val="0"/>
        <w:autoSpaceDN w:val="0"/>
        <w:adjustRightInd w:val="0"/>
        <w:spacing w:line="360" w:lineRule="auto"/>
        <w:ind w:firstLine="504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4ACF4ECB">
      <w:pPr>
        <w:autoSpaceDE w:val="0"/>
        <w:autoSpaceDN w:val="0"/>
        <w:adjustRightInd w:val="0"/>
        <w:spacing w:line="360" w:lineRule="auto"/>
        <w:ind w:firstLine="5040"/>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10D0FDB1">
      <w:pPr>
        <w:autoSpaceDE w:val="0"/>
        <w:autoSpaceDN w:val="0"/>
        <w:adjustRightInd w:val="0"/>
        <w:spacing w:line="360" w:lineRule="auto"/>
        <w:ind w:firstLine="480" w:firstLineChars="20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0B4B74D9">
      <w:pPr>
        <w:autoSpaceDE w:val="0"/>
        <w:autoSpaceDN w:val="0"/>
        <w:adjustRightInd w:val="0"/>
        <w:spacing w:line="360" w:lineRule="auto"/>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78E27397">
      <w:pPr>
        <w:autoSpaceDE w:val="0"/>
        <w:autoSpaceDN w:val="0"/>
        <w:adjustRightInd w:val="0"/>
        <w:spacing w:line="360" w:lineRule="auto"/>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bookmarkStart w:id="471" w:name="_Toc311032584"/>
      <w:bookmarkStart w:id="472" w:name="_Toc326768876"/>
      <w:bookmarkStart w:id="473" w:name="_Toc316896755"/>
    </w:p>
    <w:p w14:paraId="5B65EF0E">
      <w:pPr>
        <w:pageBreakBefore/>
        <w:autoSpaceDE w:val="0"/>
        <w:autoSpaceDN w:val="0"/>
        <w:adjustRightInd w:val="0"/>
        <w:spacing w:line="360" w:lineRule="auto"/>
        <w:jc w:val="left"/>
        <w:outlineLvl w:val="9"/>
        <w:rPr>
          <w:rFonts w:hint="eastAsia" w:ascii="宋体" w:hAnsi="宋体" w:eastAsia="宋体" w:cs="宋体"/>
          <w:b/>
          <w:color w:val="000000" w:themeColor="text1"/>
          <w:kern w:val="44"/>
          <w:sz w:val="32"/>
          <w:szCs w:val="32"/>
          <w:highlight w:val="none"/>
          <w14:textFill>
            <w14:solidFill>
              <w14:schemeClr w14:val="tx1"/>
            </w14:solidFill>
          </w14:textFill>
        </w:rPr>
      </w:pPr>
      <w:bookmarkStart w:id="474" w:name="_Toc102860413"/>
      <w:bookmarkStart w:id="475" w:name="_Toc104991870"/>
      <w:bookmarkStart w:id="476" w:name="_Toc5075"/>
      <w:bookmarkStart w:id="477" w:name="_Toc24336"/>
      <w:bookmarkStart w:id="478" w:name="_Toc29910"/>
      <w:bookmarkStart w:id="479" w:name="_Toc142508364"/>
      <w:bookmarkStart w:id="480" w:name="_Toc82182546"/>
      <w:bookmarkStart w:id="481" w:name="_Toc94107204"/>
      <w:bookmarkStart w:id="482" w:name="_Toc102860069"/>
      <w:bookmarkStart w:id="483" w:name="_Toc140596923"/>
      <w:bookmarkStart w:id="484" w:name="_Toc86764083"/>
      <w:bookmarkStart w:id="485" w:name="_Toc486167711"/>
      <w:bookmarkStart w:id="486" w:name="_Toc533708123"/>
      <w:bookmarkStart w:id="487" w:name="_Toc7024_WPSOffice_Level2"/>
      <w:bookmarkStart w:id="488" w:name="_Toc1977723"/>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474"/>
      <w:bookmarkEnd w:id="475"/>
      <w:bookmarkEnd w:id="476"/>
      <w:bookmarkEnd w:id="477"/>
      <w:bookmarkEnd w:id="478"/>
      <w:bookmarkEnd w:id="479"/>
      <w:bookmarkEnd w:id="480"/>
      <w:bookmarkEnd w:id="481"/>
      <w:bookmarkEnd w:id="482"/>
      <w:bookmarkEnd w:id="483"/>
      <w:bookmarkEnd w:id="484"/>
    </w:p>
    <w:p w14:paraId="17EE16BD">
      <w:pPr>
        <w:autoSpaceDE w:val="0"/>
        <w:autoSpaceDN w:val="0"/>
        <w:adjustRightInd w:val="0"/>
        <w:spacing w:line="360" w:lineRule="auto"/>
        <w:jc w:val="center"/>
        <w:outlineLvl w:val="9"/>
        <w:rPr>
          <w:rFonts w:hint="eastAsia"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1F04931F">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7749526A">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东莞市石鼓净水有限公司污水处理厂分布式光伏发电项目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lang w:val="zh-CN"/>
          <w14:textFill>
            <w14:solidFill>
              <w14:schemeClr w14:val="tx1"/>
            </w14:solidFill>
          </w14:textFill>
        </w:rPr>
        <w:t>DGDS2024-089</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1F70B5E8">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584ACB01">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46E06535">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4FB3F7EF">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53A6A2A">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DC8A148">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24BCCAF">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7547B912">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4A7B4FBB">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5E312A9">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43647B37">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0C870D7B">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76D62A06">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3E1A3E42">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0788FB4B">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66098680">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366AFF66">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19C09D80">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703F6908">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9162787">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13、我方承诺接受招标人的检查与监督，并主动配合，做好安全工作，凡有违反上述条款的即视为我方违约，招标人有权视情况从货物/服务价款中扣除（1000-2000）元/次作为违约金。</w:t>
      </w:r>
    </w:p>
    <w:p w14:paraId="51FE6DDE">
      <w:pPr>
        <w:autoSpaceDE w:val="0"/>
        <w:autoSpaceDN w:val="0"/>
        <w:adjustRightInd w:val="0"/>
        <w:spacing w:line="360" w:lineRule="auto"/>
        <w:ind w:firstLine="420" w:firstLine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199BB7EE">
      <w:pPr>
        <w:autoSpaceDE w:val="0"/>
        <w:autoSpaceDN w:val="0"/>
        <w:adjustRightInd w:val="0"/>
        <w:spacing w:line="360" w:lineRule="auto"/>
        <w:ind w:firstLine="5040"/>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58A5FE8">
      <w:pPr>
        <w:autoSpaceDE w:val="0"/>
        <w:autoSpaceDN w:val="0"/>
        <w:adjustRightInd w:val="0"/>
        <w:spacing w:line="360" w:lineRule="auto"/>
        <w:ind w:firstLine="5040"/>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7C6BE9CB">
      <w:pPr>
        <w:autoSpaceDE w:val="0"/>
        <w:autoSpaceDN w:val="0"/>
        <w:adjustRightInd w:val="0"/>
        <w:spacing w:line="360" w:lineRule="auto"/>
        <w:ind w:firstLine="504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7A0E23BD">
      <w:pPr>
        <w:autoSpaceDE w:val="0"/>
        <w:autoSpaceDN w:val="0"/>
        <w:adjustRightInd w:val="0"/>
        <w:spacing w:line="360" w:lineRule="auto"/>
        <w:ind w:right="420" w:firstLine="5040" w:firstLineChars="240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5673DE4E">
      <w:pPr>
        <w:pageBreakBefore/>
        <w:autoSpaceDE w:val="0"/>
        <w:autoSpaceDN w:val="0"/>
        <w:adjustRightInd w:val="0"/>
        <w:spacing w:line="360" w:lineRule="auto"/>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bookmarkStart w:id="489" w:name="_Toc142508366"/>
      <w:bookmarkStart w:id="490" w:name="_Toc102860071"/>
      <w:bookmarkStart w:id="491" w:name="_Toc13416"/>
      <w:bookmarkStart w:id="492" w:name="_Toc140596925"/>
      <w:bookmarkStart w:id="493" w:name="_Toc102860415"/>
      <w:bookmarkStart w:id="494" w:name="_Toc94107206"/>
      <w:bookmarkStart w:id="495" w:name="_Toc104991872"/>
      <w:bookmarkStart w:id="496" w:name="_Toc1140"/>
      <w:bookmarkStart w:id="497" w:name="_Toc18346"/>
      <w:r>
        <w:rPr>
          <w:rFonts w:hint="eastAsia" w:ascii="宋体" w:hAnsi="宋体" w:eastAsia="宋体" w:cs="宋体"/>
          <w:b/>
          <w:color w:val="000000" w:themeColor="text1"/>
          <w:kern w:val="0"/>
          <w:sz w:val="32"/>
          <w:szCs w:val="32"/>
          <w:highlight w:val="none"/>
          <w14:textFill>
            <w14:solidFill>
              <w14:schemeClr w14:val="tx1"/>
            </w14:solidFill>
          </w14:textFill>
        </w:rPr>
        <w:t>四、投标报价表格式</w:t>
      </w:r>
      <w:bookmarkEnd w:id="485"/>
      <w:bookmarkEnd w:id="486"/>
      <w:bookmarkEnd w:id="487"/>
      <w:bookmarkEnd w:id="488"/>
      <w:bookmarkEnd w:id="489"/>
      <w:bookmarkEnd w:id="490"/>
      <w:bookmarkEnd w:id="491"/>
      <w:bookmarkEnd w:id="492"/>
      <w:bookmarkEnd w:id="493"/>
      <w:bookmarkEnd w:id="494"/>
      <w:bookmarkEnd w:id="495"/>
      <w:bookmarkEnd w:id="496"/>
      <w:bookmarkEnd w:id="497"/>
    </w:p>
    <w:p w14:paraId="1827C6CC">
      <w:pPr>
        <w:tabs>
          <w:tab w:val="left" w:pos="567"/>
        </w:tabs>
        <w:autoSpaceDE w:val="0"/>
        <w:autoSpaceDN w:val="0"/>
        <w:adjustRightInd w:val="0"/>
        <w:spacing w:line="360" w:lineRule="auto"/>
        <w:ind w:left="711" w:hanging="711" w:hangingChars="236"/>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bookmarkStart w:id="498" w:name="_Toc24175"/>
      <w:bookmarkStart w:id="499" w:name="_Toc140596926"/>
      <w:bookmarkStart w:id="500" w:name="_Toc94107207"/>
      <w:bookmarkStart w:id="501" w:name="_Toc2395_WPSOffice_Level3"/>
      <w:bookmarkStart w:id="502" w:name="_Toc15425"/>
      <w:bookmarkStart w:id="503" w:name="_Toc102860416"/>
      <w:bookmarkStart w:id="504" w:name="_Toc102860072"/>
      <w:bookmarkStart w:id="505" w:name="_Toc1294"/>
      <w:bookmarkStart w:id="506" w:name="_Toc142508367"/>
      <w:bookmarkStart w:id="507" w:name="_Toc104991873"/>
      <w:r>
        <w:rPr>
          <w:rFonts w:hint="eastAsia" w:ascii="宋体" w:hAnsi="宋体" w:eastAsia="宋体" w:cs="宋体"/>
          <w:b/>
          <w:color w:val="000000" w:themeColor="text1"/>
          <w:kern w:val="0"/>
          <w:sz w:val="30"/>
          <w:szCs w:val="30"/>
          <w:highlight w:val="none"/>
          <w14:textFill>
            <w14:solidFill>
              <w14:schemeClr w14:val="tx1"/>
            </w14:solidFill>
          </w14:textFill>
        </w:rPr>
        <w:t>4.1 投标报价表</w:t>
      </w:r>
      <w:bookmarkEnd w:id="498"/>
      <w:bookmarkEnd w:id="499"/>
      <w:bookmarkEnd w:id="500"/>
      <w:bookmarkEnd w:id="501"/>
      <w:bookmarkEnd w:id="502"/>
      <w:bookmarkEnd w:id="503"/>
      <w:bookmarkEnd w:id="504"/>
      <w:bookmarkEnd w:id="505"/>
      <w:bookmarkEnd w:id="506"/>
      <w:bookmarkEnd w:id="507"/>
    </w:p>
    <w:p w14:paraId="79FF6C46">
      <w:pPr>
        <w:spacing w:line="360" w:lineRule="auto"/>
        <w:jc w:val="center"/>
        <w:outlineLvl w:val="9"/>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14:paraId="20F6FB10">
      <w:pPr>
        <w:spacing w:line="360" w:lineRule="auto"/>
        <w:ind w:left="1054" w:hanging="1054" w:hangingChars="500"/>
        <w:outlineLvl w:val="9"/>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东莞市石鼓净水有限公司污水处理厂分布式光伏发电项目</w:t>
      </w:r>
    </w:p>
    <w:p w14:paraId="60132088">
      <w:pPr>
        <w:spacing w:line="360" w:lineRule="auto"/>
        <w:outlineLvl w:val="9"/>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DGDS2024-089</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3726"/>
        <w:gridCol w:w="4277"/>
        <w:gridCol w:w="1332"/>
      </w:tblGrid>
      <w:tr w14:paraId="2DB8C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99" w:type="pct"/>
            <w:tcBorders>
              <w:top w:val="single" w:color="auto" w:sz="4" w:space="0"/>
              <w:left w:val="single" w:color="auto" w:sz="4" w:space="0"/>
              <w:bottom w:val="single" w:color="auto" w:sz="4" w:space="0"/>
              <w:right w:val="single" w:color="auto" w:sz="4" w:space="0"/>
            </w:tcBorders>
            <w:vAlign w:val="center"/>
          </w:tcPr>
          <w:p w14:paraId="1EFFF7E2">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1796" w:type="pct"/>
            <w:tcBorders>
              <w:top w:val="single" w:color="auto" w:sz="4" w:space="0"/>
              <w:left w:val="single" w:color="auto" w:sz="4" w:space="0"/>
              <w:bottom w:val="single" w:color="auto" w:sz="4" w:space="0"/>
              <w:right w:val="single" w:color="auto" w:sz="4" w:space="0"/>
            </w:tcBorders>
            <w:vAlign w:val="center"/>
          </w:tcPr>
          <w:p w14:paraId="5887B233">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名称</w:t>
            </w:r>
          </w:p>
        </w:tc>
        <w:tc>
          <w:tcPr>
            <w:tcW w:w="2062" w:type="pct"/>
            <w:tcBorders>
              <w:top w:val="single" w:color="auto" w:sz="4" w:space="0"/>
              <w:left w:val="single" w:color="auto" w:sz="4" w:space="0"/>
              <w:bottom w:val="single" w:color="auto" w:sz="4" w:space="0"/>
              <w:right w:val="single" w:color="auto" w:sz="4" w:space="0"/>
            </w:tcBorders>
            <w:vAlign w:val="center"/>
          </w:tcPr>
          <w:p w14:paraId="7CA8546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投标报价</w:t>
            </w:r>
          </w:p>
          <w:p w14:paraId="7EE421C4">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lang w:val="zh-CN"/>
                <w14:textFill>
                  <w14:solidFill>
                    <w14:schemeClr w14:val="tx1"/>
                  </w14:solidFill>
                </w14:textFill>
              </w:rPr>
              <w:t>（不含税综合单价，元/kWh）</w:t>
            </w:r>
          </w:p>
        </w:tc>
        <w:tc>
          <w:tcPr>
            <w:tcW w:w="642" w:type="pct"/>
            <w:tcBorders>
              <w:top w:val="single" w:color="auto" w:sz="4" w:space="0"/>
              <w:left w:val="single" w:color="auto" w:sz="4" w:space="0"/>
              <w:bottom w:val="single" w:color="auto" w:sz="4" w:space="0"/>
              <w:right w:val="single" w:color="auto" w:sz="4" w:space="0"/>
            </w:tcBorders>
            <w:vAlign w:val="center"/>
          </w:tcPr>
          <w:p w14:paraId="26578A72">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备注</w:t>
            </w:r>
          </w:p>
        </w:tc>
      </w:tr>
      <w:tr w14:paraId="7EA53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99" w:type="pct"/>
            <w:tcBorders>
              <w:top w:val="single" w:color="auto" w:sz="4" w:space="0"/>
              <w:left w:val="single" w:color="auto" w:sz="4" w:space="0"/>
              <w:right w:val="single" w:color="auto" w:sz="4" w:space="0"/>
            </w:tcBorders>
            <w:vAlign w:val="center"/>
          </w:tcPr>
          <w:p w14:paraId="592ADFB4">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796" w:type="pct"/>
            <w:tcBorders>
              <w:top w:val="single" w:color="auto" w:sz="4" w:space="0"/>
              <w:left w:val="single" w:color="auto" w:sz="4" w:space="0"/>
              <w:right w:val="single" w:color="auto" w:sz="4" w:space="0"/>
            </w:tcBorders>
            <w:vAlign w:val="center"/>
          </w:tcPr>
          <w:p w14:paraId="73356F4F">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东莞市石鼓净水有限公司污水处理厂分布式光伏发电项目</w:t>
            </w:r>
          </w:p>
        </w:tc>
        <w:tc>
          <w:tcPr>
            <w:tcW w:w="2062" w:type="pct"/>
            <w:tcBorders>
              <w:top w:val="single" w:color="auto" w:sz="4" w:space="0"/>
              <w:left w:val="single" w:color="auto" w:sz="4" w:space="0"/>
              <w:right w:val="single" w:color="auto" w:sz="4" w:space="0"/>
            </w:tcBorders>
            <w:vAlign w:val="center"/>
          </w:tcPr>
          <w:p w14:paraId="59D88094">
            <w:pPr>
              <w:keepNext w:val="0"/>
              <w:keepLines w:val="0"/>
              <w:suppressLineNumbers w:val="0"/>
              <w:tabs>
                <w:tab w:val="left" w:pos="8610"/>
              </w:tabs>
              <w:spacing w:before="0" w:beforeAutospacing="0" w:after="0" w:afterAutospacing="0" w:line="360" w:lineRule="auto"/>
              <w:ind w:left="0" w:right="0" w:firstLine="0" w:firstLineChars="0"/>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小写（人民币）：</w:t>
            </w:r>
          </w:p>
        </w:tc>
        <w:tc>
          <w:tcPr>
            <w:tcW w:w="642" w:type="pct"/>
            <w:tcBorders>
              <w:top w:val="single" w:color="auto" w:sz="4" w:space="0"/>
              <w:left w:val="single" w:color="auto" w:sz="4" w:space="0"/>
              <w:right w:val="single" w:color="auto" w:sz="4" w:space="0"/>
            </w:tcBorders>
            <w:vAlign w:val="center"/>
          </w:tcPr>
          <w:p w14:paraId="0FB88516">
            <w:pPr>
              <w:keepNext w:val="0"/>
              <w:keepLines w:val="0"/>
              <w:suppressLineNumbers w:val="0"/>
              <w:tabs>
                <w:tab w:val="left" w:pos="8610"/>
              </w:tabs>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bl>
    <w:p w14:paraId="17E0054E">
      <w:pPr>
        <w:outlineLvl w:val="9"/>
        <w:rPr>
          <w:rFonts w:hint="eastAsia" w:ascii="宋体" w:hAnsi="宋体" w:eastAsia="宋体" w:cs="宋体"/>
          <w:color w:val="000000" w:themeColor="text1"/>
          <w:kern w:val="0"/>
          <w:sz w:val="20"/>
          <w:szCs w:val="21"/>
          <w:highlight w:val="none"/>
          <w14:textFill>
            <w14:solidFill>
              <w14:schemeClr w14:val="tx1"/>
            </w14:solidFill>
          </w14:textFill>
        </w:rPr>
      </w:pPr>
    </w:p>
    <w:p w14:paraId="55C99ACF">
      <w:pPr>
        <w:autoSpaceDE w:val="0"/>
        <w:autoSpaceDN w:val="0"/>
        <w:adjustRightInd w:val="0"/>
        <w:spacing w:line="360" w:lineRule="auto"/>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2B158771">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b/>
          <w:color w:val="000000" w:themeColor="text1"/>
          <w:kern w:val="0"/>
          <w:szCs w:val="21"/>
          <w:highlight w:val="none"/>
          <w:u w:val="single"/>
          <w14:textFill>
            <w14:solidFill>
              <w14:schemeClr w14:val="tx1"/>
            </w14:solidFill>
          </w14:textFill>
        </w:rPr>
        <w:t>本项目投标报价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综合单价</w:t>
      </w:r>
      <w:r>
        <w:rPr>
          <w:rFonts w:hint="eastAsia" w:ascii="宋体" w:hAnsi="宋体" w:eastAsia="宋体" w:cs="宋体"/>
          <w:b/>
          <w:color w:val="000000" w:themeColor="text1"/>
          <w:kern w:val="0"/>
          <w:szCs w:val="21"/>
          <w:highlight w:val="none"/>
          <w:u w:val="single"/>
          <w14:textFill>
            <w14:solidFill>
              <w14:schemeClr w14:val="tx1"/>
            </w14:solidFill>
          </w14:textFill>
        </w:rPr>
        <w:t>为不含税价，即为《中华人民共和国增值税暂行条例》（国务院令第691号修订版）规定的销售额</w:t>
      </w:r>
      <w:r>
        <w:rPr>
          <w:rFonts w:hint="eastAsia" w:ascii="宋体" w:hAnsi="宋体" w:eastAsia="宋体" w:cs="宋体"/>
          <w:color w:val="000000" w:themeColor="text1"/>
          <w:kern w:val="0"/>
          <w:szCs w:val="21"/>
          <w:highlight w:val="none"/>
          <w14:textFill>
            <w14:solidFill>
              <w14:schemeClr w14:val="tx1"/>
            </w14:solidFill>
          </w14:textFill>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000000" w:themeColor="text1"/>
          <w:szCs w:val="21"/>
          <w:highlight w:val="none"/>
          <w:lang w:val="zh-CN"/>
          <w14:textFill>
            <w14:solidFill>
              <w14:schemeClr w14:val="tx1"/>
            </w14:solidFill>
          </w14:textFill>
        </w:rPr>
        <w:t>本采购项目的销项税额由招标人承担</w:t>
      </w:r>
      <w:r>
        <w:rPr>
          <w:rFonts w:hint="eastAsia" w:ascii="宋体" w:hAnsi="宋体" w:eastAsia="宋体" w:cs="宋体"/>
          <w:color w:val="000000" w:themeColor="text1"/>
          <w:kern w:val="0"/>
          <w:szCs w:val="21"/>
          <w:highlight w:val="none"/>
          <w14:textFill>
            <w14:solidFill>
              <w14:schemeClr w14:val="tx1"/>
            </w14:solidFill>
          </w14:textFill>
        </w:rPr>
        <w:t>，不计入投标报价。</w:t>
      </w:r>
    </w:p>
    <w:p w14:paraId="2AA02CE6">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u w:val="single"/>
          <w14:textFill>
            <w14:solidFill>
              <w14:schemeClr w14:val="tx1"/>
            </w14:solidFill>
          </w14:textFill>
        </w:rPr>
        <w:t>投标人的投标报价高于</w:t>
      </w:r>
      <w:r>
        <w:rPr>
          <w:rFonts w:hint="eastAsia" w:ascii="宋体" w:hAnsi="宋体" w:eastAsia="宋体" w:cs="宋体"/>
          <w:b/>
          <w:bCs/>
          <w:color w:val="000000" w:themeColor="text1"/>
          <w:kern w:val="0"/>
          <w:szCs w:val="21"/>
          <w:highlight w:val="none"/>
          <w:u w:val="single"/>
          <w:lang w:eastAsia="zh-CN"/>
          <w14:textFill>
            <w14:solidFill>
              <w14:schemeClr w14:val="tx1"/>
            </w14:solidFill>
          </w14:textFill>
        </w:rPr>
        <w:t>不含税</w:t>
      </w:r>
      <w:r>
        <w:rPr>
          <w:rFonts w:hint="eastAsia" w:ascii="宋体" w:hAnsi="宋体" w:eastAsia="宋体" w:cs="宋体"/>
          <w:b/>
          <w:bCs/>
          <w:color w:val="000000" w:themeColor="text1"/>
          <w:kern w:val="0"/>
          <w:szCs w:val="21"/>
          <w:highlight w:val="none"/>
          <w:u w:val="single"/>
          <w14:textFill>
            <w14:solidFill>
              <w14:schemeClr w14:val="tx1"/>
            </w14:solidFill>
          </w14:textFill>
        </w:rPr>
        <w:t>综合单价</w:t>
      </w:r>
      <w:r>
        <w:rPr>
          <w:rFonts w:hint="eastAsia" w:ascii="宋体" w:hAnsi="宋体" w:eastAsia="宋体" w:cs="宋体"/>
          <w:b/>
          <w:bCs/>
          <w:color w:val="000000" w:themeColor="text1"/>
          <w:kern w:val="0"/>
          <w:szCs w:val="24"/>
          <w:highlight w:val="none"/>
          <w:u w:val="single"/>
          <w14:textFill>
            <w14:solidFill>
              <w14:schemeClr w14:val="tx1"/>
            </w14:solidFill>
          </w14:textFill>
        </w:rPr>
        <w:t>最高投标限价</w:t>
      </w:r>
      <w:r>
        <w:rPr>
          <w:rFonts w:hint="eastAsia" w:ascii="宋体" w:hAnsi="宋体" w:eastAsia="宋体" w:cs="宋体"/>
          <w:b/>
          <w:bCs/>
          <w:color w:val="000000" w:themeColor="text1"/>
          <w:kern w:val="0"/>
          <w:szCs w:val="21"/>
          <w:highlight w:val="none"/>
          <w:u w:val="single"/>
          <w14:textFill>
            <w14:solidFill>
              <w14:schemeClr w14:val="tx1"/>
            </w14:solidFill>
          </w14:textFill>
        </w:rPr>
        <w:t>的，该投标人的投标文件将被视为无效投标</w:t>
      </w:r>
      <w:r>
        <w:rPr>
          <w:rFonts w:hint="eastAsia" w:ascii="宋体" w:hAnsi="宋体" w:eastAsia="宋体" w:cs="宋体"/>
          <w:b/>
          <w:bCs/>
          <w:color w:val="000000" w:themeColor="text1"/>
          <w:kern w:val="0"/>
          <w:szCs w:val="21"/>
          <w:highlight w:val="none"/>
          <w14:textFill>
            <w14:solidFill>
              <w14:schemeClr w14:val="tx1"/>
            </w14:solidFill>
          </w14:textFill>
        </w:rPr>
        <w:t>。</w:t>
      </w:r>
    </w:p>
    <w:p w14:paraId="21499522">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宋体"/>
          <w:b/>
          <w:bCs/>
          <w:color w:val="000000" w:themeColor="text1"/>
          <w:kern w:val="0"/>
          <w:szCs w:val="21"/>
          <w:highlight w:val="none"/>
          <w:lang w:val="zh-CN"/>
          <w14:textFill>
            <w14:solidFill>
              <w14:schemeClr w14:val="tx1"/>
            </w14:solidFill>
          </w14:textFill>
        </w:rPr>
        <w:t>。</w:t>
      </w:r>
    </w:p>
    <w:p w14:paraId="02DB4C77">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Cs/>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报价保留小数点后两位。</w:t>
      </w:r>
    </w:p>
    <w:p w14:paraId="3CD72875">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2AA06E97">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2F802459">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宋体"/>
          <w:color w:val="000000" w:themeColor="text1"/>
          <w:szCs w:val="24"/>
          <w:highlight w:val="none"/>
          <w:lang w:val="zh-CN"/>
          <w14:textFill>
            <w14:solidFill>
              <w14:schemeClr w14:val="tx1"/>
            </w14:solidFill>
          </w14:textFill>
        </w:rPr>
        <w:t>期：   年   月   日</w:t>
      </w:r>
    </w:p>
    <w:p w14:paraId="0F9DB8BD">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508" w:name="_Toc142508369"/>
      <w:bookmarkStart w:id="509" w:name="_Toc140596928"/>
      <w:bookmarkStart w:id="510" w:name="_Toc102860418"/>
      <w:bookmarkStart w:id="511" w:name="_Toc102860074"/>
      <w:bookmarkStart w:id="512" w:name="_Toc94107209"/>
      <w:bookmarkStart w:id="513" w:name="_Toc104991875"/>
      <w:bookmarkStart w:id="514" w:name="_Toc23083"/>
      <w:bookmarkStart w:id="515" w:name="_Toc1977725"/>
      <w:bookmarkStart w:id="516" w:name="_Toc26516"/>
      <w:bookmarkStart w:id="517" w:name="_Toc6190"/>
      <w:bookmarkStart w:id="518" w:name="_Toc533708124"/>
      <w:bookmarkStart w:id="519" w:name="_Toc486167712"/>
      <w:bookmarkStart w:id="520" w:name="_Toc20759_WPSOffice_Level2"/>
      <w:r>
        <w:rPr>
          <w:rFonts w:hint="eastAsia" w:ascii="宋体" w:hAnsi="宋体" w:eastAsia="宋体" w:cs="宋体"/>
          <w:b/>
          <w:bCs/>
          <w:color w:val="000000" w:themeColor="text1"/>
          <w:sz w:val="30"/>
          <w:szCs w:val="30"/>
          <w:highlight w:val="none"/>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508"/>
      <w:bookmarkEnd w:id="509"/>
      <w:bookmarkEnd w:id="510"/>
      <w:bookmarkEnd w:id="511"/>
      <w:bookmarkEnd w:id="512"/>
      <w:bookmarkEnd w:id="513"/>
      <w:bookmarkEnd w:id="514"/>
      <w:bookmarkEnd w:id="515"/>
      <w:bookmarkEnd w:id="516"/>
      <w:bookmarkEnd w:id="517"/>
    </w:p>
    <w:p w14:paraId="57C435F3">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bookmarkStart w:id="521" w:name="_Toc25267"/>
      <w:bookmarkStart w:id="522" w:name="_Toc140596929"/>
      <w:bookmarkStart w:id="523" w:name="_Toc142508370"/>
      <w:bookmarkStart w:id="524" w:name="_Toc102860075"/>
      <w:bookmarkStart w:id="525" w:name="_Toc17358"/>
      <w:bookmarkStart w:id="526" w:name="_Toc94107210"/>
      <w:bookmarkStart w:id="527" w:name="_Toc102860419"/>
      <w:bookmarkStart w:id="528" w:name="_Toc29874"/>
      <w:bookmarkStart w:id="529" w:name="_Toc104991876"/>
      <w:bookmarkStart w:id="530" w:name="_Toc1977726"/>
      <w:r>
        <w:rPr>
          <w:rFonts w:hint="eastAsia" w:ascii="宋体" w:hAnsi="宋体" w:eastAsia="宋体" w:cs="宋体"/>
          <w:b/>
          <w:color w:val="000000" w:themeColor="text1"/>
          <w:kern w:val="0"/>
          <w:sz w:val="30"/>
          <w:szCs w:val="30"/>
          <w:highlight w:val="none"/>
          <w14:textFill>
            <w14:solidFill>
              <w14:schemeClr w14:val="tx1"/>
            </w14:solidFill>
          </w14:textFill>
        </w:rPr>
        <w:t>5.1 多证合一营业执照（或事业单位法人证书）复印件</w:t>
      </w:r>
      <w:bookmarkEnd w:id="521"/>
      <w:bookmarkEnd w:id="522"/>
      <w:bookmarkEnd w:id="523"/>
      <w:bookmarkEnd w:id="524"/>
      <w:bookmarkEnd w:id="525"/>
      <w:bookmarkEnd w:id="526"/>
      <w:bookmarkEnd w:id="527"/>
      <w:bookmarkEnd w:id="528"/>
      <w:bookmarkEnd w:id="529"/>
    </w:p>
    <w:p w14:paraId="5E83FAE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567D4B4D">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p>
    <w:p w14:paraId="2E07D5E3">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bookmarkStart w:id="531" w:name="_Toc94107211"/>
      <w:bookmarkStart w:id="532" w:name="_Toc102860420"/>
      <w:bookmarkStart w:id="533" w:name="_Toc142508371"/>
      <w:bookmarkStart w:id="534" w:name="_Toc104991877"/>
      <w:bookmarkStart w:id="535" w:name="_Toc27861"/>
      <w:bookmarkStart w:id="536" w:name="_Toc102860076"/>
      <w:bookmarkStart w:id="537" w:name="_Toc25013"/>
      <w:bookmarkStart w:id="538" w:name="_Toc7756"/>
      <w:bookmarkStart w:id="539" w:name="_Toc140596930"/>
      <w:r>
        <w:rPr>
          <w:rFonts w:hint="eastAsia" w:ascii="宋体" w:hAnsi="宋体" w:eastAsia="宋体" w:cs="宋体"/>
          <w:b/>
          <w:color w:val="000000" w:themeColor="text1"/>
          <w:kern w:val="0"/>
          <w:sz w:val="30"/>
          <w:szCs w:val="30"/>
          <w:highlight w:val="none"/>
          <w14:textFill>
            <w14:solidFill>
              <w14:schemeClr w14:val="tx1"/>
            </w14:solidFill>
          </w14:textFill>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31"/>
      <w:bookmarkEnd w:id="532"/>
      <w:bookmarkEnd w:id="533"/>
      <w:bookmarkEnd w:id="534"/>
      <w:bookmarkEnd w:id="535"/>
      <w:bookmarkEnd w:id="536"/>
      <w:bookmarkEnd w:id="537"/>
      <w:bookmarkEnd w:id="538"/>
      <w:bookmarkEnd w:id="539"/>
    </w:p>
    <w:p w14:paraId="2A19AEEC">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540" w:name="_Toc140596931"/>
      <w:bookmarkStart w:id="541" w:name="_Toc7441"/>
      <w:bookmarkStart w:id="542" w:name="_Toc17499"/>
      <w:bookmarkStart w:id="543" w:name="_Toc102860421"/>
      <w:bookmarkStart w:id="544" w:name="_Toc104991878"/>
      <w:bookmarkStart w:id="545" w:name="_Toc9132"/>
      <w:bookmarkStart w:id="546" w:name="_Toc94107212"/>
      <w:bookmarkStart w:id="547" w:name="_Toc142508372"/>
      <w:bookmarkStart w:id="548" w:name="_Toc102860077"/>
      <w:r>
        <w:rPr>
          <w:rFonts w:hint="eastAsia" w:ascii="宋体" w:hAnsi="宋体" w:eastAsia="宋体" w:cs="宋体"/>
          <w:b/>
          <w:color w:val="000000" w:themeColor="text1"/>
          <w:kern w:val="0"/>
          <w:sz w:val="30"/>
          <w:szCs w:val="30"/>
          <w:highlight w:val="none"/>
          <w14:textFill>
            <w14:solidFill>
              <w14:schemeClr w14:val="tx1"/>
            </w14:solidFill>
          </w14:textFill>
        </w:rPr>
        <w:t>5.3 法定代表人身份证明书原件、法定代表人授权书原件格式（法定代表人投标时只需提供法定代表人身份证明书，委托他人为投标代表或签署投标文件时需同时提供法定代表人授权书）</w:t>
      </w:r>
      <w:bookmarkEnd w:id="540"/>
      <w:bookmarkEnd w:id="541"/>
      <w:bookmarkEnd w:id="542"/>
      <w:bookmarkEnd w:id="543"/>
      <w:bookmarkEnd w:id="544"/>
      <w:bookmarkEnd w:id="545"/>
      <w:bookmarkEnd w:id="546"/>
      <w:bookmarkEnd w:id="547"/>
      <w:bookmarkEnd w:id="548"/>
    </w:p>
    <w:p w14:paraId="318B7FB2">
      <w:pPr>
        <w:spacing w:before="120" w:after="120" w:line="360" w:lineRule="auto"/>
        <w:ind w:firstLine="426" w:firstLineChars="202"/>
        <w:outlineLvl w:val="9"/>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518"/>
      <w:bookmarkEnd w:id="519"/>
      <w:bookmarkEnd w:id="520"/>
      <w:bookmarkEnd w:id="530"/>
    </w:p>
    <w:p w14:paraId="3836B736">
      <w:pPr>
        <w:spacing w:before="120" w:after="120" w:line="360" w:lineRule="auto"/>
        <w:ind w:firstLine="608" w:firstLineChars="202"/>
        <w:jc w:val="center"/>
        <w:outlineLvl w:val="9"/>
        <w:rPr>
          <w:rFonts w:hint="eastAsia" w:ascii="宋体" w:hAnsi="宋体" w:eastAsia="宋体" w:cs="宋体"/>
          <w:b/>
          <w:color w:val="000000" w:themeColor="text1"/>
          <w:sz w:val="30"/>
          <w:szCs w:val="30"/>
          <w:highlight w:val="none"/>
          <w14:textFill>
            <w14:solidFill>
              <w14:schemeClr w14:val="tx1"/>
            </w14:solidFill>
          </w14:textFill>
        </w:rPr>
      </w:pPr>
    </w:p>
    <w:p w14:paraId="52D158A8">
      <w:pPr>
        <w:spacing w:before="120" w:after="120" w:line="360" w:lineRule="auto"/>
        <w:ind w:firstLine="608" w:firstLineChars="202"/>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bookmarkStart w:id="549"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550" w:name="_Toc45995270"/>
      <w:bookmarkStart w:id="551" w:name="_Toc36971359"/>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549"/>
    </w:p>
    <w:bookmarkEnd w:id="550"/>
    <w:bookmarkEnd w:id="551"/>
    <w:p w14:paraId="1B8AAA89">
      <w:pPr>
        <w:spacing w:before="120" w:after="120" w:line="360" w:lineRule="auto"/>
        <w:ind w:firstLine="420" w:firstLineChars="200"/>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3F416846">
      <w:pPr>
        <w:spacing w:before="120" w:after="120" w:line="360" w:lineRule="auto"/>
        <w:ind w:firstLine="424" w:firstLineChars="202"/>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7E91FCFF">
      <w:pPr>
        <w:spacing w:before="120" w:after="120" w:line="360" w:lineRule="auto"/>
        <w:ind w:firstLine="424" w:firstLineChars="202"/>
        <w:outlineLvl w:val="9"/>
        <w:rPr>
          <w:rFonts w:hint="eastAsia"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2401878D">
      <w:pPr>
        <w:spacing w:before="120" w:after="120" w:line="360" w:lineRule="auto"/>
        <w:ind w:firstLine="424" w:firstLineChars="202"/>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3156FA06">
      <w:pPr>
        <w:spacing w:before="120" w:after="120" w:line="360" w:lineRule="auto"/>
        <w:ind w:firstLine="424" w:firstLineChars="202"/>
        <w:outlineLvl w:val="9"/>
        <w:rPr>
          <w:rFonts w:hint="eastAsia"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3A9BD043">
      <w:pPr>
        <w:spacing w:before="120" w:after="120" w:line="360" w:lineRule="auto"/>
        <w:ind w:firstLine="424" w:firstLineChars="202"/>
        <w:outlineLvl w:val="9"/>
        <w:rPr>
          <w:rFonts w:hint="eastAsia"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4B7B23FA">
      <w:pPr>
        <w:spacing w:before="120" w:after="120" w:line="360" w:lineRule="auto"/>
        <w:ind w:firstLine="424" w:firstLineChars="202"/>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0A83AC8A">
      <w:pPr>
        <w:spacing w:before="120" w:after="120" w:line="360" w:lineRule="auto"/>
        <w:ind w:left="340" w:leftChars="162" w:firstLine="474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24BA89BC">
      <w:pPr>
        <w:autoSpaceDE w:val="0"/>
        <w:autoSpaceDN w:val="0"/>
        <w:adjustRightInd w:val="0"/>
        <w:spacing w:line="360" w:lineRule="auto"/>
        <w:ind w:right="1010" w:rightChars="481" w:firstLine="6090" w:firstLineChars="29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58A2E103">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6946C59"/>
                          <w:p w14:paraId="541000B8"/>
                          <w:p w14:paraId="22301AB9"/>
                          <w:p w14:paraId="7C57FDCF"/>
                          <w:p w14:paraId="1F304B98">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6946C59"/>
                    <w:p w14:paraId="541000B8"/>
                    <w:p w14:paraId="22301AB9"/>
                    <w:p w14:paraId="7C57FDCF"/>
                    <w:p w14:paraId="1F304B98">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52A98DF"/>
                          <w:p w14:paraId="4EC73026"/>
                          <w:p w14:paraId="45981BE0"/>
                          <w:p w14:paraId="359DF412"/>
                          <w:p w14:paraId="7E751C1F">
                            <w:pPr>
                              <w:jc w:val="center"/>
                              <w:rPr>
                                <w:szCs w:val="21"/>
                              </w:rPr>
                            </w:pPr>
                            <w:r>
                              <w:rPr>
                                <w:rFonts w:hint="eastAsia"/>
                                <w:szCs w:val="21"/>
                              </w:rPr>
                              <w:t>法定代表人身份证反面</w:t>
                            </w:r>
                          </w:p>
                          <w:p w14:paraId="4CFC6D18">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052A98DF"/>
                    <w:p w14:paraId="4EC73026"/>
                    <w:p w14:paraId="45981BE0"/>
                    <w:p w14:paraId="359DF412"/>
                    <w:p w14:paraId="7E751C1F">
                      <w:pPr>
                        <w:jc w:val="center"/>
                        <w:rPr>
                          <w:szCs w:val="21"/>
                        </w:rPr>
                      </w:pPr>
                      <w:r>
                        <w:rPr>
                          <w:rFonts w:hint="eastAsia"/>
                          <w:szCs w:val="21"/>
                        </w:rPr>
                        <w:t>法定代表人身份证反面</w:t>
                      </w:r>
                    </w:p>
                    <w:p w14:paraId="4CFC6D18">
                      <w:pPr>
                        <w:jc w:val="center"/>
                        <w:rPr>
                          <w:szCs w:val="21"/>
                        </w:rPr>
                      </w:pPr>
                    </w:p>
                  </w:txbxContent>
                </v:textbox>
              </v:shape>
            </w:pict>
          </mc:Fallback>
        </mc:AlternateContent>
      </w:r>
      <w:r>
        <w:rPr>
          <w:rFonts w:hint="eastAsia"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8E09E59"/>
                          <w:p w14:paraId="458CD430"/>
                          <w:p w14:paraId="4B718DD6"/>
                          <w:p w14:paraId="08E98B3A"/>
                          <w:p w14:paraId="525E8965">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18E09E59"/>
                    <w:p w14:paraId="458CD430"/>
                    <w:p w14:paraId="4B718DD6"/>
                    <w:p w14:paraId="08E98B3A"/>
                    <w:p w14:paraId="525E8965">
                      <w:pPr>
                        <w:jc w:val="center"/>
                      </w:pPr>
                      <w:r>
                        <w:rPr>
                          <w:rFonts w:hint="eastAsia"/>
                        </w:rPr>
                        <w:t>身份证正面</w:t>
                      </w:r>
                    </w:p>
                  </w:txbxContent>
                </v:textbox>
              </v:shape>
            </w:pict>
          </mc:Fallback>
        </mc:AlternateContent>
      </w:r>
    </w:p>
    <w:p w14:paraId="71683B54">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5A9027A8">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543CFF72">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4D34019A">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0E2F04D6">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74D60282">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1D92D08E">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44090D59">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47F78F76">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47F8D144">
      <w:pPr>
        <w:autoSpaceDE w:val="0"/>
        <w:autoSpaceDN w:val="0"/>
        <w:adjustRightInd w:val="0"/>
        <w:jc w:val="left"/>
        <w:outlineLvl w:val="9"/>
        <w:rPr>
          <w:rFonts w:hint="eastAsia" w:ascii="宋体" w:hAnsi="宋体" w:eastAsia="宋体" w:cs="宋体"/>
          <w:b/>
          <w:color w:val="000000" w:themeColor="text1"/>
          <w:kern w:val="0"/>
          <w:szCs w:val="21"/>
          <w:highlight w:val="none"/>
          <w14:textFill>
            <w14:solidFill>
              <w14:schemeClr w14:val="tx1"/>
            </w14:solidFill>
          </w14:textFill>
        </w:rPr>
      </w:pPr>
    </w:p>
    <w:p w14:paraId="62EED37C">
      <w:pPr>
        <w:autoSpaceDE w:val="0"/>
        <w:autoSpaceDN w:val="0"/>
        <w:adjustRightInd w:val="0"/>
        <w:jc w:val="left"/>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2EA39EC4">
      <w:pPr>
        <w:autoSpaceDE w:val="0"/>
        <w:autoSpaceDN w:val="0"/>
        <w:adjustRightInd w:val="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39DC1374">
      <w:pPr>
        <w:spacing w:before="120" w:after="120" w:line="360" w:lineRule="auto"/>
        <w:ind w:firstLine="424" w:firstLineChars="202"/>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471"/>
      <w:bookmarkEnd w:id="472"/>
      <w:bookmarkEnd w:id="473"/>
      <w:bookmarkStart w:id="552" w:name="_Toc533708125"/>
      <w:bookmarkStart w:id="553" w:name="_Toc1977727"/>
      <w:bookmarkStart w:id="554" w:name="_Toc6240_WPSOffice_Level2"/>
      <w:bookmarkStart w:id="555" w:name="_Toc486167713"/>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552"/>
      <w:bookmarkEnd w:id="553"/>
      <w:bookmarkEnd w:id="554"/>
      <w:bookmarkEnd w:id="555"/>
    </w:p>
    <w:p w14:paraId="49E62637">
      <w:pPr>
        <w:autoSpaceDE w:val="0"/>
        <w:autoSpaceDN w:val="0"/>
        <w:adjustRightInd w:val="0"/>
        <w:spacing w:line="360" w:lineRule="auto"/>
        <w:jc w:val="center"/>
        <w:outlineLvl w:val="9"/>
        <w:rPr>
          <w:rFonts w:hint="eastAsia" w:ascii="宋体" w:hAnsi="宋体" w:eastAsia="宋体" w:cs="宋体"/>
          <w:b/>
          <w:bCs/>
          <w:color w:val="000000" w:themeColor="text1"/>
          <w:sz w:val="30"/>
          <w:szCs w:val="30"/>
          <w:highlight w:val="none"/>
          <w:lang w:val="zh-CN"/>
          <w14:textFill>
            <w14:solidFill>
              <w14:schemeClr w14:val="tx1"/>
            </w14:solidFill>
          </w14:textFill>
        </w:rPr>
      </w:pPr>
    </w:p>
    <w:p w14:paraId="020A59A4">
      <w:pPr>
        <w:autoSpaceDE w:val="0"/>
        <w:autoSpaceDN w:val="0"/>
        <w:adjustRightInd w:val="0"/>
        <w:spacing w:line="360" w:lineRule="auto"/>
        <w:jc w:val="center"/>
        <w:outlineLvl w:val="9"/>
        <w:rPr>
          <w:rFonts w:hint="eastAsia" w:ascii="宋体" w:hAnsi="宋体" w:eastAsia="宋体" w:cs="宋体"/>
          <w:b/>
          <w:bCs/>
          <w:color w:val="000000" w:themeColor="text1"/>
          <w:sz w:val="30"/>
          <w:szCs w:val="30"/>
          <w:highlight w:val="none"/>
          <w:lang w:val="zh-CN"/>
          <w14:textFill>
            <w14:solidFill>
              <w14:schemeClr w14:val="tx1"/>
            </w14:solidFill>
          </w14:textFill>
        </w:rPr>
      </w:pPr>
      <w:bookmarkStart w:id="556"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556"/>
    </w:p>
    <w:p w14:paraId="3F5C844D">
      <w:pPr>
        <w:autoSpaceDE w:val="0"/>
        <w:autoSpaceDN w:val="0"/>
        <w:adjustRightInd w:val="0"/>
        <w:spacing w:line="360" w:lineRule="auto"/>
        <w:jc w:val="center"/>
        <w:outlineLvl w:val="9"/>
        <w:rPr>
          <w:rFonts w:hint="eastAsia" w:ascii="宋体" w:hAnsi="宋体" w:eastAsia="宋体" w:cs="宋体"/>
          <w:color w:val="000000" w:themeColor="text1"/>
          <w:szCs w:val="28"/>
          <w:highlight w:val="none"/>
          <w:lang w:val="zh-CN"/>
          <w14:textFill>
            <w14:solidFill>
              <w14:schemeClr w14:val="tx1"/>
            </w14:solidFill>
          </w14:textFill>
        </w:rPr>
      </w:pPr>
    </w:p>
    <w:p w14:paraId="7CBF0CD6">
      <w:pPr>
        <w:spacing w:before="120" w:after="120" w:line="360" w:lineRule="auto"/>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致：东莞市石鼓净水有限公司</w:t>
      </w:r>
    </w:p>
    <w:p w14:paraId="012598D8">
      <w:pPr>
        <w:spacing w:before="120" w:after="120" w:line="360" w:lineRule="auto"/>
        <w:ind w:firstLine="630" w:firstLineChars="3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lang w:eastAsia="zh-CN"/>
          <w14:textFill>
            <w14:solidFill>
              <w14:schemeClr w14:val="tx1"/>
            </w14:solidFill>
          </w14:textFill>
        </w:rPr>
        <w:t>东莞市石鼓净水有限公司污水处理厂分布式光伏发电项目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DGDS2024-089</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06378D65">
      <w:pPr>
        <w:spacing w:before="120" w:after="120"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68EDC0FA">
      <w:pPr>
        <w:spacing w:before="120" w:after="120" w:line="360" w:lineRule="auto"/>
        <w:ind w:left="348" w:leftChars="136" w:hanging="62"/>
        <w:outlineLvl w:val="9"/>
        <w:rPr>
          <w:rFonts w:hint="eastAsia" w:ascii="宋体" w:hAnsi="宋体" w:eastAsia="宋体" w:cs="宋体"/>
          <w:color w:val="000000" w:themeColor="text1"/>
          <w:szCs w:val="24"/>
          <w:highlight w:val="none"/>
          <w14:textFill>
            <w14:solidFill>
              <w14:schemeClr w14:val="tx1"/>
            </w14:solidFill>
          </w14:textFill>
        </w:rPr>
      </w:pPr>
    </w:p>
    <w:p w14:paraId="6F1B2CAD">
      <w:pPr>
        <w:spacing w:before="120" w:after="120" w:line="360" w:lineRule="auto"/>
        <w:ind w:left="4200" w:leftChars="2000" w:firstLine="425"/>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16E486CF">
      <w:pPr>
        <w:spacing w:before="120" w:after="120" w:line="360" w:lineRule="auto"/>
        <w:ind w:left="4200" w:leftChars="2000" w:firstLine="425"/>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22596ABF">
      <w:pPr>
        <w:spacing w:before="120" w:after="120" w:line="360" w:lineRule="auto"/>
        <w:ind w:left="4200" w:leftChars="2000" w:firstLine="425"/>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373537CA">
      <w:pPr>
        <w:spacing w:before="120" w:after="120" w:line="360" w:lineRule="auto"/>
        <w:ind w:left="4200" w:leftChars="2000" w:firstLine="425"/>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0B4F1FEF">
      <w:pPr>
        <w:spacing w:before="120" w:after="120" w:line="360" w:lineRule="auto"/>
        <w:ind w:left="4200" w:leftChars="2000" w:firstLine="425"/>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378227B3">
      <w:pPr>
        <w:spacing w:before="120" w:after="120" w:line="360" w:lineRule="auto"/>
        <w:ind w:left="4200" w:leftChars="2000" w:firstLine="425"/>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0BE5E5DE">
      <w:pPr>
        <w:spacing w:before="120" w:after="120" w:line="360" w:lineRule="auto"/>
        <w:ind w:left="4200" w:leftChars="2000" w:firstLine="425"/>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7F36C153">
      <w:pPr>
        <w:spacing w:before="120" w:after="120" w:line="360" w:lineRule="auto"/>
        <w:ind w:left="4200" w:leftChars="2000" w:firstLine="425"/>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5DFBF02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55D8396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96F33AC"/>
                          <w:p w14:paraId="0EF4EEE7"/>
                          <w:p w14:paraId="08385EAB"/>
                          <w:p w14:paraId="7C99C7FF"/>
                          <w:p w14:paraId="6405651A">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96F33AC"/>
                    <w:p w14:paraId="0EF4EEE7"/>
                    <w:p w14:paraId="08385EAB"/>
                    <w:p w14:paraId="7C99C7FF"/>
                    <w:p w14:paraId="6405651A">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4254456"/>
                          <w:p w14:paraId="65E642EF"/>
                          <w:p w14:paraId="3044EB21"/>
                          <w:p w14:paraId="52E74531"/>
                          <w:p w14:paraId="607F4196">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4254456"/>
                    <w:p w14:paraId="65E642EF"/>
                    <w:p w14:paraId="3044EB21"/>
                    <w:p w14:paraId="52E74531"/>
                    <w:p w14:paraId="607F4196">
                      <w:pPr>
                        <w:jc w:val="center"/>
                        <w:rPr>
                          <w:rFonts w:hAnsi="宋体"/>
                        </w:rPr>
                      </w:pPr>
                      <w:r>
                        <w:rPr>
                          <w:rFonts w:hint="eastAsia" w:hAnsi="宋体"/>
                        </w:rPr>
                        <w:t>法定代表人身份证正面</w:t>
                      </w:r>
                    </w:p>
                  </w:txbxContent>
                </v:textbox>
              </v:shape>
            </w:pict>
          </mc:Fallback>
        </mc:AlternateContent>
      </w:r>
    </w:p>
    <w:p w14:paraId="73304B4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6E5B1B8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6703CC0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4807FC8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3223059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70F3C90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0CE4CA6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1D9F2AF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7342DBF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758819C"/>
                          <w:p w14:paraId="278A5D98">
                            <w:pPr>
                              <w:jc w:val="center"/>
                              <w:rPr>
                                <w:rFonts w:hAnsi="宋体"/>
                                <w:color w:val="FF0000"/>
                              </w:rPr>
                            </w:pPr>
                          </w:p>
                          <w:p w14:paraId="2B2B5C7B">
                            <w:pPr>
                              <w:jc w:val="center"/>
                              <w:rPr>
                                <w:rFonts w:hAnsi="宋体"/>
                                <w:color w:val="FF0000"/>
                              </w:rPr>
                            </w:pPr>
                          </w:p>
                          <w:p w14:paraId="1273C2F8">
                            <w:pPr>
                              <w:jc w:val="center"/>
                              <w:rPr>
                                <w:rFonts w:hAnsi="宋体"/>
                                <w:color w:val="FF0000"/>
                              </w:rPr>
                            </w:pPr>
                          </w:p>
                          <w:p w14:paraId="6A797FF7">
                            <w:pPr>
                              <w:jc w:val="center"/>
                            </w:pPr>
                            <w:r>
                              <w:rPr>
                                <w:rFonts w:hint="eastAsia" w:hAnsi="宋体"/>
                              </w:rPr>
                              <w:t>被授权人身份证反面</w:t>
                            </w:r>
                          </w:p>
                          <w:p w14:paraId="71321E2E"/>
                          <w:p w14:paraId="4F9A2E8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1758819C"/>
                    <w:p w14:paraId="278A5D98">
                      <w:pPr>
                        <w:jc w:val="center"/>
                        <w:rPr>
                          <w:rFonts w:hAnsi="宋体"/>
                          <w:color w:val="FF0000"/>
                        </w:rPr>
                      </w:pPr>
                    </w:p>
                    <w:p w14:paraId="2B2B5C7B">
                      <w:pPr>
                        <w:jc w:val="center"/>
                        <w:rPr>
                          <w:rFonts w:hAnsi="宋体"/>
                          <w:color w:val="FF0000"/>
                        </w:rPr>
                      </w:pPr>
                    </w:p>
                    <w:p w14:paraId="1273C2F8">
                      <w:pPr>
                        <w:jc w:val="center"/>
                        <w:rPr>
                          <w:rFonts w:hAnsi="宋体"/>
                          <w:color w:val="FF0000"/>
                        </w:rPr>
                      </w:pPr>
                    </w:p>
                    <w:p w14:paraId="6A797FF7">
                      <w:pPr>
                        <w:jc w:val="center"/>
                      </w:pPr>
                      <w:r>
                        <w:rPr>
                          <w:rFonts w:hint="eastAsia" w:hAnsi="宋体"/>
                        </w:rPr>
                        <w:t>被授权人身份证反面</w:t>
                      </w:r>
                    </w:p>
                    <w:p w14:paraId="71321E2E"/>
                    <w:p w14:paraId="4F9A2E85"/>
                  </w:txbxContent>
                </v:textbox>
              </v:shape>
            </w:pict>
          </mc:Fallback>
        </mc:AlternateContent>
      </w:r>
      <w:r>
        <w:rPr>
          <w:rFonts w:hint="eastAsia"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87F716D"/>
                          <w:p w14:paraId="7A9186D4">
                            <w:pPr>
                              <w:jc w:val="center"/>
                              <w:rPr>
                                <w:rFonts w:hAnsi="宋体"/>
                                <w:color w:val="FF0000"/>
                              </w:rPr>
                            </w:pPr>
                          </w:p>
                          <w:p w14:paraId="77E22C59">
                            <w:pPr>
                              <w:jc w:val="center"/>
                              <w:rPr>
                                <w:rFonts w:hAnsi="宋体"/>
                                <w:color w:val="FF0000"/>
                              </w:rPr>
                            </w:pPr>
                          </w:p>
                          <w:p w14:paraId="23E5410C">
                            <w:pPr>
                              <w:jc w:val="center"/>
                              <w:rPr>
                                <w:rFonts w:hAnsi="宋体"/>
                                <w:color w:val="FF0000"/>
                              </w:rPr>
                            </w:pPr>
                          </w:p>
                          <w:p w14:paraId="3C246CBC">
                            <w:pPr>
                              <w:jc w:val="center"/>
                            </w:pPr>
                            <w:r>
                              <w:rPr>
                                <w:rFonts w:hint="eastAsia" w:hAnsi="宋体"/>
                              </w:rPr>
                              <w:t>被授权人身份证正面</w:t>
                            </w:r>
                          </w:p>
                          <w:p w14:paraId="3D57C8D6"/>
                          <w:p w14:paraId="431BF9D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87F716D"/>
                    <w:p w14:paraId="7A9186D4">
                      <w:pPr>
                        <w:jc w:val="center"/>
                        <w:rPr>
                          <w:rFonts w:hAnsi="宋体"/>
                          <w:color w:val="FF0000"/>
                        </w:rPr>
                      </w:pPr>
                    </w:p>
                    <w:p w14:paraId="77E22C59">
                      <w:pPr>
                        <w:jc w:val="center"/>
                        <w:rPr>
                          <w:rFonts w:hAnsi="宋体"/>
                          <w:color w:val="FF0000"/>
                        </w:rPr>
                      </w:pPr>
                    </w:p>
                    <w:p w14:paraId="23E5410C">
                      <w:pPr>
                        <w:jc w:val="center"/>
                        <w:rPr>
                          <w:rFonts w:hAnsi="宋体"/>
                          <w:color w:val="FF0000"/>
                        </w:rPr>
                      </w:pPr>
                    </w:p>
                    <w:p w14:paraId="3C246CBC">
                      <w:pPr>
                        <w:jc w:val="center"/>
                      </w:pPr>
                      <w:r>
                        <w:rPr>
                          <w:rFonts w:hint="eastAsia" w:hAnsi="宋体"/>
                        </w:rPr>
                        <w:t>被授权人身份证正面</w:t>
                      </w:r>
                    </w:p>
                    <w:p w14:paraId="3D57C8D6"/>
                    <w:p w14:paraId="431BF9DD"/>
                  </w:txbxContent>
                </v:textbox>
              </v:shape>
            </w:pict>
          </mc:Fallback>
        </mc:AlternateContent>
      </w:r>
    </w:p>
    <w:p w14:paraId="5F31746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03005369">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530FC79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5EC786E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1841E51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000000" w:themeColor="text1"/>
          <w:szCs w:val="24"/>
          <w:highlight w:val="none"/>
          <w14:textFill>
            <w14:solidFill>
              <w14:schemeClr w14:val="tx1"/>
            </w14:solidFill>
          </w14:textFill>
        </w:rPr>
      </w:pPr>
    </w:p>
    <w:p w14:paraId="12AFA157">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000000" w:themeColor="text1"/>
          <w:szCs w:val="24"/>
          <w:highlight w:val="none"/>
          <w14:textFill>
            <w14:solidFill>
              <w14:schemeClr w14:val="tx1"/>
            </w14:solidFill>
          </w14:textFill>
        </w:rPr>
        <w:sectPr>
          <w:footerReference r:id="rId18" w:type="first"/>
          <w:footerReference r:id="rId1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4461223E">
      <w:pPr>
        <w:pageBreakBefore/>
        <w:spacing w:line="360" w:lineRule="auto"/>
        <w:outlineLvl w:val="9"/>
        <w:rPr>
          <w:rFonts w:hint="eastAsia" w:ascii="宋体" w:hAnsi="宋体" w:eastAsia="宋体" w:cs="宋体"/>
          <w:b/>
          <w:color w:val="000000" w:themeColor="text1"/>
          <w:sz w:val="30"/>
          <w:szCs w:val="30"/>
          <w:highlight w:val="none"/>
          <w:lang w:val="en-US" w:eastAsia="zh-CN"/>
          <w14:textFill>
            <w14:solidFill>
              <w14:schemeClr w14:val="tx1"/>
            </w14:solidFill>
          </w14:textFill>
        </w:rPr>
      </w:pPr>
      <w:bookmarkStart w:id="557" w:name="_Toc15716"/>
      <w:bookmarkStart w:id="558" w:name="_Toc32328"/>
      <w:bookmarkStart w:id="559" w:name="_Toc12400"/>
      <w:bookmarkStart w:id="560" w:name="_Toc140596933"/>
      <w:bookmarkStart w:id="561" w:name="_Toc94107214"/>
      <w:bookmarkStart w:id="562" w:name="_Toc104991880"/>
      <w:bookmarkStart w:id="563" w:name="_Toc1977730"/>
      <w:bookmarkStart w:id="564" w:name="_Toc142508373"/>
      <w:r>
        <w:rPr>
          <w:rFonts w:hint="eastAsia" w:ascii="宋体" w:hAnsi="宋体" w:eastAsia="宋体" w:cs="宋体"/>
          <w:b/>
          <w:color w:val="000000" w:themeColor="text1"/>
          <w:sz w:val="30"/>
          <w:szCs w:val="30"/>
          <w:highlight w:val="none"/>
          <w14:textFill>
            <w14:solidFill>
              <w14:schemeClr w14:val="tx1"/>
            </w14:solidFill>
          </w14:textFill>
        </w:rPr>
        <w:t>5.</w:t>
      </w:r>
      <w:r>
        <w:rPr>
          <w:rFonts w:hint="eastAsia" w:ascii="宋体" w:hAnsi="宋体" w:eastAsia="宋体" w:cs="宋体"/>
          <w:b/>
          <w:color w:val="000000" w:themeColor="text1"/>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sz w:val="30"/>
          <w:szCs w:val="30"/>
          <w:highlight w:val="none"/>
          <w14:textFill>
            <w14:solidFill>
              <w14:schemeClr w14:val="tx1"/>
            </w14:solidFill>
          </w14:textFill>
        </w:rPr>
        <w:t xml:space="preserve"> </w:t>
      </w:r>
      <w:r>
        <w:rPr>
          <w:rFonts w:hint="eastAsia" w:ascii="宋体" w:hAnsi="宋体" w:eastAsia="宋体" w:cs="宋体"/>
          <w:b/>
          <w:bCs/>
          <w:color w:val="000000" w:themeColor="text1"/>
          <w:kern w:val="2"/>
          <w:sz w:val="32"/>
          <w:szCs w:val="32"/>
          <w:highlight w:val="none"/>
          <w14:textFill>
            <w14:solidFill>
              <w14:schemeClr w14:val="tx1"/>
            </w14:solidFill>
          </w14:textFill>
        </w:rPr>
        <w:t>资格业绩</w:t>
      </w:r>
      <w:r>
        <w:rPr>
          <w:rFonts w:hint="eastAsia" w:ascii="宋体" w:hAnsi="宋体" w:eastAsia="宋体" w:cs="宋体"/>
          <w:b/>
          <w:bCs/>
          <w:color w:val="000000" w:themeColor="text1"/>
          <w:sz w:val="32"/>
          <w:szCs w:val="32"/>
          <w:highlight w:val="none"/>
          <w14:textFill>
            <w14:solidFill>
              <w14:schemeClr w14:val="tx1"/>
            </w14:solidFill>
          </w14:textFill>
        </w:rPr>
        <w:t>【</w:t>
      </w:r>
      <w:bookmarkEnd w:id="557"/>
      <w:bookmarkEnd w:id="558"/>
      <w:bookmarkEnd w:id="559"/>
      <w:r>
        <w:rPr>
          <w:rFonts w:hint="eastAsia" w:ascii="宋体" w:hAnsi="宋体" w:eastAsia="宋体" w:cs="宋体"/>
          <w:b/>
          <w:bCs/>
          <w:color w:val="000000" w:themeColor="text1"/>
          <w:sz w:val="32"/>
          <w:szCs w:val="32"/>
          <w:highlight w:val="none"/>
          <w14:textFill>
            <w14:solidFill>
              <w14:schemeClr w14:val="tx1"/>
            </w14:solidFill>
          </w14:textFill>
        </w:rPr>
        <w:t>投标人2021年1月1日以来在国内具有一</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份</w:t>
      </w:r>
      <w:r>
        <w:rPr>
          <w:rFonts w:hint="eastAsia" w:ascii="宋体" w:hAnsi="宋体" w:eastAsia="宋体" w:cs="宋体"/>
          <w:b/>
          <w:bCs/>
          <w:color w:val="000000" w:themeColor="text1"/>
          <w:sz w:val="32"/>
          <w:szCs w:val="32"/>
          <w:highlight w:val="none"/>
          <w14:textFill>
            <w14:solidFill>
              <w14:schemeClr w14:val="tx1"/>
            </w14:solidFill>
          </w14:textFill>
        </w:rPr>
        <w:t>分布式光伏发电</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投资项目的</w:t>
      </w:r>
      <w:r>
        <w:rPr>
          <w:rFonts w:hint="eastAsia" w:ascii="宋体" w:hAnsi="宋体" w:eastAsia="宋体" w:cs="宋体"/>
          <w:b/>
          <w:bCs/>
          <w:color w:val="000000" w:themeColor="text1"/>
          <w:sz w:val="32"/>
          <w:szCs w:val="32"/>
          <w:highlight w:val="none"/>
          <w14:textFill>
            <w14:solidFill>
              <w14:schemeClr w14:val="tx1"/>
            </w14:solidFill>
          </w14:textFill>
        </w:rPr>
        <w:t>业绩（合同签订日期为2021年1月1日或以后</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，投标人为分布式光伏发电项目的投资方</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sz w:val="32"/>
          <w:szCs w:val="32"/>
          <w:highlight w:val="none"/>
          <w:lang w:eastAsia="zh-CN"/>
          <w14:textFill>
            <w14:solidFill>
              <w14:schemeClr w14:val="tx1"/>
            </w14:solidFill>
          </w14:textFill>
        </w:rPr>
        <w:t>】</w:t>
      </w:r>
    </w:p>
    <w:tbl>
      <w:tblPr>
        <w:tblStyle w:val="37"/>
        <w:tblW w:w="491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3"/>
        <w:gridCol w:w="2171"/>
        <w:gridCol w:w="2470"/>
        <w:gridCol w:w="1396"/>
        <w:gridCol w:w="1003"/>
        <w:gridCol w:w="1358"/>
      </w:tblGrid>
      <w:tr w14:paraId="158E8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14:paraId="78166C7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188" w:type="pct"/>
            <w:tcBorders>
              <w:top w:val="single" w:color="auto" w:sz="4" w:space="0"/>
              <w:left w:val="single" w:color="auto" w:sz="4" w:space="0"/>
              <w:bottom w:val="single" w:color="auto" w:sz="4" w:space="0"/>
              <w:right w:val="single" w:color="auto" w:sz="4" w:space="0"/>
            </w:tcBorders>
            <w:vAlign w:val="center"/>
          </w:tcPr>
          <w:p w14:paraId="028F055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项目名称</w:t>
            </w:r>
          </w:p>
        </w:tc>
        <w:tc>
          <w:tcPr>
            <w:tcW w:w="1352" w:type="pct"/>
            <w:tcBorders>
              <w:top w:val="single" w:color="auto" w:sz="4" w:space="0"/>
              <w:left w:val="single" w:color="auto" w:sz="4" w:space="0"/>
              <w:bottom w:val="single" w:color="auto" w:sz="4" w:space="0"/>
              <w:right w:val="single" w:color="auto" w:sz="4" w:space="0"/>
            </w:tcBorders>
            <w:vAlign w:val="center"/>
          </w:tcPr>
          <w:p w14:paraId="296E7C1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合同</w:t>
            </w:r>
            <w:r>
              <w:rPr>
                <w:rFonts w:hint="eastAsia" w:ascii="宋体" w:hAnsi="宋体" w:eastAsia="宋体" w:cs="宋体"/>
                <w:color w:val="000000" w:themeColor="text1"/>
                <w:szCs w:val="21"/>
                <w:highlight w:val="none"/>
                <w14:textFill>
                  <w14:solidFill>
                    <w14:schemeClr w14:val="tx1"/>
                  </w14:solidFill>
                </w14:textFill>
              </w:rPr>
              <w:t>服务内容</w:t>
            </w:r>
          </w:p>
        </w:tc>
        <w:tc>
          <w:tcPr>
            <w:tcW w:w="764" w:type="pct"/>
            <w:tcBorders>
              <w:top w:val="single" w:color="auto" w:sz="4" w:space="0"/>
              <w:left w:val="single" w:color="auto" w:sz="4" w:space="0"/>
              <w:bottom w:val="single" w:color="auto" w:sz="4" w:space="0"/>
              <w:right w:val="single" w:color="auto" w:sz="4" w:space="0"/>
            </w:tcBorders>
            <w:vAlign w:val="center"/>
          </w:tcPr>
          <w:p w14:paraId="48E526D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合同签订日期</w:t>
            </w:r>
          </w:p>
        </w:tc>
        <w:tc>
          <w:tcPr>
            <w:tcW w:w="549" w:type="pct"/>
            <w:tcBorders>
              <w:top w:val="single" w:color="auto" w:sz="4" w:space="0"/>
              <w:left w:val="single" w:color="auto" w:sz="4" w:space="0"/>
              <w:bottom w:val="single" w:color="auto" w:sz="4" w:space="0"/>
              <w:right w:val="single" w:color="auto" w:sz="4" w:space="0"/>
            </w:tcBorders>
            <w:vAlign w:val="center"/>
          </w:tcPr>
          <w:p w14:paraId="28220DE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合同期限</w:t>
            </w:r>
          </w:p>
        </w:tc>
        <w:tc>
          <w:tcPr>
            <w:tcW w:w="743" w:type="pct"/>
            <w:tcBorders>
              <w:top w:val="single" w:color="auto" w:sz="4" w:space="0"/>
              <w:left w:val="single" w:color="auto" w:sz="4" w:space="0"/>
              <w:bottom w:val="single" w:color="auto" w:sz="4" w:space="0"/>
              <w:right w:val="single" w:color="auto" w:sz="4" w:space="0"/>
            </w:tcBorders>
            <w:vAlign w:val="center"/>
          </w:tcPr>
          <w:p w14:paraId="5446079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业主联系人及电话</w:t>
            </w:r>
          </w:p>
        </w:tc>
      </w:tr>
      <w:tr w14:paraId="32067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14:paraId="08EE6BA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p>
        </w:tc>
        <w:tc>
          <w:tcPr>
            <w:tcW w:w="1188" w:type="pct"/>
            <w:tcBorders>
              <w:top w:val="single" w:color="auto" w:sz="4" w:space="0"/>
              <w:left w:val="single" w:color="auto" w:sz="4" w:space="0"/>
              <w:bottom w:val="single" w:color="auto" w:sz="4" w:space="0"/>
              <w:right w:val="single" w:color="auto" w:sz="4" w:space="0"/>
            </w:tcBorders>
            <w:vAlign w:val="center"/>
          </w:tcPr>
          <w:p w14:paraId="550C15E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1352" w:type="pct"/>
            <w:tcBorders>
              <w:top w:val="single" w:color="auto" w:sz="4" w:space="0"/>
              <w:left w:val="single" w:color="auto" w:sz="4" w:space="0"/>
              <w:bottom w:val="single" w:color="auto" w:sz="4" w:space="0"/>
              <w:right w:val="single" w:color="auto" w:sz="4" w:space="0"/>
            </w:tcBorders>
            <w:vAlign w:val="center"/>
          </w:tcPr>
          <w:p w14:paraId="1C39220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764" w:type="pct"/>
            <w:tcBorders>
              <w:top w:val="single" w:color="auto" w:sz="4" w:space="0"/>
              <w:left w:val="single" w:color="auto" w:sz="4" w:space="0"/>
              <w:bottom w:val="single" w:color="auto" w:sz="4" w:space="0"/>
              <w:right w:val="single" w:color="auto" w:sz="4" w:space="0"/>
            </w:tcBorders>
            <w:vAlign w:val="center"/>
          </w:tcPr>
          <w:p w14:paraId="640A37C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549" w:type="pct"/>
            <w:tcBorders>
              <w:top w:val="single" w:color="auto" w:sz="4" w:space="0"/>
              <w:left w:val="single" w:color="auto" w:sz="4" w:space="0"/>
              <w:bottom w:val="single" w:color="auto" w:sz="4" w:space="0"/>
              <w:right w:val="single" w:color="auto" w:sz="4" w:space="0"/>
            </w:tcBorders>
            <w:vAlign w:val="center"/>
          </w:tcPr>
          <w:p w14:paraId="5E837DC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743" w:type="pct"/>
            <w:tcBorders>
              <w:top w:val="single" w:color="auto" w:sz="4" w:space="0"/>
              <w:left w:val="single" w:color="auto" w:sz="4" w:space="0"/>
              <w:bottom w:val="single" w:color="auto" w:sz="4" w:space="0"/>
              <w:right w:val="single" w:color="auto" w:sz="4" w:space="0"/>
            </w:tcBorders>
            <w:vAlign w:val="center"/>
          </w:tcPr>
          <w:p w14:paraId="33D1B3C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14:paraId="538E7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14:paraId="5E009B5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188" w:type="pct"/>
            <w:tcBorders>
              <w:top w:val="single" w:color="auto" w:sz="4" w:space="0"/>
              <w:left w:val="single" w:color="auto" w:sz="4" w:space="0"/>
              <w:bottom w:val="single" w:color="auto" w:sz="4" w:space="0"/>
              <w:right w:val="single" w:color="auto" w:sz="4" w:space="0"/>
            </w:tcBorders>
            <w:vAlign w:val="center"/>
          </w:tcPr>
          <w:p w14:paraId="16DD24D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1352" w:type="pct"/>
            <w:tcBorders>
              <w:top w:val="single" w:color="auto" w:sz="4" w:space="0"/>
              <w:left w:val="single" w:color="auto" w:sz="4" w:space="0"/>
              <w:bottom w:val="single" w:color="auto" w:sz="4" w:space="0"/>
              <w:right w:val="single" w:color="auto" w:sz="4" w:space="0"/>
            </w:tcBorders>
            <w:vAlign w:val="center"/>
          </w:tcPr>
          <w:p w14:paraId="65A2A11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764" w:type="pct"/>
            <w:tcBorders>
              <w:top w:val="single" w:color="auto" w:sz="4" w:space="0"/>
              <w:left w:val="single" w:color="auto" w:sz="4" w:space="0"/>
              <w:bottom w:val="single" w:color="auto" w:sz="4" w:space="0"/>
              <w:right w:val="single" w:color="auto" w:sz="4" w:space="0"/>
            </w:tcBorders>
            <w:vAlign w:val="center"/>
          </w:tcPr>
          <w:p w14:paraId="398C3DE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549" w:type="pct"/>
            <w:tcBorders>
              <w:top w:val="single" w:color="auto" w:sz="4" w:space="0"/>
              <w:left w:val="single" w:color="auto" w:sz="4" w:space="0"/>
              <w:bottom w:val="single" w:color="auto" w:sz="4" w:space="0"/>
              <w:right w:val="single" w:color="auto" w:sz="4" w:space="0"/>
            </w:tcBorders>
            <w:vAlign w:val="center"/>
          </w:tcPr>
          <w:p w14:paraId="7545636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743" w:type="pct"/>
            <w:tcBorders>
              <w:top w:val="single" w:color="auto" w:sz="4" w:space="0"/>
              <w:left w:val="single" w:color="auto" w:sz="4" w:space="0"/>
              <w:bottom w:val="single" w:color="auto" w:sz="4" w:space="0"/>
              <w:right w:val="single" w:color="auto" w:sz="4" w:space="0"/>
            </w:tcBorders>
            <w:vAlign w:val="center"/>
          </w:tcPr>
          <w:p w14:paraId="6982656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r>
    </w:tbl>
    <w:p w14:paraId="789293DB">
      <w:pPr>
        <w:spacing w:line="360" w:lineRule="auto"/>
        <w:ind w:left="424" w:hanging="424" w:hangingChars="201"/>
        <w:outlineLvl w:val="9"/>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14:paraId="2341E71A">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（1）作为投标人资格条件证明的业绩放置在此处。</w:t>
      </w:r>
    </w:p>
    <w:p w14:paraId="31C46811">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业绩须附合同复印件</w:t>
      </w:r>
      <w:r>
        <w:rPr>
          <w:rFonts w:hint="eastAsia" w:ascii="宋体" w:hAnsi="宋体" w:eastAsia="宋体" w:cs="宋体"/>
          <w:b/>
          <w:color w:val="000000" w:themeColor="text1"/>
          <w:sz w:val="21"/>
          <w:szCs w:val="21"/>
          <w:highlight w:val="none"/>
          <w:lang w:eastAsia="zh-CN"/>
          <w14:textFill>
            <w14:solidFill>
              <w14:schemeClr w14:val="tx1"/>
            </w14:solidFill>
          </w14:textFill>
        </w:rPr>
        <w:t>和并网证明文件复印件</w:t>
      </w:r>
      <w:r>
        <w:rPr>
          <w:rFonts w:hint="eastAsia" w:ascii="宋体" w:hAnsi="宋体" w:eastAsia="宋体" w:cs="宋体"/>
          <w:b/>
          <w:color w:val="000000" w:themeColor="text1"/>
          <w:sz w:val="21"/>
          <w:szCs w:val="21"/>
          <w:highlight w:val="none"/>
          <w:lang w:eastAsia="zh-CN"/>
          <w14:textFill>
            <w14:solidFill>
              <w14:schemeClr w14:val="tx1"/>
            </w14:solidFill>
          </w14:textFill>
        </w:rPr>
        <w:t>。</w:t>
      </w:r>
    </w:p>
    <w:p w14:paraId="7B018D68">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（3）若合同无法反映资格要求条件(</w:t>
      </w:r>
      <w:r>
        <w:rPr>
          <w:rFonts w:hint="eastAsia" w:ascii="宋体" w:hAnsi="宋体" w:eastAsia="宋体" w:cs="宋体"/>
          <w:b/>
          <w:color w:val="000000" w:themeColor="text1"/>
          <w:szCs w:val="21"/>
          <w:highlight w:val="none"/>
          <w:lang w:val="en-US" w:eastAsia="zh-CN"/>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合同签订日期为2021年1月1日或以后</w:t>
      </w:r>
      <w:r>
        <w:rPr>
          <w:rFonts w:hint="eastAsia" w:ascii="宋体" w:hAnsi="宋体" w:eastAsia="宋体" w:cs="宋体"/>
          <w:b/>
          <w:color w:val="000000" w:themeColor="text1"/>
          <w:szCs w:val="21"/>
          <w:highlight w:val="none"/>
          <w:lang w:val="en-US" w:eastAsia="zh-CN"/>
          <w14:textFill>
            <w14:solidFill>
              <w14:schemeClr w14:val="tx1"/>
            </w14:solidFill>
          </w14:textFill>
        </w:rPr>
        <w:t>；2.投标人为分布式光伏发电项目的投资方</w:t>
      </w:r>
      <w:r>
        <w:rPr>
          <w:rFonts w:hint="eastAsia" w:ascii="宋体" w:hAnsi="宋体" w:eastAsia="宋体" w:cs="宋体"/>
          <w:b/>
          <w:color w:val="000000" w:themeColor="text1"/>
          <w:szCs w:val="21"/>
          <w:highlight w:val="none"/>
          <w:lang w:val="zh-CN"/>
          <w14:textFill>
            <w14:solidFill>
              <w14:schemeClr w14:val="tx1"/>
            </w14:solidFill>
          </w14:textFill>
        </w:rPr>
        <w:t>)，还需提供合同服务购买方出具的书面补充说明文件复印件（书面补充说明文件复印件能显示合同服务购买方公章）或发改备案（核准）的证明文件复印件作为辅助证明。</w:t>
      </w:r>
    </w:p>
    <w:p w14:paraId="27935A7E">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bookmarkStart w:id="565" w:name="_Toc24862"/>
      <w:bookmarkStart w:id="566" w:name="_Toc12931"/>
      <w:bookmarkStart w:id="567" w:name="_Toc20010"/>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4</w:t>
      </w:r>
      <w:r>
        <w:rPr>
          <w:rFonts w:hint="eastAsia" w:ascii="宋体" w:hAnsi="宋体" w:eastAsia="宋体" w:cs="宋体"/>
          <w:b/>
          <w:color w:val="000000" w:themeColor="text1"/>
          <w:szCs w:val="21"/>
          <w:highlight w:val="none"/>
          <w:lang w:val="zh-CN"/>
          <w14:textFill>
            <w14:solidFill>
              <w14:schemeClr w14:val="tx1"/>
            </w14:solidFill>
          </w14:textFill>
        </w:rPr>
        <w:t>）</w:t>
      </w:r>
      <w:bookmarkEnd w:id="565"/>
      <w:bookmarkEnd w:id="566"/>
      <w:bookmarkEnd w:id="567"/>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p>
    <w:p w14:paraId="107D028E">
      <w:pPr>
        <w:spacing w:line="360" w:lineRule="auto"/>
        <w:ind w:left="605" w:hanging="605" w:hangingChars="201"/>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4887161D">
      <w:pPr>
        <w:tabs>
          <w:tab w:val="left" w:pos="567"/>
        </w:tabs>
        <w:autoSpaceDE w:val="0"/>
        <w:autoSpaceDN w:val="0"/>
        <w:adjustRightInd w:val="0"/>
        <w:spacing w:line="360" w:lineRule="auto"/>
        <w:jc w:val="left"/>
        <w:outlineLvl w:val="9"/>
        <w:rPr>
          <w:rFonts w:hint="eastAsia" w:ascii="宋体" w:hAnsi="宋体" w:eastAsia="宋体" w:cs="宋体"/>
          <w:b/>
          <w:bCs/>
          <w:color w:val="000000" w:themeColor="text1"/>
          <w:sz w:val="32"/>
          <w:szCs w:val="32"/>
          <w:highlight w:val="none"/>
          <w:lang w:val="zh-CN"/>
          <w14:textFill>
            <w14:solidFill>
              <w14:schemeClr w14:val="tx1"/>
            </w14:solidFill>
          </w14:textFill>
        </w:rPr>
      </w:pPr>
      <w:bookmarkStart w:id="568" w:name="_Toc21843"/>
      <w:bookmarkStart w:id="569" w:name="_Toc7508"/>
      <w:bookmarkStart w:id="570" w:name="_Toc8121"/>
      <w:r>
        <w:rPr>
          <w:rFonts w:hint="eastAsia" w:ascii="宋体" w:hAnsi="宋体" w:eastAsia="宋体" w:cs="宋体"/>
          <w:b/>
          <w:color w:val="000000" w:themeColor="text1"/>
          <w:kern w:val="0"/>
          <w:sz w:val="30"/>
          <w:szCs w:val="30"/>
          <w:highlight w:val="none"/>
          <w14:textFill>
            <w14:solidFill>
              <w14:schemeClr w14:val="tx1"/>
            </w14:solidFill>
          </w14:textFill>
        </w:rPr>
        <w:t>5.</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最近3年投标人牵涉的其他（失信和违法）处罚说明格式</w:t>
      </w:r>
      <w:bookmarkEnd w:id="560"/>
      <w:bookmarkEnd w:id="561"/>
      <w:bookmarkEnd w:id="562"/>
      <w:bookmarkEnd w:id="563"/>
      <w:bookmarkEnd w:id="564"/>
      <w:bookmarkEnd w:id="568"/>
      <w:bookmarkEnd w:id="569"/>
      <w:bookmarkEnd w:id="570"/>
    </w:p>
    <w:p w14:paraId="5A63C314">
      <w:pPr>
        <w:autoSpaceDE w:val="0"/>
        <w:autoSpaceDN w:val="0"/>
        <w:adjustRightInd w:val="0"/>
        <w:spacing w:line="360" w:lineRule="auto"/>
        <w:jc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C59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76F5425">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2B7C356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5DFA5F9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7B77E53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6C02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50AB3296">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15910FF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16362E7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27C851E8">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6163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1388BCE">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0C3EDA1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1A3780D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788185B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7C67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7024384">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vAlign w:val="center"/>
          </w:tcPr>
          <w:p w14:paraId="44F6783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02196B5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1B63237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bl>
    <w:p w14:paraId="499AD71C">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209AE796">
      <w:pPr>
        <w:autoSpaceDE w:val="0"/>
        <w:autoSpaceDN w:val="0"/>
        <w:adjustRightInd w:val="0"/>
        <w:spacing w:line="360" w:lineRule="auto"/>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4E8F120E">
      <w:pPr>
        <w:autoSpaceDE w:val="0"/>
        <w:autoSpaceDN w:val="0"/>
        <w:adjustRightInd w:val="0"/>
        <w:ind w:right="-23" w:rightChars="-11"/>
        <w:jc w:val="left"/>
        <w:outlineLvl w:val="9"/>
        <w:rPr>
          <w:rFonts w:hint="eastAsia" w:ascii="宋体" w:hAnsi="宋体" w:eastAsia="宋体" w:cs="宋体"/>
          <w:b/>
          <w:bCs/>
          <w:color w:val="000000" w:themeColor="text1"/>
          <w:kern w:val="0"/>
          <w:szCs w:val="21"/>
          <w:highlight w:val="none"/>
          <w:lang w:val="zh-CN"/>
          <w14:textFill>
            <w14:solidFill>
              <w14:schemeClr w14:val="tx1"/>
            </w14:solidFill>
          </w14:textFill>
        </w:rPr>
      </w:pPr>
    </w:p>
    <w:p w14:paraId="64986694">
      <w:pPr>
        <w:autoSpaceDE w:val="0"/>
        <w:autoSpaceDN w:val="0"/>
        <w:adjustRightInd w:val="0"/>
        <w:spacing w:line="360" w:lineRule="auto"/>
        <w:jc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1E242FD5">
      <w:pPr>
        <w:spacing w:line="360" w:lineRule="auto"/>
        <w:ind w:firstLine="494" w:firstLineChars="206"/>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50850C81">
      <w:pPr>
        <w:spacing w:line="360" w:lineRule="auto"/>
        <w:ind w:firstLine="494" w:firstLineChars="206"/>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63872BB5">
      <w:pPr>
        <w:spacing w:line="360" w:lineRule="auto"/>
        <w:ind w:firstLine="494" w:firstLineChars="206"/>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74F90033">
      <w:pPr>
        <w:spacing w:line="360" w:lineRule="auto"/>
        <w:ind w:right="368" w:rightChars="175" w:firstLine="5460" w:firstLineChars="2600"/>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55D94619">
      <w:pPr>
        <w:autoSpaceDE w:val="0"/>
        <w:autoSpaceDN w:val="0"/>
        <w:adjustRightInd w:val="0"/>
        <w:spacing w:line="360" w:lineRule="auto"/>
        <w:ind w:right="781" w:rightChars="372" w:firstLine="2811" w:firstLineChars="1339"/>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日  期：   年  月  日</w:t>
      </w:r>
    </w:p>
    <w:p w14:paraId="3EFB8EA0">
      <w:pPr>
        <w:outlineLvl w:val="9"/>
        <w:rPr>
          <w:rFonts w:hint="eastAsia" w:ascii="宋体" w:hAnsi="宋体" w:eastAsia="宋体" w:cs="宋体"/>
          <w:color w:val="000000" w:themeColor="text1"/>
          <w:szCs w:val="24"/>
          <w:highlight w:val="none"/>
          <w:lang w:val="zh-CN"/>
          <w14:textFill>
            <w14:solidFill>
              <w14:schemeClr w14:val="tx1"/>
            </w14:solidFill>
          </w14:textFill>
        </w:rPr>
      </w:pPr>
      <w:bookmarkStart w:id="571" w:name="_Toc533708126"/>
      <w:bookmarkStart w:id="572" w:name="_Toc94107215"/>
      <w:bookmarkStart w:id="573" w:name="_Toc2031_WPSOffice_Level2"/>
      <w:bookmarkStart w:id="574" w:name="_Toc104991881"/>
      <w:bookmarkStart w:id="575" w:name="_Toc486167714"/>
      <w:bookmarkStart w:id="576" w:name="_Toc102860079"/>
      <w:bookmarkStart w:id="577" w:name="_Toc142508374"/>
      <w:bookmarkStart w:id="578" w:name="_Toc140596934"/>
      <w:bookmarkStart w:id="579" w:name="_Toc30939"/>
      <w:bookmarkStart w:id="580" w:name="_Toc1977731"/>
      <w:bookmarkStart w:id="581" w:name="_Toc6412"/>
      <w:bookmarkStart w:id="582" w:name="_Toc102860423"/>
      <w:r>
        <w:rPr>
          <w:rFonts w:hint="eastAsia" w:ascii="宋体" w:hAnsi="宋体" w:eastAsia="宋体" w:cs="宋体"/>
          <w:color w:val="000000" w:themeColor="text1"/>
          <w:szCs w:val="24"/>
          <w:highlight w:val="none"/>
          <w:lang w:val="zh-CN"/>
          <w14:textFill>
            <w14:solidFill>
              <w14:schemeClr w14:val="tx1"/>
            </w14:solidFill>
          </w14:textFill>
        </w:rPr>
        <w:br w:type="page"/>
      </w:r>
    </w:p>
    <w:p w14:paraId="0FFCE44B">
      <w:pPr>
        <w:tabs>
          <w:tab w:val="left" w:pos="567"/>
        </w:tabs>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u w:val="single"/>
          <w14:textFill>
            <w14:solidFill>
              <w14:schemeClr w14:val="tx1"/>
            </w14:solidFill>
          </w14:textFill>
        </w:rPr>
      </w:pPr>
      <w:bookmarkStart w:id="583" w:name="_Toc17508"/>
      <w:r>
        <w:rPr>
          <w:rFonts w:hint="eastAsia" w:ascii="宋体" w:hAnsi="宋体" w:eastAsia="宋体" w:cs="宋体"/>
          <w:b/>
          <w:color w:val="000000" w:themeColor="text1"/>
          <w:sz w:val="32"/>
          <w:szCs w:val="32"/>
          <w:highlight w:val="none"/>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571"/>
      <w:bookmarkEnd w:id="572"/>
      <w:bookmarkEnd w:id="573"/>
      <w:bookmarkEnd w:id="574"/>
      <w:bookmarkEnd w:id="575"/>
      <w:bookmarkEnd w:id="576"/>
      <w:bookmarkEnd w:id="577"/>
      <w:bookmarkEnd w:id="578"/>
      <w:bookmarkEnd w:id="579"/>
      <w:bookmarkEnd w:id="580"/>
      <w:bookmarkEnd w:id="581"/>
      <w:bookmarkEnd w:id="582"/>
      <w:bookmarkEnd w:id="583"/>
    </w:p>
    <w:p w14:paraId="48F7BF12">
      <w:pPr>
        <w:autoSpaceDE w:val="0"/>
        <w:autoSpaceDN w:val="0"/>
        <w:adjustRightInd w:val="0"/>
        <w:spacing w:line="360" w:lineRule="auto"/>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bookmarkStart w:id="584"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584"/>
    </w:p>
    <w:p w14:paraId="709D2C3D">
      <w:pPr>
        <w:autoSpaceDE w:val="0"/>
        <w:autoSpaceDN w:val="0"/>
        <w:adjustRightInd w:val="0"/>
        <w:spacing w:line="360" w:lineRule="auto"/>
        <w:ind w:firstLine="42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29FAC22B">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77E4425B">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1BCB0DB2">
      <w:pPr>
        <w:autoSpaceDE w:val="0"/>
        <w:autoSpaceDN w:val="0"/>
        <w:adjustRightInd w:val="0"/>
        <w:spacing w:line="360" w:lineRule="auto"/>
        <w:ind w:firstLine="66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471E8C62">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5535DFEA">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0482DBD2">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5DB876E7">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14:paraId="37DE39E3">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2BF70BDE">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59CB56BD">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02419686">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49DAF20B">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035DACC4">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693D9BBA">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65F46EE4">
      <w:pPr>
        <w:autoSpaceDE w:val="0"/>
        <w:autoSpaceDN w:val="0"/>
        <w:adjustRightInd w:val="0"/>
        <w:spacing w:line="360" w:lineRule="auto"/>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2243D2E9">
      <w:pPr>
        <w:autoSpaceDE w:val="0"/>
        <w:autoSpaceDN w:val="0"/>
        <w:adjustRightInd w:val="0"/>
        <w:spacing w:line="360" w:lineRule="auto"/>
        <w:ind w:firstLine="420"/>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22524CB1">
      <w:pPr>
        <w:autoSpaceDE w:val="0"/>
        <w:autoSpaceDN w:val="0"/>
        <w:adjustRightInd w:val="0"/>
        <w:spacing w:line="360" w:lineRule="auto"/>
        <w:ind w:firstLine="630" w:firstLineChars="3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6C206CB8">
      <w:pPr>
        <w:autoSpaceDE w:val="0"/>
        <w:autoSpaceDN w:val="0"/>
        <w:adjustRightInd w:val="0"/>
        <w:spacing w:line="360" w:lineRule="auto"/>
        <w:ind w:firstLine="1155" w:firstLineChars="55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207C8DB7">
      <w:pPr>
        <w:autoSpaceDE w:val="0"/>
        <w:autoSpaceDN w:val="0"/>
        <w:adjustRightInd w:val="0"/>
        <w:spacing w:line="360" w:lineRule="auto"/>
        <w:ind w:firstLine="630" w:firstLineChars="3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4FAFBF7A">
      <w:pPr>
        <w:autoSpaceDE w:val="0"/>
        <w:autoSpaceDN w:val="0"/>
        <w:adjustRightInd w:val="0"/>
        <w:spacing w:line="360" w:lineRule="auto"/>
        <w:ind w:firstLine="1155" w:firstLineChars="55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2974D93B">
      <w:pPr>
        <w:autoSpaceDE w:val="0"/>
        <w:autoSpaceDN w:val="0"/>
        <w:adjustRightInd w:val="0"/>
        <w:spacing w:line="360" w:lineRule="auto"/>
        <w:ind w:left="836" w:leftChars="137" w:hanging="548" w:hangingChars="261"/>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6E293753">
      <w:pPr>
        <w:autoSpaceDE w:val="0"/>
        <w:autoSpaceDN w:val="0"/>
        <w:adjustRightInd w:val="0"/>
        <w:spacing w:line="360" w:lineRule="auto"/>
        <w:ind w:firstLine="420" w:firstLineChars="2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4B1EBE3C">
      <w:pPr>
        <w:autoSpaceDE w:val="0"/>
        <w:autoSpaceDN w:val="0"/>
        <w:adjustRightInd w:val="0"/>
        <w:spacing w:line="360" w:lineRule="auto"/>
        <w:ind w:firstLine="420" w:firstLineChars="200"/>
        <w:outlineLvl w:val="9"/>
        <w:rPr>
          <w:rFonts w:hint="eastAsia" w:ascii="宋体" w:hAnsi="宋体" w:eastAsia="宋体" w:cs="宋体"/>
          <w:color w:val="000000" w:themeColor="text1"/>
          <w:szCs w:val="24"/>
          <w:highlight w:val="none"/>
          <w14:textFill>
            <w14:solidFill>
              <w14:schemeClr w14:val="tx1"/>
            </w14:solidFill>
          </w14:textFill>
        </w:rPr>
      </w:pPr>
    </w:p>
    <w:p w14:paraId="175F3DB4">
      <w:pPr>
        <w:autoSpaceDE w:val="0"/>
        <w:autoSpaceDN w:val="0"/>
        <w:adjustRightInd w:val="0"/>
        <w:spacing w:line="360" w:lineRule="auto"/>
        <w:ind w:right="368" w:rightChars="175"/>
        <w:jc w:val="right"/>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7E88876B">
      <w:pPr>
        <w:autoSpaceDE w:val="0"/>
        <w:autoSpaceDN w:val="0"/>
        <w:adjustRightInd w:val="0"/>
        <w:spacing w:line="360" w:lineRule="auto"/>
        <w:ind w:right="368" w:rightChars="175" w:firstLine="6237"/>
        <w:jc w:val="left"/>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0E98983E">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585" w:name="_Toc102860424"/>
      <w:bookmarkStart w:id="586" w:name="_Toc10443"/>
      <w:bookmarkStart w:id="587" w:name="_Toc104991882"/>
      <w:bookmarkStart w:id="588" w:name="_Toc94107216"/>
      <w:bookmarkStart w:id="589" w:name="_Toc140596935"/>
      <w:bookmarkStart w:id="590" w:name="_Toc4023"/>
      <w:bookmarkStart w:id="591" w:name="_Toc102860080"/>
      <w:bookmarkStart w:id="592" w:name="_Toc142508375"/>
      <w:bookmarkStart w:id="593" w:name="_Toc29014"/>
      <w:bookmarkStart w:id="594" w:name="_Toc1977733"/>
      <w:bookmarkStart w:id="595" w:name="_Toc9051_WPSOffice_Level2"/>
      <w:bookmarkStart w:id="596" w:name="_Toc486167715"/>
      <w:bookmarkStart w:id="597" w:name="_Toc533708128"/>
      <w:r>
        <w:rPr>
          <w:rFonts w:hint="eastAsia" w:ascii="宋体" w:hAnsi="宋体" w:eastAsia="宋体" w:cs="宋体"/>
          <w:b/>
          <w:color w:val="000000" w:themeColor="text1"/>
          <w:sz w:val="32"/>
          <w:szCs w:val="32"/>
          <w:highlight w:val="none"/>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585"/>
      <w:bookmarkEnd w:id="586"/>
      <w:bookmarkEnd w:id="587"/>
      <w:bookmarkEnd w:id="588"/>
      <w:bookmarkEnd w:id="589"/>
      <w:bookmarkEnd w:id="590"/>
      <w:bookmarkEnd w:id="591"/>
      <w:bookmarkEnd w:id="592"/>
      <w:bookmarkEnd w:id="593"/>
    </w:p>
    <w:p w14:paraId="275139D1">
      <w:pPr>
        <w:autoSpaceDE w:val="0"/>
        <w:autoSpaceDN w:val="0"/>
        <w:adjustRightInd w:val="0"/>
        <w:spacing w:line="360" w:lineRule="auto"/>
        <w:jc w:val="center"/>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2CD5FCA9">
      <w:pPr>
        <w:autoSpaceDE w:val="0"/>
        <w:autoSpaceDN w:val="0"/>
        <w:adjustRightInd w:val="0"/>
        <w:spacing w:line="360" w:lineRule="auto"/>
        <w:jc w:val="righ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D15A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FB3E6F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70883CB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3011FE0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33E569C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74AF18B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47F55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EFD5CCA">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1944" w:type="dxa"/>
            <w:vAlign w:val="center"/>
          </w:tcPr>
          <w:p w14:paraId="014F08B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5A51EBD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0E29A99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64FD428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7007C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931FFB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r>
              <w:rPr>
                <w:rFonts w:hint="eastAsia" w:ascii="宋体" w:hAnsi="宋体" w:eastAsia="宋体" w:cs="宋体"/>
                <w:color w:val="000000" w:themeColor="text1"/>
                <w:kern w:val="0"/>
                <w:szCs w:val="21"/>
                <w:highlight w:val="none"/>
                <w:lang w:val="en-US" w:eastAsia="zh-CN"/>
                <w14:textFill>
                  <w14:solidFill>
                    <w14:schemeClr w14:val="tx1"/>
                  </w14:solidFill>
                </w14:textFill>
              </w:rPr>
              <w:t>22</w:t>
            </w:r>
          </w:p>
        </w:tc>
        <w:tc>
          <w:tcPr>
            <w:tcW w:w="1944" w:type="dxa"/>
            <w:vAlign w:val="center"/>
          </w:tcPr>
          <w:p w14:paraId="3952490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EE9EDBA">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713" w:type="dxa"/>
          </w:tcPr>
          <w:p w14:paraId="2DB0E38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64D0452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3B9C0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251EA48">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r>
              <w:rPr>
                <w:rFonts w:hint="eastAsia" w:ascii="宋体" w:hAnsi="宋体" w:eastAsia="宋体" w:cs="宋体"/>
                <w:color w:val="000000" w:themeColor="text1"/>
                <w:kern w:val="0"/>
                <w:szCs w:val="21"/>
                <w:highlight w:val="none"/>
                <w:lang w:val="en-US" w:eastAsia="zh-CN"/>
                <w14:textFill>
                  <w14:solidFill>
                    <w14:schemeClr w14:val="tx1"/>
                  </w14:solidFill>
                </w14:textFill>
              </w:rPr>
              <w:t>23</w:t>
            </w:r>
          </w:p>
        </w:tc>
        <w:tc>
          <w:tcPr>
            <w:tcW w:w="1944" w:type="dxa"/>
            <w:vAlign w:val="center"/>
          </w:tcPr>
          <w:p w14:paraId="38D2552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E25900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713" w:type="dxa"/>
          </w:tcPr>
          <w:p w14:paraId="23DA2EC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06CD060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6D5CD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0DCBE9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5B7220E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59B6E4C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bl>
    <w:p w14:paraId="0B5BFC86">
      <w:pPr>
        <w:spacing w:line="360" w:lineRule="auto"/>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AEF4A8C">
      <w:pPr>
        <w:autoSpaceDE w:val="0"/>
        <w:autoSpaceDN w:val="0"/>
        <w:adjustRightInd w:val="0"/>
        <w:spacing w:line="360" w:lineRule="auto"/>
        <w:ind w:firstLine="5409" w:firstLineChars="2576"/>
        <w:outlineLvl w:val="9"/>
        <w:rPr>
          <w:rFonts w:hint="eastAsia" w:ascii="宋体" w:hAnsi="宋体" w:eastAsia="宋体" w:cs="宋体"/>
          <w:color w:val="000000" w:themeColor="text1"/>
          <w:szCs w:val="24"/>
          <w:highlight w:val="none"/>
          <w:lang w:val="zh-CN"/>
          <w14:textFill>
            <w14:solidFill>
              <w14:schemeClr w14:val="tx1"/>
            </w14:solidFill>
          </w14:textFill>
        </w:rPr>
      </w:pPr>
    </w:p>
    <w:p w14:paraId="75A4E3A3">
      <w:pPr>
        <w:autoSpaceDE w:val="0"/>
        <w:autoSpaceDN w:val="0"/>
        <w:adjustRightInd w:val="0"/>
        <w:spacing w:line="360" w:lineRule="auto"/>
        <w:ind w:firstLine="5409" w:firstLineChars="2576"/>
        <w:outlineLvl w:val="9"/>
        <w:rPr>
          <w:rFonts w:hint="eastAsia" w:ascii="宋体" w:hAnsi="宋体" w:eastAsia="宋体" w:cs="宋体"/>
          <w:color w:val="000000" w:themeColor="text1"/>
          <w:szCs w:val="24"/>
          <w:highlight w:val="none"/>
          <w:lang w:val="zh-CN"/>
          <w14:textFill>
            <w14:solidFill>
              <w14:schemeClr w14:val="tx1"/>
            </w14:solidFill>
          </w14:textFill>
        </w:rPr>
      </w:pPr>
    </w:p>
    <w:p w14:paraId="17BE1FB4">
      <w:pPr>
        <w:autoSpaceDE w:val="0"/>
        <w:autoSpaceDN w:val="0"/>
        <w:adjustRightInd w:val="0"/>
        <w:spacing w:line="360" w:lineRule="auto"/>
        <w:ind w:firstLine="5409" w:firstLineChars="2576"/>
        <w:outlineLvl w:val="9"/>
        <w:rPr>
          <w:rFonts w:hint="eastAsia"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65A9F663">
      <w:pPr>
        <w:autoSpaceDE w:val="0"/>
        <w:autoSpaceDN w:val="0"/>
        <w:adjustRightInd w:val="0"/>
        <w:spacing w:line="360" w:lineRule="auto"/>
        <w:ind w:firstLine="6249" w:firstLineChars="2976"/>
        <w:outlineLvl w:val="9"/>
        <w:rPr>
          <w:rFonts w:hint="eastAsia" w:ascii="宋体" w:hAnsi="宋体" w:eastAsia="宋体" w:cs="宋体"/>
          <w:b/>
          <w:bCs/>
          <w:color w:val="000000" w:themeColor="text1"/>
          <w:kern w:val="0"/>
          <w:szCs w:val="21"/>
          <w:highlight w:val="none"/>
          <w14:textFill>
            <w14:solidFill>
              <w14:schemeClr w14:val="tx1"/>
            </w14:solidFill>
          </w14:textFill>
        </w:rPr>
        <w:sectPr>
          <w:footerReference r:id="rId1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594"/>
    <w:bookmarkEnd w:id="595"/>
    <w:bookmarkEnd w:id="596"/>
    <w:bookmarkEnd w:id="597"/>
    <w:p w14:paraId="1B057092">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bookmarkStart w:id="598" w:name="_Toc104991883"/>
      <w:bookmarkStart w:id="599" w:name="_Toc26821"/>
      <w:bookmarkStart w:id="600" w:name="_Toc533708130"/>
      <w:bookmarkStart w:id="601" w:name="_Toc333"/>
      <w:bookmarkStart w:id="602" w:name="_Toc102860081"/>
      <w:bookmarkStart w:id="603" w:name="_Toc739_WPSOffice_Level2"/>
      <w:bookmarkStart w:id="604" w:name="_Toc142508376"/>
      <w:bookmarkStart w:id="605" w:name="_Toc486167716"/>
      <w:bookmarkStart w:id="606" w:name="_Toc140596936"/>
      <w:bookmarkStart w:id="607" w:name="_Toc102860425"/>
      <w:bookmarkStart w:id="608" w:name="_Toc94107217"/>
      <w:bookmarkStart w:id="609" w:name="_Toc17995"/>
      <w:bookmarkStart w:id="610" w:name="_Toc1977736"/>
      <w:r>
        <w:rPr>
          <w:rFonts w:hint="eastAsia" w:ascii="宋体" w:hAnsi="宋体" w:eastAsia="宋体" w:cs="宋体"/>
          <w:b/>
          <w:color w:val="000000" w:themeColor="text1"/>
          <w:kern w:val="0"/>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、标准化体系认证</w:t>
      </w:r>
    </w:p>
    <w:p w14:paraId="6C0836F5">
      <w:pPr>
        <w:tabs>
          <w:tab w:val="left" w:pos="567"/>
        </w:tabs>
        <w:autoSpaceDE w:val="0"/>
        <w:autoSpaceDN w:val="0"/>
        <w:adjustRightInd w:val="0"/>
        <w:spacing w:line="360" w:lineRule="auto"/>
        <w:ind w:firstLine="420" w:firstLineChars="200"/>
        <w:outlineLvl w:val="9"/>
        <w:rPr>
          <w:rFonts w:hint="eastAsia" w:ascii="宋体" w:hAnsi="宋体" w:eastAsia="宋体" w:cs="宋体"/>
          <w:b w:val="0"/>
          <w:bCs/>
          <w:color w:val="000000" w:themeColor="text1"/>
          <w:kern w:val="0"/>
          <w:szCs w:val="21"/>
          <w:highlight w:val="none"/>
          <w14:textFill>
            <w14:solidFill>
              <w14:schemeClr w14:val="tx1"/>
            </w14:solidFill>
          </w14:textFill>
        </w:rPr>
      </w:pPr>
      <w:r>
        <w:rPr>
          <w:rFonts w:hint="eastAsia" w:ascii="宋体" w:hAnsi="宋体" w:eastAsia="宋体" w:cs="宋体"/>
          <w:b w:val="0"/>
          <w:bCs/>
          <w:color w:val="000000" w:themeColor="text1"/>
          <w:kern w:val="0"/>
          <w:szCs w:val="21"/>
          <w:highlight w:val="none"/>
          <w14:textFill>
            <w14:solidFill>
              <w14:schemeClr w14:val="tx1"/>
            </w14:solidFill>
          </w14:textFill>
        </w:rPr>
        <w:t>备注：投标人应提供证书复印件及能显示证书有效状态的全国认证认可信息公共服务平台（http://cx.cnca.cn/)查询结果凭证{凭证界面需显示有“全国认证认可信息公共服务平台”或“认证证书（需显示网址cx.cnca.cn）”}。</w:t>
      </w:r>
    </w:p>
    <w:p w14:paraId="7F816D83">
      <w:pPr>
        <w:autoSpaceDE/>
        <w:autoSpaceDN/>
        <w:adjustRightInd/>
        <w:spacing w:line="240" w:lineRule="auto"/>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EF7031C">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九、</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5944CDC9">
      <w:pPr>
        <w:autoSpaceDE w:val="0"/>
        <w:autoSpaceDN w:val="0"/>
        <w:adjustRightInd w:val="0"/>
        <w:spacing w:line="360" w:lineRule="auto"/>
        <w:jc w:val="center"/>
        <w:outlineLvl w:val="9"/>
        <w:rPr>
          <w:rFonts w:hint="eastAsia" w:ascii="宋体" w:hAnsi="宋体" w:eastAsia="宋体" w:cs="宋体"/>
          <w:b/>
          <w:bCs/>
          <w:color w:val="000000" w:themeColor="text1"/>
          <w:kern w:val="0"/>
          <w:sz w:val="28"/>
          <w:szCs w:val="30"/>
          <w:highlight w:val="none"/>
          <w:lang w:val="zh-CN"/>
          <w14:textFill>
            <w14:solidFill>
              <w14:schemeClr w14:val="tx1"/>
            </w14:solidFill>
          </w14:textFill>
        </w:rPr>
      </w:pPr>
      <w:bookmarkStart w:id="611"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东莞市石鼓净水有限公司污水处理厂分布式光伏发电项目合同条款偏离表</w:t>
      </w:r>
      <w:bookmarkEnd w:id="611"/>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488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ACEFB3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14:paraId="56B16FB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14:paraId="3000E93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579F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30194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425" w:type="dxa"/>
            <w:vAlign w:val="center"/>
          </w:tcPr>
          <w:p w14:paraId="0AF606A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055" w:type="dxa"/>
            <w:vAlign w:val="center"/>
          </w:tcPr>
          <w:p w14:paraId="3FF644E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14:paraId="672336A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14:paraId="06992E1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465D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AA786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25" w:type="dxa"/>
            <w:vAlign w:val="center"/>
          </w:tcPr>
          <w:p w14:paraId="73D9A266">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eastAsia="宋体" w:cs="宋体"/>
                <w:color w:val="000000" w:themeColor="text1"/>
                <w:sz w:val="21"/>
                <w:szCs w:val="21"/>
                <w:highlight w:val="none"/>
                <w:lang w:eastAsia="zh-CN"/>
                <w14:textFill>
                  <w14:solidFill>
                    <w14:schemeClr w14:val="tx1"/>
                  </w14:solidFill>
                </w14:textFill>
              </w:rPr>
              <w:t>第</w:t>
            </w:r>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eastAsia="宋体" w:cs="宋体"/>
                <w:color w:val="000000" w:themeColor="text1"/>
                <w:sz w:val="21"/>
                <w:szCs w:val="21"/>
                <w:highlight w:val="none"/>
                <w:lang w:eastAsia="zh-CN"/>
                <w14:textFill>
                  <w14:solidFill>
                    <w14:schemeClr w14:val="tx1"/>
                  </w14:solidFill>
                </w14:textFill>
              </w:rPr>
              <w:t>条</w:t>
            </w:r>
          </w:p>
        </w:tc>
        <w:tc>
          <w:tcPr>
            <w:tcW w:w="3055" w:type="dxa"/>
            <w:vAlign w:val="center"/>
          </w:tcPr>
          <w:p w14:paraId="7BB8DC19">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合作内容及期限</w:t>
            </w:r>
          </w:p>
        </w:tc>
        <w:tc>
          <w:tcPr>
            <w:tcW w:w="1346" w:type="dxa"/>
            <w:vAlign w:val="center"/>
          </w:tcPr>
          <w:p w14:paraId="5A18783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9DCA4D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052D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D6885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25" w:type="dxa"/>
            <w:vAlign w:val="center"/>
          </w:tcPr>
          <w:p w14:paraId="7427E268">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eastAsia="宋体" w:cs="宋体"/>
                <w:color w:val="000000" w:themeColor="text1"/>
                <w:sz w:val="21"/>
                <w:szCs w:val="21"/>
                <w:highlight w:val="none"/>
                <w:lang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条</w:t>
            </w:r>
          </w:p>
        </w:tc>
        <w:tc>
          <w:tcPr>
            <w:tcW w:w="3055" w:type="dxa"/>
            <w:vAlign w:val="center"/>
          </w:tcPr>
          <w:p w14:paraId="69C7AC6D">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项目场地的提供</w:t>
            </w:r>
          </w:p>
        </w:tc>
        <w:tc>
          <w:tcPr>
            <w:tcW w:w="1346" w:type="dxa"/>
            <w:vAlign w:val="center"/>
          </w:tcPr>
          <w:p w14:paraId="725D294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C80A4C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7CDE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EBC59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1425" w:type="dxa"/>
            <w:vAlign w:val="center"/>
          </w:tcPr>
          <w:p w14:paraId="7E52873F">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eastAsia="宋体" w:cs="宋体"/>
                <w:color w:val="000000" w:themeColor="text1"/>
                <w:sz w:val="21"/>
                <w:szCs w:val="21"/>
                <w:highlight w:val="none"/>
                <w:lang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条</w:t>
            </w:r>
          </w:p>
        </w:tc>
        <w:tc>
          <w:tcPr>
            <w:tcW w:w="3055" w:type="dxa"/>
            <w:vAlign w:val="center"/>
          </w:tcPr>
          <w:p w14:paraId="25AAA837">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电站运营维护</w:t>
            </w:r>
          </w:p>
        </w:tc>
        <w:tc>
          <w:tcPr>
            <w:tcW w:w="1346" w:type="dxa"/>
            <w:vAlign w:val="center"/>
          </w:tcPr>
          <w:p w14:paraId="7ECCE6D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BD44F31">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549C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F291A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425" w:type="dxa"/>
            <w:vAlign w:val="center"/>
          </w:tcPr>
          <w:p w14:paraId="3734D0D2">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eastAsia="宋体" w:cs="宋体"/>
                <w:color w:val="000000" w:themeColor="text1"/>
                <w:sz w:val="21"/>
                <w:szCs w:val="21"/>
                <w:highlight w:val="none"/>
                <w:lang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条</w:t>
            </w:r>
          </w:p>
        </w:tc>
        <w:tc>
          <w:tcPr>
            <w:tcW w:w="3055" w:type="dxa"/>
            <w:vAlign w:val="center"/>
          </w:tcPr>
          <w:p w14:paraId="0E67FD46">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项目场地的维护和使用</w:t>
            </w:r>
          </w:p>
        </w:tc>
        <w:tc>
          <w:tcPr>
            <w:tcW w:w="1346" w:type="dxa"/>
            <w:vAlign w:val="center"/>
          </w:tcPr>
          <w:p w14:paraId="603A871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6CAA4B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2E90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B0976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1425" w:type="dxa"/>
            <w:vAlign w:val="center"/>
          </w:tcPr>
          <w:p w14:paraId="6CBE6FF2">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eastAsia="宋体" w:cs="宋体"/>
                <w:color w:val="000000" w:themeColor="text1"/>
                <w:sz w:val="21"/>
                <w:szCs w:val="21"/>
                <w:highlight w:val="none"/>
                <w:lang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条</w:t>
            </w:r>
          </w:p>
        </w:tc>
        <w:tc>
          <w:tcPr>
            <w:tcW w:w="3055" w:type="dxa"/>
            <w:vAlign w:val="center"/>
          </w:tcPr>
          <w:p w14:paraId="7083361E">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计量要求</w:t>
            </w:r>
          </w:p>
        </w:tc>
        <w:tc>
          <w:tcPr>
            <w:tcW w:w="1346" w:type="dxa"/>
            <w:vAlign w:val="center"/>
          </w:tcPr>
          <w:p w14:paraId="305E9B5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83B1AC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057D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2C018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p>
        </w:tc>
        <w:tc>
          <w:tcPr>
            <w:tcW w:w="1425" w:type="dxa"/>
            <w:vAlign w:val="center"/>
          </w:tcPr>
          <w:p w14:paraId="2A1B1DDE">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eastAsia="宋体" w:cs="宋体"/>
                <w:color w:val="000000" w:themeColor="text1"/>
                <w:sz w:val="21"/>
                <w:szCs w:val="21"/>
                <w:highlight w:val="none"/>
                <w:lang w:eastAsia="zh-CN"/>
                <w14:textFill>
                  <w14:solidFill>
                    <w14:schemeClr w14:val="tx1"/>
                  </w14:solidFill>
                </w14:textFill>
              </w:rPr>
              <w:t>七</w:t>
            </w:r>
            <w:r>
              <w:rPr>
                <w:rFonts w:hint="eastAsia" w:ascii="宋体" w:hAnsi="宋体" w:eastAsia="宋体" w:cs="宋体"/>
                <w:color w:val="000000" w:themeColor="text1"/>
                <w:sz w:val="21"/>
                <w:szCs w:val="21"/>
                <w:highlight w:val="none"/>
                <w14:textFill>
                  <w14:solidFill>
                    <w14:schemeClr w14:val="tx1"/>
                  </w14:solidFill>
                </w14:textFill>
              </w:rPr>
              <w:t>条</w:t>
            </w:r>
          </w:p>
        </w:tc>
        <w:tc>
          <w:tcPr>
            <w:tcW w:w="3055" w:type="dxa"/>
            <w:vAlign w:val="center"/>
          </w:tcPr>
          <w:p w14:paraId="3BCA1A4A">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支付方式及相关要求</w:t>
            </w:r>
          </w:p>
        </w:tc>
        <w:tc>
          <w:tcPr>
            <w:tcW w:w="1346" w:type="dxa"/>
            <w:vAlign w:val="center"/>
          </w:tcPr>
          <w:p w14:paraId="327A5B4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B45F31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1877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9B2E0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p>
        </w:tc>
        <w:tc>
          <w:tcPr>
            <w:tcW w:w="1425" w:type="dxa"/>
            <w:vAlign w:val="center"/>
          </w:tcPr>
          <w:p w14:paraId="285294D0">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eastAsia="宋体" w:cs="宋体"/>
                <w:color w:val="000000" w:themeColor="text1"/>
                <w:sz w:val="21"/>
                <w:szCs w:val="21"/>
                <w:highlight w:val="none"/>
                <w:lang w:eastAsia="zh-CN"/>
                <w14:textFill>
                  <w14:solidFill>
                    <w14:schemeClr w14:val="tx1"/>
                  </w14:solidFill>
                </w14:textFill>
              </w:rPr>
              <w:t>八</w:t>
            </w:r>
            <w:r>
              <w:rPr>
                <w:rFonts w:hint="eastAsia" w:ascii="宋体" w:hAnsi="宋体" w:eastAsia="宋体" w:cs="宋体"/>
                <w:color w:val="000000" w:themeColor="text1"/>
                <w:sz w:val="21"/>
                <w:szCs w:val="21"/>
                <w:highlight w:val="none"/>
                <w14:textFill>
                  <w14:solidFill>
                    <w14:schemeClr w14:val="tx1"/>
                  </w14:solidFill>
                </w14:textFill>
              </w:rPr>
              <w:t>条</w:t>
            </w:r>
          </w:p>
        </w:tc>
        <w:tc>
          <w:tcPr>
            <w:tcW w:w="3055" w:type="dxa"/>
            <w:vAlign w:val="center"/>
          </w:tcPr>
          <w:p w14:paraId="6F196C09">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乙方的权利义务</w:t>
            </w:r>
          </w:p>
        </w:tc>
        <w:tc>
          <w:tcPr>
            <w:tcW w:w="1346" w:type="dxa"/>
            <w:vAlign w:val="center"/>
          </w:tcPr>
          <w:p w14:paraId="4B65034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39B59C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4C27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ED2EE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p>
        </w:tc>
        <w:tc>
          <w:tcPr>
            <w:tcW w:w="1425" w:type="dxa"/>
            <w:vAlign w:val="center"/>
          </w:tcPr>
          <w:p w14:paraId="78746F4B">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eastAsia="宋体" w:cs="宋体"/>
                <w:color w:val="000000" w:themeColor="text1"/>
                <w:sz w:val="21"/>
                <w:szCs w:val="21"/>
                <w:highlight w:val="none"/>
                <w:lang w:eastAsia="zh-CN"/>
                <w14:textFill>
                  <w14:solidFill>
                    <w14:schemeClr w14:val="tx1"/>
                  </w14:solidFill>
                </w14:textFill>
              </w:rPr>
              <w:t>九</w:t>
            </w:r>
            <w:r>
              <w:rPr>
                <w:rFonts w:hint="eastAsia" w:ascii="宋体" w:hAnsi="宋体" w:eastAsia="宋体" w:cs="宋体"/>
                <w:color w:val="000000" w:themeColor="text1"/>
                <w:sz w:val="21"/>
                <w:szCs w:val="21"/>
                <w:highlight w:val="none"/>
                <w14:textFill>
                  <w14:solidFill>
                    <w14:schemeClr w14:val="tx1"/>
                  </w14:solidFill>
                </w14:textFill>
              </w:rPr>
              <w:t>条</w:t>
            </w:r>
          </w:p>
        </w:tc>
        <w:tc>
          <w:tcPr>
            <w:tcW w:w="3055" w:type="dxa"/>
            <w:vAlign w:val="center"/>
          </w:tcPr>
          <w:p w14:paraId="7F29BEA8">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甲方的权利义务</w:t>
            </w:r>
          </w:p>
        </w:tc>
        <w:tc>
          <w:tcPr>
            <w:tcW w:w="1346" w:type="dxa"/>
            <w:vAlign w:val="center"/>
          </w:tcPr>
          <w:p w14:paraId="3DF1B02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BEA5FA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0F6C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FBAA2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p>
        </w:tc>
        <w:tc>
          <w:tcPr>
            <w:tcW w:w="1425" w:type="dxa"/>
            <w:vAlign w:val="center"/>
          </w:tcPr>
          <w:p w14:paraId="69BA00E7">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eastAsia="宋体" w:cs="宋体"/>
                <w:color w:val="000000" w:themeColor="text1"/>
                <w:sz w:val="21"/>
                <w:szCs w:val="21"/>
                <w:highlight w:val="none"/>
                <w:lang w:eastAsia="zh-CN"/>
                <w14:textFill>
                  <w14:solidFill>
                    <w14:schemeClr w14:val="tx1"/>
                  </w14:solidFill>
                </w14:textFill>
              </w:rPr>
              <w:t>十</w:t>
            </w:r>
            <w:r>
              <w:rPr>
                <w:rFonts w:hint="eastAsia" w:ascii="宋体" w:hAnsi="宋体" w:eastAsia="宋体" w:cs="宋体"/>
                <w:color w:val="000000" w:themeColor="text1"/>
                <w:sz w:val="21"/>
                <w:szCs w:val="21"/>
                <w:highlight w:val="none"/>
                <w14:textFill>
                  <w14:solidFill>
                    <w14:schemeClr w14:val="tx1"/>
                  </w14:solidFill>
                </w14:textFill>
              </w:rPr>
              <w:t>条</w:t>
            </w:r>
          </w:p>
        </w:tc>
        <w:tc>
          <w:tcPr>
            <w:tcW w:w="3055" w:type="dxa"/>
            <w:vAlign w:val="center"/>
          </w:tcPr>
          <w:p w14:paraId="1F9B7C88">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不可抗力</w:t>
            </w:r>
          </w:p>
        </w:tc>
        <w:tc>
          <w:tcPr>
            <w:tcW w:w="1346" w:type="dxa"/>
            <w:vAlign w:val="center"/>
          </w:tcPr>
          <w:p w14:paraId="2ADFCBE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C298AE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6BF7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FDD35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10</w:t>
            </w:r>
          </w:p>
        </w:tc>
        <w:tc>
          <w:tcPr>
            <w:tcW w:w="1425" w:type="dxa"/>
            <w:vAlign w:val="center"/>
          </w:tcPr>
          <w:p w14:paraId="638C9001">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eastAsia="宋体" w:cs="宋体"/>
                <w:color w:val="000000" w:themeColor="text1"/>
                <w:sz w:val="21"/>
                <w:szCs w:val="21"/>
                <w:highlight w:val="none"/>
                <w:lang w:eastAsia="zh-CN"/>
                <w14:textFill>
                  <w14:solidFill>
                    <w14:schemeClr w14:val="tx1"/>
                  </w14:solidFill>
                </w14:textFill>
              </w:rPr>
              <w:t>第</w:t>
            </w:r>
            <w:r>
              <w:rPr>
                <w:rFonts w:hint="eastAsia" w:ascii="宋体" w:hAnsi="宋体" w:eastAsia="宋体" w:cs="宋体"/>
                <w:color w:val="000000" w:themeColor="text1"/>
                <w:sz w:val="21"/>
                <w:szCs w:val="21"/>
                <w:highlight w:val="none"/>
                <w14:textFill>
                  <w14:solidFill>
                    <w14:schemeClr w14:val="tx1"/>
                  </w14:solidFill>
                </w14:textFill>
              </w:rPr>
              <w:t>十一</w:t>
            </w:r>
            <w:r>
              <w:rPr>
                <w:rFonts w:hint="eastAsia" w:ascii="宋体" w:eastAsia="宋体" w:cs="宋体"/>
                <w:color w:val="000000" w:themeColor="text1"/>
                <w:sz w:val="21"/>
                <w:szCs w:val="21"/>
                <w:highlight w:val="none"/>
                <w:lang w:eastAsia="zh-CN"/>
                <w14:textFill>
                  <w14:solidFill>
                    <w14:schemeClr w14:val="tx1"/>
                  </w14:solidFill>
                </w14:textFill>
              </w:rPr>
              <w:t>条</w:t>
            </w:r>
          </w:p>
        </w:tc>
        <w:tc>
          <w:tcPr>
            <w:tcW w:w="3055" w:type="dxa"/>
            <w:vAlign w:val="center"/>
          </w:tcPr>
          <w:p w14:paraId="019130D4">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履约担保</w:t>
            </w:r>
          </w:p>
        </w:tc>
        <w:tc>
          <w:tcPr>
            <w:tcW w:w="1346" w:type="dxa"/>
            <w:vAlign w:val="center"/>
          </w:tcPr>
          <w:p w14:paraId="31165B4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41601D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662C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2C53E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w:t>
            </w:r>
          </w:p>
        </w:tc>
        <w:tc>
          <w:tcPr>
            <w:tcW w:w="1425" w:type="dxa"/>
            <w:vAlign w:val="center"/>
          </w:tcPr>
          <w:p w14:paraId="3CACA625">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eastAsia="宋体" w:cs="宋体"/>
                <w:color w:val="000000" w:themeColor="text1"/>
                <w:sz w:val="21"/>
                <w:szCs w:val="21"/>
                <w:highlight w:val="none"/>
                <w:lang w:eastAsia="zh-CN"/>
                <w14:textFill>
                  <w14:solidFill>
                    <w14:schemeClr w14:val="tx1"/>
                  </w14:solidFill>
                </w14:textFill>
              </w:rPr>
            </w:pPr>
            <w:r>
              <w:rPr>
                <w:rFonts w:hint="eastAsia" w:ascii="宋体" w:eastAsia="宋体" w:cs="宋体"/>
                <w:color w:val="000000" w:themeColor="text1"/>
                <w:sz w:val="21"/>
                <w:szCs w:val="21"/>
                <w:highlight w:val="none"/>
                <w:lang w:eastAsia="zh-CN"/>
                <w14:textFill>
                  <w14:solidFill>
                    <w14:schemeClr w14:val="tx1"/>
                  </w14:solidFill>
                </w14:textFill>
              </w:rPr>
              <w:t>第十二条</w:t>
            </w:r>
          </w:p>
        </w:tc>
        <w:tc>
          <w:tcPr>
            <w:tcW w:w="3055" w:type="dxa"/>
            <w:vAlign w:val="center"/>
          </w:tcPr>
          <w:p w14:paraId="40502B60">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违约责任</w:t>
            </w:r>
          </w:p>
        </w:tc>
        <w:tc>
          <w:tcPr>
            <w:tcW w:w="1346" w:type="dxa"/>
            <w:vAlign w:val="center"/>
          </w:tcPr>
          <w:p w14:paraId="7F05B741">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410004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4ECD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4E3B1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p>
        </w:tc>
        <w:tc>
          <w:tcPr>
            <w:tcW w:w="1425" w:type="dxa"/>
            <w:vAlign w:val="center"/>
          </w:tcPr>
          <w:p w14:paraId="1954D5F7">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eastAsia="宋体" w:cs="宋体"/>
                <w:color w:val="000000" w:themeColor="text1"/>
                <w:sz w:val="21"/>
                <w:szCs w:val="21"/>
                <w:highlight w:val="none"/>
                <w:lang w:eastAsia="zh-CN"/>
                <w14:textFill>
                  <w14:solidFill>
                    <w14:schemeClr w14:val="tx1"/>
                  </w14:solidFill>
                </w14:textFill>
              </w:rPr>
            </w:pPr>
            <w:r>
              <w:rPr>
                <w:rFonts w:hint="eastAsia" w:ascii="宋体" w:eastAsia="宋体" w:cs="宋体"/>
                <w:color w:val="000000" w:themeColor="text1"/>
                <w:sz w:val="21"/>
                <w:szCs w:val="21"/>
                <w:highlight w:val="none"/>
                <w:lang w:eastAsia="zh-CN"/>
                <w14:textFill>
                  <w14:solidFill>
                    <w14:schemeClr w14:val="tx1"/>
                  </w14:solidFill>
                </w14:textFill>
              </w:rPr>
              <w:t>第十三条</w:t>
            </w:r>
          </w:p>
        </w:tc>
        <w:tc>
          <w:tcPr>
            <w:tcW w:w="3055" w:type="dxa"/>
            <w:vAlign w:val="center"/>
          </w:tcPr>
          <w:p w14:paraId="3D33F774">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合同争议的解决办法</w:t>
            </w:r>
          </w:p>
        </w:tc>
        <w:tc>
          <w:tcPr>
            <w:tcW w:w="1346" w:type="dxa"/>
            <w:vAlign w:val="center"/>
          </w:tcPr>
          <w:p w14:paraId="20DD792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C16C3F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3590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06C281">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13</w:t>
            </w:r>
          </w:p>
        </w:tc>
        <w:tc>
          <w:tcPr>
            <w:tcW w:w="1425" w:type="dxa"/>
            <w:vAlign w:val="center"/>
          </w:tcPr>
          <w:p w14:paraId="2A91261F">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eastAsia="宋体" w:cs="宋体"/>
                <w:color w:val="000000" w:themeColor="text1"/>
                <w:sz w:val="21"/>
                <w:szCs w:val="21"/>
                <w:highlight w:val="none"/>
                <w:lang w:eastAsia="zh-CN"/>
                <w14:textFill>
                  <w14:solidFill>
                    <w14:schemeClr w14:val="tx1"/>
                  </w14:solidFill>
                </w14:textFill>
              </w:rPr>
            </w:pPr>
            <w:r>
              <w:rPr>
                <w:rFonts w:hint="eastAsia" w:ascii="宋体" w:eastAsia="宋体" w:cs="宋体"/>
                <w:color w:val="000000" w:themeColor="text1"/>
                <w:sz w:val="21"/>
                <w:szCs w:val="21"/>
                <w:highlight w:val="none"/>
                <w:lang w:eastAsia="zh-CN"/>
                <w14:textFill>
                  <w14:solidFill>
                    <w14:schemeClr w14:val="tx1"/>
                  </w14:solidFill>
                </w14:textFill>
              </w:rPr>
              <w:t>第十四条</w:t>
            </w:r>
          </w:p>
        </w:tc>
        <w:tc>
          <w:tcPr>
            <w:tcW w:w="3055" w:type="dxa"/>
            <w:vAlign w:val="center"/>
          </w:tcPr>
          <w:p w14:paraId="7FA5E9D9">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p>
        </w:tc>
        <w:tc>
          <w:tcPr>
            <w:tcW w:w="1346" w:type="dxa"/>
            <w:vAlign w:val="center"/>
          </w:tcPr>
          <w:p w14:paraId="483D5B9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F6480D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17BD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73969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w:t>
            </w:r>
          </w:p>
        </w:tc>
        <w:tc>
          <w:tcPr>
            <w:tcW w:w="1425" w:type="dxa"/>
            <w:vAlign w:val="center"/>
          </w:tcPr>
          <w:p w14:paraId="0DC4099F">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eastAsia="宋体" w:cs="宋体"/>
                <w:color w:val="000000" w:themeColor="text1"/>
                <w:sz w:val="21"/>
                <w:szCs w:val="21"/>
                <w:highlight w:val="none"/>
                <w:lang w:val="en-US" w:eastAsia="zh-CN"/>
                <w14:textFill>
                  <w14:solidFill>
                    <w14:schemeClr w14:val="tx1"/>
                  </w14:solidFill>
                </w14:textFill>
              </w:rPr>
              <w:t>3</w:t>
            </w:r>
          </w:p>
        </w:tc>
        <w:tc>
          <w:tcPr>
            <w:tcW w:w="3055" w:type="dxa"/>
            <w:vAlign w:val="center"/>
          </w:tcPr>
          <w:p w14:paraId="016410A4">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廉洁协议书</w:t>
            </w:r>
          </w:p>
        </w:tc>
        <w:tc>
          <w:tcPr>
            <w:tcW w:w="1346" w:type="dxa"/>
            <w:vAlign w:val="center"/>
          </w:tcPr>
          <w:p w14:paraId="7D750EF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3A6022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661C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BF631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15</w:t>
            </w:r>
          </w:p>
        </w:tc>
        <w:tc>
          <w:tcPr>
            <w:tcW w:w="1425" w:type="dxa"/>
            <w:vAlign w:val="center"/>
          </w:tcPr>
          <w:p w14:paraId="428DFD20">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eastAsia="宋体" w:cs="宋体"/>
                <w:color w:val="000000" w:themeColor="text1"/>
                <w:sz w:val="21"/>
                <w:szCs w:val="21"/>
                <w:highlight w:val="none"/>
                <w:lang w:val="en-US" w:eastAsia="zh-CN"/>
                <w14:textFill>
                  <w14:solidFill>
                    <w14:schemeClr w14:val="tx1"/>
                  </w14:solidFill>
                </w14:textFill>
              </w:rPr>
              <w:t>4</w:t>
            </w:r>
          </w:p>
        </w:tc>
        <w:tc>
          <w:tcPr>
            <w:tcW w:w="3055" w:type="dxa"/>
            <w:vAlign w:val="center"/>
          </w:tcPr>
          <w:p w14:paraId="12B2D330">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安全生产管理协议</w:t>
            </w:r>
          </w:p>
        </w:tc>
        <w:tc>
          <w:tcPr>
            <w:tcW w:w="1346" w:type="dxa"/>
            <w:vAlign w:val="center"/>
          </w:tcPr>
          <w:p w14:paraId="691FB53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5A3676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6D1F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96D1A4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16</w:t>
            </w:r>
          </w:p>
        </w:tc>
        <w:tc>
          <w:tcPr>
            <w:tcW w:w="1425" w:type="dxa"/>
            <w:vAlign w:val="center"/>
          </w:tcPr>
          <w:p w14:paraId="7D0A9D99">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p>
        </w:tc>
        <w:tc>
          <w:tcPr>
            <w:tcW w:w="3055" w:type="dxa"/>
            <w:vAlign w:val="center"/>
          </w:tcPr>
          <w:p w14:paraId="3B6197E5">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不可撤销银行履约保函</w:t>
            </w:r>
          </w:p>
        </w:tc>
        <w:tc>
          <w:tcPr>
            <w:tcW w:w="1346" w:type="dxa"/>
            <w:vAlign w:val="center"/>
          </w:tcPr>
          <w:p w14:paraId="48ECBF8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F3C119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21F8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283C6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w:t>
            </w:r>
          </w:p>
        </w:tc>
        <w:tc>
          <w:tcPr>
            <w:tcW w:w="1425" w:type="dxa"/>
            <w:vAlign w:val="center"/>
          </w:tcPr>
          <w:p w14:paraId="15EA7D5A">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w:t>
            </w:r>
          </w:p>
        </w:tc>
        <w:tc>
          <w:tcPr>
            <w:tcW w:w="3055" w:type="dxa"/>
            <w:vAlign w:val="center"/>
          </w:tcPr>
          <w:p w14:paraId="3FE7E652">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履约保证保险凭证</w:t>
            </w:r>
          </w:p>
        </w:tc>
        <w:tc>
          <w:tcPr>
            <w:tcW w:w="1346" w:type="dxa"/>
            <w:vAlign w:val="center"/>
          </w:tcPr>
          <w:p w14:paraId="6F9467D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B3110F1">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4EEC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DC89F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p>
        </w:tc>
        <w:tc>
          <w:tcPr>
            <w:tcW w:w="1425" w:type="dxa"/>
            <w:vAlign w:val="center"/>
          </w:tcPr>
          <w:p w14:paraId="18BF0A93">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w:t>
            </w:r>
          </w:p>
        </w:tc>
        <w:tc>
          <w:tcPr>
            <w:tcW w:w="3055" w:type="dxa"/>
            <w:vAlign w:val="center"/>
          </w:tcPr>
          <w:p w14:paraId="4C463541">
            <w:pPr>
              <w:pStyle w:val="63"/>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担保公司履约担保书</w:t>
            </w:r>
          </w:p>
        </w:tc>
        <w:tc>
          <w:tcPr>
            <w:tcW w:w="1346" w:type="dxa"/>
            <w:vAlign w:val="center"/>
          </w:tcPr>
          <w:p w14:paraId="1836E87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5F6E74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bl>
    <w:p w14:paraId="5F86B951">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000000" w:themeColor="text1"/>
          <w:szCs w:val="24"/>
          <w:highlight w:val="none"/>
          <w:lang w:val="zh-CN"/>
          <w14:textFill>
            <w14:solidFill>
              <w14:schemeClr w14:val="tx1"/>
            </w14:solidFill>
          </w14:textFill>
        </w:rPr>
      </w:pPr>
    </w:p>
    <w:p w14:paraId="7F606887">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2E3AB855">
      <w:pPr>
        <w:spacing w:line="360" w:lineRule="auto"/>
        <w:ind w:left="605" w:leftChars="18" w:hanging="567" w:hangingChars="27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000000" w:themeColor="text1"/>
          <w:kern w:val="0"/>
          <w:szCs w:val="21"/>
          <w:highlight w:val="none"/>
          <w14:textFill>
            <w14:solidFill>
              <w14:schemeClr w14:val="tx1"/>
            </w14:solidFill>
          </w14:textFill>
        </w:rPr>
        <w:t>。</w:t>
      </w:r>
    </w:p>
    <w:p w14:paraId="60B32692">
      <w:pPr>
        <w:spacing w:line="360" w:lineRule="auto"/>
        <w:ind w:left="605" w:leftChars="18" w:hanging="567" w:hangingChars="27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1C45A69F">
      <w:pPr>
        <w:spacing w:line="360" w:lineRule="auto"/>
        <w:ind w:left="605" w:leftChars="18" w:hanging="567" w:hangingChars="27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4613BB16">
      <w:pPr>
        <w:spacing w:line="360" w:lineRule="auto"/>
        <w:ind w:left="605" w:leftChars="18" w:hanging="567" w:hangingChars="27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（4）如投标人差异内容较多可另附页说明，并在本偏离表“具体偏离内容”项注明其在投标文件中的具体页码。</w:t>
      </w:r>
    </w:p>
    <w:p w14:paraId="0A61DC4B">
      <w:pPr>
        <w:spacing w:line="360" w:lineRule="auto"/>
        <w:ind w:left="357" w:leftChars="-100" w:hanging="567" w:hangingChars="270"/>
        <w:outlineLvl w:val="9"/>
        <w:rPr>
          <w:rFonts w:hint="eastAsia" w:ascii="宋体" w:hAnsi="宋体" w:eastAsia="宋体" w:cs="宋体"/>
          <w:color w:val="000000" w:themeColor="text1"/>
          <w:szCs w:val="21"/>
          <w:highlight w:val="none"/>
          <w14:textFill>
            <w14:solidFill>
              <w14:schemeClr w14:val="tx1"/>
            </w14:solidFill>
          </w14:textFill>
        </w:rPr>
      </w:pPr>
    </w:p>
    <w:p w14:paraId="7CF3135E">
      <w:pPr>
        <w:spacing w:line="360" w:lineRule="auto"/>
        <w:ind w:left="357" w:leftChars="-100" w:hanging="567" w:hangingChars="270"/>
        <w:outlineLvl w:val="9"/>
        <w:rPr>
          <w:rFonts w:hint="eastAsia" w:ascii="宋体" w:hAnsi="宋体" w:eastAsia="宋体" w:cs="宋体"/>
          <w:color w:val="000000" w:themeColor="text1"/>
          <w:szCs w:val="21"/>
          <w:highlight w:val="none"/>
          <w14:textFill>
            <w14:solidFill>
              <w14:schemeClr w14:val="tx1"/>
            </w14:solidFill>
          </w14:textFill>
        </w:rPr>
      </w:pPr>
    </w:p>
    <w:p w14:paraId="53AD6186">
      <w:pPr>
        <w:spacing w:line="360" w:lineRule="auto"/>
        <w:ind w:left="357" w:leftChars="-100" w:hanging="567" w:hangingChars="270"/>
        <w:outlineLvl w:val="9"/>
        <w:rPr>
          <w:rFonts w:hint="eastAsia" w:ascii="宋体" w:hAnsi="宋体" w:eastAsia="宋体" w:cs="宋体"/>
          <w:color w:val="000000" w:themeColor="text1"/>
          <w:szCs w:val="21"/>
          <w:highlight w:val="none"/>
          <w14:textFill>
            <w14:solidFill>
              <w14:schemeClr w14:val="tx1"/>
            </w14:solidFill>
          </w14:textFill>
        </w:rPr>
      </w:pPr>
    </w:p>
    <w:p w14:paraId="32BD82B9">
      <w:pPr>
        <w:spacing w:line="360" w:lineRule="auto"/>
        <w:ind w:right="368" w:rightChars="175" w:firstLine="5355" w:firstLineChars="2550"/>
        <w:jc w:val="left"/>
        <w:outlineLvl w:val="9"/>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54CAD179">
      <w:pPr>
        <w:autoSpaceDE w:val="0"/>
        <w:autoSpaceDN w:val="0"/>
        <w:adjustRightInd w:val="0"/>
        <w:spacing w:line="360" w:lineRule="auto"/>
        <w:ind w:firstLine="5355" w:firstLineChars="255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6A53B28D">
      <w:pPr>
        <w:tabs>
          <w:tab w:val="left" w:pos="567"/>
        </w:tabs>
        <w:autoSpaceDE w:val="0"/>
        <w:autoSpaceDN w:val="0"/>
        <w:adjustRightInd w:val="0"/>
        <w:spacing w:line="360" w:lineRule="auto"/>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612" w:name="_Toc94107218"/>
      <w:bookmarkStart w:id="613" w:name="_Toc102860082"/>
      <w:bookmarkStart w:id="614" w:name="_Toc140596937"/>
      <w:bookmarkStart w:id="615" w:name="_Toc142508377"/>
      <w:bookmarkStart w:id="616" w:name="_Toc29505"/>
      <w:bookmarkStart w:id="617" w:name="_Toc5473"/>
      <w:bookmarkStart w:id="618" w:name="_Toc104991884"/>
      <w:bookmarkStart w:id="619" w:name="_Toc13179"/>
      <w:bookmarkStart w:id="620" w:name="_Toc102860426"/>
      <w:bookmarkStart w:id="621" w:name="_Toc486167717"/>
      <w:bookmarkStart w:id="622" w:name="_Toc27980_WPSOffice_Level2"/>
      <w:r>
        <w:rPr>
          <w:rFonts w:hint="eastAsia" w:ascii="宋体" w:hAnsi="宋体" w:eastAsia="宋体" w:cs="宋体"/>
          <w:b/>
          <w:color w:val="000000" w:themeColor="text1"/>
          <w:kern w:val="0"/>
          <w:sz w:val="32"/>
          <w:szCs w:val="32"/>
          <w:highlight w:val="none"/>
          <w14:textFill>
            <w14:solidFill>
              <w14:schemeClr w14:val="tx1"/>
            </w14:solidFill>
          </w14:textFill>
        </w:rPr>
        <w:t>十、业绩表格式</w:t>
      </w:r>
      <w:bookmarkEnd w:id="612"/>
      <w:bookmarkEnd w:id="613"/>
      <w:bookmarkEnd w:id="614"/>
      <w:bookmarkEnd w:id="615"/>
      <w:bookmarkEnd w:id="616"/>
      <w:bookmarkEnd w:id="617"/>
      <w:bookmarkEnd w:id="618"/>
      <w:bookmarkEnd w:id="619"/>
      <w:bookmarkEnd w:id="620"/>
    </w:p>
    <w:p w14:paraId="4FE860E9">
      <w:pPr>
        <w:autoSpaceDE w:val="0"/>
        <w:autoSpaceDN w:val="0"/>
        <w:adjustRightInd w:val="0"/>
        <w:spacing w:line="360" w:lineRule="auto"/>
        <w:ind w:firstLine="0"/>
        <w:jc w:val="both"/>
        <w:outlineLvl w:val="9"/>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投标人2021年1月1日以来在国内</w:t>
      </w:r>
      <w:r>
        <w:rPr>
          <w:rFonts w:hint="eastAsia" w:ascii="宋体" w:hAnsi="宋体" w:eastAsia="宋体" w:cs="宋体"/>
          <w:b/>
          <w:bCs/>
          <w:color w:val="000000" w:themeColor="text1"/>
          <w:sz w:val="30"/>
          <w:szCs w:val="30"/>
          <w:highlight w:val="none"/>
          <w:lang w:val="zh-CN" w:eastAsia="zh-CN"/>
          <w14:textFill>
            <w14:solidFill>
              <w14:schemeClr w14:val="tx1"/>
            </w14:solidFill>
          </w14:textFill>
        </w:rPr>
        <w:t>具有</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的</w:t>
      </w:r>
      <w:r>
        <w:rPr>
          <w:rFonts w:hint="eastAsia" w:ascii="宋体" w:hAnsi="宋体" w:eastAsia="宋体" w:cs="宋体"/>
          <w:b/>
          <w:bCs/>
          <w:color w:val="000000" w:themeColor="text1"/>
          <w:sz w:val="30"/>
          <w:szCs w:val="30"/>
          <w:highlight w:val="none"/>
          <w:lang w:val="zh-CN"/>
          <w14:textFill>
            <w14:solidFill>
              <w14:schemeClr w14:val="tx1"/>
            </w14:solidFill>
          </w14:textFill>
        </w:rPr>
        <w:t>分布式光伏发电</w:t>
      </w:r>
      <w:r>
        <w:rPr>
          <w:rFonts w:hint="eastAsia" w:ascii="宋体" w:hAnsi="宋体" w:eastAsia="宋体" w:cs="宋体"/>
          <w:b/>
          <w:bCs/>
          <w:color w:val="000000" w:themeColor="text1"/>
          <w:sz w:val="30"/>
          <w:szCs w:val="30"/>
          <w:highlight w:val="none"/>
          <w:lang w:val="zh-CN" w:eastAsia="zh-CN"/>
          <w14:textFill>
            <w14:solidFill>
              <w14:schemeClr w14:val="tx1"/>
            </w14:solidFill>
          </w14:textFill>
        </w:rPr>
        <w:t>投资项目的</w:t>
      </w:r>
      <w:r>
        <w:rPr>
          <w:rFonts w:hint="eastAsia" w:ascii="宋体" w:hAnsi="宋体" w:eastAsia="宋体" w:cs="宋体"/>
          <w:b/>
          <w:bCs/>
          <w:color w:val="000000" w:themeColor="text1"/>
          <w:sz w:val="30"/>
          <w:szCs w:val="30"/>
          <w:highlight w:val="none"/>
          <w:lang w:val="zh-CN"/>
          <w14:textFill>
            <w14:solidFill>
              <w14:schemeClr w14:val="tx1"/>
            </w14:solidFill>
          </w14:textFill>
        </w:rPr>
        <w:t>业绩表</w:t>
      </w:r>
      <w:r>
        <w:rPr>
          <w:rFonts w:hint="eastAsia" w:ascii="宋体" w:hAnsi="宋体" w:eastAsia="宋体" w:cs="宋体"/>
          <w:b/>
          <w:bCs/>
          <w:color w:val="000000" w:themeColor="text1"/>
          <w:sz w:val="30"/>
          <w:szCs w:val="30"/>
          <w:highlight w:val="none"/>
          <w:lang w:val="zh-CN" w:eastAsia="zh-CN"/>
          <w14:textFill>
            <w14:solidFill>
              <w14:schemeClr w14:val="tx1"/>
            </w14:solidFill>
          </w14:textFill>
        </w:rPr>
        <w:t>(合同签订日期为2021年1月1日或以后，投标人为分布式光伏发电项目的投资方)</w:t>
      </w:r>
    </w:p>
    <w:tbl>
      <w:tblPr>
        <w:tblStyle w:val="3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41"/>
        <w:gridCol w:w="2101"/>
        <w:gridCol w:w="2307"/>
        <w:gridCol w:w="1676"/>
        <w:gridCol w:w="1135"/>
        <w:gridCol w:w="1002"/>
        <w:gridCol w:w="1002"/>
      </w:tblGrid>
      <w:tr w14:paraId="66F60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197865E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013" w:type="pct"/>
            <w:tcBorders>
              <w:top w:val="single" w:color="auto" w:sz="4" w:space="0"/>
              <w:left w:val="single" w:color="auto" w:sz="4" w:space="0"/>
              <w:bottom w:val="single" w:color="auto" w:sz="4" w:space="0"/>
              <w:right w:val="single" w:color="auto" w:sz="4" w:space="0"/>
            </w:tcBorders>
            <w:vAlign w:val="center"/>
          </w:tcPr>
          <w:p w14:paraId="42A9CBB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项目名称</w:t>
            </w:r>
          </w:p>
        </w:tc>
        <w:tc>
          <w:tcPr>
            <w:tcW w:w="1112" w:type="pct"/>
            <w:tcBorders>
              <w:top w:val="single" w:color="auto" w:sz="4" w:space="0"/>
              <w:left w:val="single" w:color="auto" w:sz="4" w:space="0"/>
              <w:bottom w:val="single" w:color="auto" w:sz="4" w:space="0"/>
              <w:right w:val="single" w:color="auto" w:sz="4" w:space="0"/>
            </w:tcBorders>
            <w:vAlign w:val="center"/>
          </w:tcPr>
          <w:p w14:paraId="389DA7B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合同</w:t>
            </w:r>
            <w:r>
              <w:rPr>
                <w:rFonts w:hint="eastAsia" w:ascii="宋体" w:hAnsi="宋体" w:eastAsia="宋体" w:cs="宋体"/>
                <w:color w:val="000000" w:themeColor="text1"/>
                <w:szCs w:val="21"/>
                <w:highlight w:val="none"/>
                <w14:textFill>
                  <w14:solidFill>
                    <w14:schemeClr w14:val="tx1"/>
                  </w14:solidFill>
                </w14:textFill>
              </w:rPr>
              <w:t>服务内容</w:t>
            </w:r>
          </w:p>
        </w:tc>
        <w:tc>
          <w:tcPr>
            <w:tcW w:w="808" w:type="pct"/>
            <w:tcBorders>
              <w:top w:val="single" w:color="auto" w:sz="4" w:space="0"/>
              <w:left w:val="single" w:color="auto" w:sz="4" w:space="0"/>
              <w:bottom w:val="single" w:color="auto" w:sz="4" w:space="0"/>
              <w:right w:val="single" w:color="auto" w:sz="4" w:space="0"/>
            </w:tcBorders>
            <w:vAlign w:val="center"/>
          </w:tcPr>
          <w:p w14:paraId="422ED53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w:t>
            </w:r>
            <w:r>
              <w:rPr>
                <w:rFonts w:hint="eastAsia" w:ascii="宋体" w:hAnsi="宋体" w:eastAsia="宋体" w:cs="宋体"/>
                <w:color w:val="000000" w:themeColor="text1"/>
                <w:szCs w:val="21"/>
                <w:highlight w:val="none"/>
                <w:lang w:eastAsia="zh-CN"/>
                <w14:textFill>
                  <w14:solidFill>
                    <w14:schemeClr w14:val="tx1"/>
                  </w14:solidFill>
                </w14:textFill>
              </w:rPr>
              <w:t>项</w:t>
            </w:r>
            <w:r>
              <w:rPr>
                <w:rFonts w:hint="eastAsia" w:ascii="宋体" w:hAnsi="宋体" w:eastAsia="宋体" w:cs="宋体"/>
                <w:color w:val="000000" w:themeColor="text1"/>
                <w:szCs w:val="21"/>
                <w:highlight w:val="none"/>
                <w14:textFill>
                  <w14:solidFill>
                    <w14:schemeClr w14:val="tx1"/>
                  </w14:solidFill>
                </w14:textFill>
              </w:rPr>
              <w:t>合同光伏组件安装总容量</w:t>
            </w:r>
          </w:p>
        </w:tc>
        <w:tc>
          <w:tcPr>
            <w:tcW w:w="547" w:type="pct"/>
            <w:tcBorders>
              <w:top w:val="single" w:color="auto" w:sz="4" w:space="0"/>
              <w:left w:val="single" w:color="auto" w:sz="4" w:space="0"/>
              <w:bottom w:val="single" w:color="auto" w:sz="4" w:space="0"/>
              <w:right w:val="single" w:color="auto" w:sz="4" w:space="0"/>
            </w:tcBorders>
            <w:vAlign w:val="center"/>
          </w:tcPr>
          <w:p w14:paraId="639295A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合同签订日期</w:t>
            </w:r>
          </w:p>
        </w:tc>
        <w:tc>
          <w:tcPr>
            <w:tcW w:w="483" w:type="pct"/>
            <w:tcBorders>
              <w:top w:val="single" w:color="auto" w:sz="4" w:space="0"/>
              <w:left w:val="single" w:color="auto" w:sz="4" w:space="0"/>
              <w:bottom w:val="single" w:color="auto" w:sz="4" w:space="0"/>
              <w:right w:val="single" w:color="auto" w:sz="4" w:space="0"/>
            </w:tcBorders>
            <w:vAlign w:val="center"/>
          </w:tcPr>
          <w:p w14:paraId="6B62533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合同期限</w:t>
            </w:r>
          </w:p>
        </w:tc>
        <w:tc>
          <w:tcPr>
            <w:tcW w:w="483" w:type="pct"/>
            <w:tcBorders>
              <w:top w:val="single" w:color="auto" w:sz="4" w:space="0"/>
              <w:left w:val="single" w:color="auto" w:sz="4" w:space="0"/>
              <w:bottom w:val="single" w:color="auto" w:sz="4" w:space="0"/>
              <w:right w:val="single" w:color="auto" w:sz="4" w:space="0"/>
            </w:tcBorders>
            <w:vAlign w:val="center"/>
          </w:tcPr>
          <w:p w14:paraId="0ADCE9C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合同服务购买方联系人及电话</w:t>
            </w:r>
          </w:p>
        </w:tc>
      </w:tr>
      <w:tr w14:paraId="1657D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5F24541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p>
        </w:tc>
        <w:tc>
          <w:tcPr>
            <w:tcW w:w="1013" w:type="pct"/>
            <w:tcBorders>
              <w:top w:val="single" w:color="auto" w:sz="4" w:space="0"/>
              <w:left w:val="single" w:color="auto" w:sz="4" w:space="0"/>
              <w:bottom w:val="single" w:color="auto" w:sz="4" w:space="0"/>
              <w:right w:val="single" w:color="auto" w:sz="4" w:space="0"/>
            </w:tcBorders>
            <w:vAlign w:val="center"/>
          </w:tcPr>
          <w:p w14:paraId="3A113C2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1112" w:type="pct"/>
            <w:tcBorders>
              <w:top w:val="single" w:color="auto" w:sz="4" w:space="0"/>
              <w:left w:val="single" w:color="auto" w:sz="4" w:space="0"/>
              <w:bottom w:val="single" w:color="auto" w:sz="4" w:space="0"/>
              <w:right w:val="single" w:color="auto" w:sz="4" w:space="0"/>
            </w:tcBorders>
            <w:vAlign w:val="center"/>
          </w:tcPr>
          <w:p w14:paraId="3933769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808" w:type="pct"/>
            <w:tcBorders>
              <w:top w:val="single" w:color="auto" w:sz="4" w:space="0"/>
              <w:left w:val="single" w:color="auto" w:sz="4" w:space="0"/>
              <w:bottom w:val="single" w:color="auto" w:sz="4" w:space="0"/>
              <w:right w:val="single" w:color="auto" w:sz="4" w:space="0"/>
            </w:tcBorders>
            <w:vAlign w:val="center"/>
          </w:tcPr>
          <w:p w14:paraId="498B72C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4047BE4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7EE4D71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7882E03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14:paraId="46729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19ACD02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p>
        </w:tc>
        <w:tc>
          <w:tcPr>
            <w:tcW w:w="1013" w:type="pct"/>
            <w:tcBorders>
              <w:top w:val="single" w:color="auto" w:sz="4" w:space="0"/>
              <w:left w:val="single" w:color="auto" w:sz="4" w:space="0"/>
              <w:bottom w:val="single" w:color="auto" w:sz="4" w:space="0"/>
              <w:right w:val="single" w:color="auto" w:sz="4" w:space="0"/>
            </w:tcBorders>
            <w:vAlign w:val="center"/>
          </w:tcPr>
          <w:p w14:paraId="305EACE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1112" w:type="pct"/>
            <w:tcBorders>
              <w:top w:val="single" w:color="auto" w:sz="4" w:space="0"/>
              <w:left w:val="single" w:color="auto" w:sz="4" w:space="0"/>
              <w:bottom w:val="single" w:color="auto" w:sz="4" w:space="0"/>
              <w:right w:val="single" w:color="auto" w:sz="4" w:space="0"/>
            </w:tcBorders>
            <w:vAlign w:val="center"/>
          </w:tcPr>
          <w:p w14:paraId="01E0E49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808" w:type="pct"/>
            <w:tcBorders>
              <w:top w:val="single" w:color="auto" w:sz="4" w:space="0"/>
              <w:left w:val="single" w:color="auto" w:sz="4" w:space="0"/>
              <w:bottom w:val="single" w:color="auto" w:sz="4" w:space="0"/>
              <w:right w:val="single" w:color="auto" w:sz="4" w:space="0"/>
            </w:tcBorders>
            <w:vAlign w:val="center"/>
          </w:tcPr>
          <w:p w14:paraId="127212B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460B8A9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72D40B9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32F2824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14:paraId="295B7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34297CC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w:t>
            </w:r>
          </w:p>
        </w:tc>
        <w:tc>
          <w:tcPr>
            <w:tcW w:w="1013" w:type="pct"/>
            <w:tcBorders>
              <w:top w:val="single" w:color="auto" w:sz="4" w:space="0"/>
              <w:left w:val="single" w:color="auto" w:sz="4" w:space="0"/>
              <w:bottom w:val="single" w:color="auto" w:sz="4" w:space="0"/>
              <w:right w:val="single" w:color="auto" w:sz="4" w:space="0"/>
            </w:tcBorders>
            <w:vAlign w:val="center"/>
          </w:tcPr>
          <w:p w14:paraId="60D3AA9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1112" w:type="pct"/>
            <w:tcBorders>
              <w:top w:val="single" w:color="auto" w:sz="4" w:space="0"/>
              <w:left w:val="single" w:color="auto" w:sz="4" w:space="0"/>
              <w:bottom w:val="single" w:color="auto" w:sz="4" w:space="0"/>
              <w:right w:val="single" w:color="auto" w:sz="4" w:space="0"/>
            </w:tcBorders>
            <w:vAlign w:val="center"/>
          </w:tcPr>
          <w:p w14:paraId="3D53F81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808" w:type="pct"/>
            <w:tcBorders>
              <w:top w:val="single" w:color="auto" w:sz="4" w:space="0"/>
              <w:left w:val="single" w:color="auto" w:sz="4" w:space="0"/>
              <w:bottom w:val="single" w:color="auto" w:sz="4" w:space="0"/>
              <w:right w:val="single" w:color="auto" w:sz="4" w:space="0"/>
            </w:tcBorders>
            <w:vAlign w:val="center"/>
          </w:tcPr>
          <w:p w14:paraId="115D5DE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6BEBC0D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5F63548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2078333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14:paraId="3C938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6B9CA56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013" w:type="pct"/>
            <w:tcBorders>
              <w:top w:val="single" w:color="auto" w:sz="4" w:space="0"/>
              <w:left w:val="single" w:color="auto" w:sz="4" w:space="0"/>
              <w:bottom w:val="single" w:color="auto" w:sz="4" w:space="0"/>
              <w:right w:val="single" w:color="auto" w:sz="4" w:space="0"/>
            </w:tcBorders>
            <w:vAlign w:val="center"/>
          </w:tcPr>
          <w:p w14:paraId="35A071A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1112" w:type="pct"/>
            <w:tcBorders>
              <w:top w:val="single" w:color="auto" w:sz="4" w:space="0"/>
              <w:left w:val="single" w:color="auto" w:sz="4" w:space="0"/>
              <w:bottom w:val="single" w:color="auto" w:sz="4" w:space="0"/>
              <w:right w:val="single" w:color="auto" w:sz="4" w:space="0"/>
            </w:tcBorders>
            <w:vAlign w:val="center"/>
          </w:tcPr>
          <w:p w14:paraId="69DAEDF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808" w:type="pct"/>
            <w:tcBorders>
              <w:top w:val="single" w:color="auto" w:sz="4" w:space="0"/>
              <w:left w:val="single" w:color="auto" w:sz="4" w:space="0"/>
              <w:bottom w:val="single" w:color="auto" w:sz="4" w:space="0"/>
              <w:right w:val="single" w:color="auto" w:sz="4" w:space="0"/>
            </w:tcBorders>
            <w:vAlign w:val="center"/>
          </w:tcPr>
          <w:p w14:paraId="4983376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09EB6D0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6160DEC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6A44109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r>
    </w:tbl>
    <w:p w14:paraId="73EEDE32">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000000" w:themeColor="text1"/>
          <w:szCs w:val="21"/>
          <w:highlight w:val="none"/>
          <w:lang w:val="zh-CN"/>
          <w14:textFill>
            <w14:solidFill>
              <w14:schemeClr w14:val="tx1"/>
            </w14:solidFill>
          </w14:textFill>
        </w:rPr>
      </w:pPr>
    </w:p>
    <w:p w14:paraId="405A91A2">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备注：</w:t>
      </w:r>
    </w:p>
    <w:p w14:paraId="72B3BB3A">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（1）业绩按单项合同光伏组件安装总容量从大到小的</w:t>
      </w:r>
      <w:r>
        <w:rPr>
          <w:rFonts w:hint="eastAsia" w:ascii="宋体" w:hAnsi="宋体" w:eastAsia="宋体" w:cs="宋体"/>
          <w:color w:val="000000" w:themeColor="text1"/>
          <w:szCs w:val="21"/>
          <w:highlight w:val="none"/>
          <w14:textFill>
            <w14:solidFill>
              <w14:schemeClr w14:val="tx1"/>
            </w14:solidFill>
          </w14:textFill>
        </w:rPr>
        <w:t>顺序</w:t>
      </w:r>
      <w:r>
        <w:rPr>
          <w:rFonts w:hint="eastAsia" w:ascii="宋体" w:hAnsi="宋体" w:eastAsia="宋体" w:cs="宋体"/>
          <w:color w:val="000000" w:themeColor="text1"/>
          <w:szCs w:val="21"/>
          <w:highlight w:val="none"/>
          <w:lang w:val="zh-CN"/>
          <w14:textFill>
            <w14:solidFill>
              <w14:schemeClr w14:val="tx1"/>
            </w14:solidFill>
          </w14:textFill>
        </w:rPr>
        <w:t>排列；</w:t>
      </w:r>
      <w:r>
        <w:rPr>
          <w:rFonts w:hint="eastAsia" w:ascii="宋体" w:hAnsi="宋体" w:eastAsia="宋体" w:cs="宋体"/>
          <w:b/>
          <w:bCs/>
          <w:color w:val="000000" w:themeColor="text1"/>
          <w:szCs w:val="21"/>
          <w:highlight w:val="none"/>
          <w:lang w:val="zh-CN"/>
          <w14:textFill>
            <w14:solidFill>
              <w14:schemeClr w14:val="tx1"/>
            </w14:solidFill>
          </w14:textFill>
        </w:rPr>
        <w:t>同一个单项合同的业绩可以同时在资格业绩和评分业绩重复放置。</w:t>
      </w:r>
    </w:p>
    <w:p w14:paraId="31207D4B">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（2）业绩须附合同复印件</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和并网证明文件复印件</w:t>
      </w:r>
      <w:r>
        <w:rPr>
          <w:rFonts w:hint="eastAsia" w:ascii="宋体" w:hAnsi="宋体" w:eastAsia="宋体" w:cs="宋体"/>
          <w:color w:val="000000" w:themeColor="text1"/>
          <w:szCs w:val="21"/>
          <w:highlight w:val="none"/>
          <w:lang w:val="zh-CN"/>
          <w14:textFill>
            <w14:solidFill>
              <w14:schemeClr w14:val="tx1"/>
            </w14:solidFill>
          </w14:textFill>
        </w:rPr>
        <w:t>，否则不得分</w:t>
      </w:r>
      <w:r>
        <w:rPr>
          <w:rFonts w:hint="eastAsia" w:ascii="宋体" w:hAnsi="宋体" w:eastAsia="宋体" w:cs="宋体"/>
          <w:color w:val="000000" w:themeColor="text1"/>
          <w:szCs w:val="21"/>
          <w:highlight w:val="none"/>
          <w:lang w:val="zh-CN" w:eastAsia="zh-CN"/>
          <w14:textFill>
            <w14:solidFill>
              <w14:schemeClr w14:val="tx1"/>
            </w14:solidFill>
          </w14:textFill>
        </w:rPr>
        <w:t>。</w:t>
      </w:r>
    </w:p>
    <w:p w14:paraId="36EA6B6F">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）若合同无法反映评分条件(</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合同签订日期为2021年1月1日或以后</w:t>
      </w:r>
      <w:r>
        <w:rPr>
          <w:rFonts w:hint="eastAsia" w:ascii="宋体" w:hAnsi="宋体" w:eastAsia="宋体" w:cs="宋体"/>
          <w:color w:val="000000" w:themeColor="text1"/>
          <w:szCs w:val="21"/>
          <w:highlight w:val="none"/>
          <w:lang w:val="en-US" w:eastAsia="zh-CN"/>
          <w14:textFill>
            <w14:solidFill>
              <w14:schemeClr w14:val="tx1"/>
            </w14:solidFill>
          </w14:textFill>
        </w:rPr>
        <w:t>；2.投标人为分布式光伏发电项目的投资方；3.</w:t>
      </w:r>
      <w:r>
        <w:rPr>
          <w:rFonts w:hint="eastAsia" w:ascii="宋体" w:hAnsi="宋体" w:eastAsia="宋体" w:cs="宋体"/>
          <w:color w:val="000000" w:themeColor="text1"/>
          <w:szCs w:val="21"/>
          <w:highlight w:val="none"/>
          <w:lang w:val="zh-CN"/>
          <w14:textFill>
            <w14:solidFill>
              <w14:schemeClr w14:val="tx1"/>
            </w14:solidFill>
          </w14:textFill>
        </w:rPr>
        <w:t>安装总容量)，还需提供合同服务购买方出具的书面补充说明文件复印件（书面补充说明文件复印件能显示合同服务购买方公章）或发改备案（核准）的证明文件复印件作为辅助证明。</w:t>
      </w:r>
    </w:p>
    <w:p w14:paraId="5C5519B1">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）未按上述要求在此格式下提供证明材料的业绩，或在此格式下所附材料无法证明填报项目符合本项评分要求的业绩，在评标时将不予考虑。</w:t>
      </w:r>
    </w:p>
    <w:p w14:paraId="3553DC56">
      <w:pPr>
        <w:autoSpaceDE w:val="0"/>
        <w:autoSpaceDN w:val="0"/>
        <w:adjustRightInd w:val="0"/>
        <w:spacing w:line="360" w:lineRule="auto"/>
        <w:ind w:firstLine="5040" w:firstLineChars="2400"/>
        <w:jc w:val="left"/>
        <w:outlineLvl w:val="9"/>
        <w:rPr>
          <w:rFonts w:hint="eastAsia" w:ascii="宋体" w:hAnsi="宋体" w:eastAsia="宋体" w:cs="宋体"/>
          <w:color w:val="000000" w:themeColor="text1"/>
          <w:szCs w:val="21"/>
          <w:highlight w:val="none"/>
          <w:lang w:val="zh-CN"/>
          <w14:textFill>
            <w14:solidFill>
              <w14:schemeClr w14:val="tx1"/>
            </w14:solidFill>
          </w14:textFill>
        </w:rPr>
      </w:pPr>
    </w:p>
    <w:p w14:paraId="40B10548">
      <w:pPr>
        <w:autoSpaceDE w:val="0"/>
        <w:autoSpaceDN w:val="0"/>
        <w:adjustRightInd w:val="0"/>
        <w:spacing w:line="360" w:lineRule="auto"/>
        <w:ind w:firstLine="5040" w:firstLineChars="24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7B8CCAB0">
      <w:pPr>
        <w:autoSpaceDE w:val="0"/>
        <w:autoSpaceDN w:val="0"/>
        <w:adjustRightInd w:val="0"/>
        <w:spacing w:line="360" w:lineRule="auto"/>
        <w:ind w:firstLine="5040" w:firstLineChars="2400"/>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日期：   年   月   日</w:t>
      </w:r>
    </w:p>
    <w:p w14:paraId="0CF99829">
      <w:pPr>
        <w:spacing w:line="360" w:lineRule="auto"/>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br w:type="page"/>
      </w:r>
    </w:p>
    <w:bookmarkEnd w:id="621"/>
    <w:bookmarkEnd w:id="622"/>
    <w:p w14:paraId="4B0353BF">
      <w:pPr>
        <w:pageBreakBefore/>
        <w:spacing w:before="120" w:after="120" w:line="360" w:lineRule="auto"/>
        <w:jc w:val="left"/>
        <w:outlineLvl w:val="9"/>
        <w:rPr>
          <w:rFonts w:hint="eastAsia" w:ascii="宋体" w:hAnsi="宋体" w:eastAsia="宋体" w:cs="宋体"/>
          <w:b/>
          <w:bCs/>
          <w:color w:val="000000" w:themeColor="text1"/>
          <w:kern w:val="0"/>
          <w:sz w:val="32"/>
          <w:szCs w:val="32"/>
          <w:highlight w:val="none"/>
          <w:lang w:val="zh-CN"/>
          <w14:textFill>
            <w14:solidFill>
              <w14:schemeClr w14:val="tx1"/>
            </w14:solidFill>
          </w14:textFill>
        </w:rPr>
      </w:pPr>
      <w:bookmarkStart w:id="623" w:name="_Toc142508378"/>
      <w:bookmarkStart w:id="624" w:name="_Toc140596938"/>
      <w:bookmarkStart w:id="625" w:name="_Toc19890"/>
      <w:bookmarkStart w:id="626" w:name="_Toc1977737"/>
      <w:bookmarkStart w:id="627" w:name="_Toc102860427"/>
      <w:bookmarkStart w:id="628" w:name="_Toc486167719"/>
      <w:bookmarkStart w:id="629" w:name="_Toc104991885"/>
      <w:bookmarkStart w:id="630" w:name="_Toc18175_WPSOffice_Level2"/>
      <w:bookmarkStart w:id="631" w:name="_Toc18413"/>
      <w:bookmarkStart w:id="632" w:name="_Toc102860083"/>
      <w:bookmarkStart w:id="633" w:name="_Toc533708132"/>
      <w:bookmarkStart w:id="634" w:name="_Toc94107220"/>
      <w:bookmarkStart w:id="635" w:name="_Toc31965"/>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14:textFill>
            <w14:solidFill>
              <w14:schemeClr w14:val="tx1"/>
            </w14:solidFill>
          </w14:textFill>
        </w:rPr>
        <w:t>一</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、投标保证金汇入情况说明</w:t>
      </w:r>
      <w:bookmarkEnd w:id="623"/>
      <w:bookmarkEnd w:id="624"/>
      <w:bookmarkEnd w:id="625"/>
      <w:bookmarkEnd w:id="626"/>
      <w:bookmarkEnd w:id="627"/>
      <w:bookmarkEnd w:id="628"/>
      <w:bookmarkEnd w:id="629"/>
      <w:bookmarkEnd w:id="630"/>
      <w:bookmarkEnd w:id="631"/>
      <w:bookmarkEnd w:id="632"/>
      <w:bookmarkEnd w:id="633"/>
      <w:bookmarkEnd w:id="634"/>
      <w:bookmarkEnd w:id="635"/>
    </w:p>
    <w:p w14:paraId="27A73E47">
      <w:pPr>
        <w:autoSpaceDE w:val="0"/>
        <w:autoSpaceDN w:val="0"/>
        <w:adjustRightInd w:val="0"/>
        <w:spacing w:line="360" w:lineRule="auto"/>
        <w:jc w:val="left"/>
        <w:outlineLvl w:val="9"/>
        <w:rPr>
          <w:rFonts w:hint="eastAsia" w:ascii="宋体" w:hAnsi="宋体" w:eastAsia="宋体" w:cs="宋体"/>
          <w:color w:val="000000" w:themeColor="text1"/>
          <w:szCs w:val="24"/>
          <w:highlight w:val="none"/>
          <w14:textFill>
            <w14:solidFill>
              <w14:schemeClr w14:val="tx1"/>
            </w14:solidFill>
          </w14:textFill>
        </w:rPr>
      </w:pPr>
    </w:p>
    <w:p w14:paraId="3D19D399">
      <w:pPr>
        <w:autoSpaceDE w:val="0"/>
        <w:autoSpaceDN w:val="0"/>
        <w:adjustRightInd w:val="0"/>
        <w:spacing w:line="360" w:lineRule="auto"/>
        <w:jc w:val="center"/>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36"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636"/>
    </w:p>
    <w:p w14:paraId="6162CCF6">
      <w:pPr>
        <w:autoSpaceDE w:val="0"/>
        <w:autoSpaceDN w:val="0"/>
        <w:adjustRightInd w:val="0"/>
        <w:spacing w:line="360" w:lineRule="auto"/>
        <w:jc w:val="center"/>
        <w:outlineLvl w:val="9"/>
        <w:rPr>
          <w:rFonts w:hint="eastAsia" w:ascii="宋体" w:hAnsi="宋体" w:eastAsia="宋体" w:cs="宋体"/>
          <w:b/>
          <w:bCs/>
          <w:color w:val="000000" w:themeColor="text1"/>
          <w:kern w:val="0"/>
          <w:szCs w:val="24"/>
          <w:highlight w:val="none"/>
          <w14:textFill>
            <w14:solidFill>
              <w14:schemeClr w14:val="tx1"/>
            </w14:solidFill>
          </w14:textFill>
        </w:rPr>
      </w:pPr>
    </w:p>
    <w:p w14:paraId="393AFB22">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东莞市石鼓净水有限公司</w:t>
      </w:r>
      <w:r>
        <w:rPr>
          <w:rFonts w:hint="eastAsia" w:ascii="宋体" w:hAnsi="宋体" w:eastAsia="宋体" w:cs="宋体"/>
          <w:color w:val="000000" w:themeColor="text1"/>
          <w:szCs w:val="21"/>
          <w:highlight w:val="none"/>
          <w14:textFill>
            <w14:solidFill>
              <w14:schemeClr w14:val="tx1"/>
            </w14:solidFill>
          </w14:textFill>
        </w:rPr>
        <w:t>：</w:t>
      </w:r>
    </w:p>
    <w:p w14:paraId="6114FC2C">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东莞市石鼓净水有限公司污水处理厂分布式光伏发电项目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lang w:eastAsia="zh-CN"/>
          <w14:textFill>
            <w14:solidFill>
              <w14:schemeClr w14:val="tx1"/>
            </w14:solidFill>
          </w14:textFill>
        </w:rPr>
        <w:t>DGDS2024-089</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774BA56E">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本单位投标保证金的汇款情况：（详见附件－投标保证金进账单）</w:t>
      </w:r>
    </w:p>
    <w:p w14:paraId="033A832D">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124D3B07">
      <w:pPr>
        <w:spacing w:line="360" w:lineRule="auto"/>
        <w:ind w:firstLine="424" w:firstLineChars="202"/>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14:textFill>
            <w14:solidFill>
              <w14:schemeClr w14:val="tx1"/>
            </w14:solidFill>
          </w14:textFill>
        </w:rPr>
        <w:t>（大写）人民币      元（小写：¥      元）</w:t>
      </w:r>
    </w:p>
    <w:p w14:paraId="33B76D1F">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1947F6D8">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4DA837BD">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省         市         </w:t>
      </w:r>
    </w:p>
    <w:p w14:paraId="0DBEC70F">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5842F982">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投标保证金退回时，请按上述资料退回。</w:t>
      </w:r>
    </w:p>
    <w:p w14:paraId="1E27DC90">
      <w:pPr>
        <w:spacing w:line="360" w:lineRule="auto"/>
        <w:ind w:right="844" w:rightChars="402" w:firstLine="424" w:firstLineChars="202"/>
        <w:jc w:val="right"/>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5B329F79">
      <w:pPr>
        <w:spacing w:line="360" w:lineRule="auto"/>
        <w:ind w:right="628" w:rightChars="299" w:firstLine="7774" w:firstLineChars="3702"/>
        <w:jc w:val="left"/>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09B5DB9E">
      <w:pPr>
        <w:spacing w:line="360" w:lineRule="auto"/>
        <w:ind w:firstLine="424" w:firstLineChars="202"/>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2918AF4E">
      <w:pPr>
        <w:spacing w:line="360" w:lineRule="auto"/>
        <w:ind w:firstLine="424" w:firstLineChars="202"/>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70F7703C">
      <w:pPr>
        <w:spacing w:line="360" w:lineRule="auto"/>
        <w:ind w:firstLine="424" w:firstLineChars="202"/>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475F6C63">
      <w:pPr>
        <w:spacing w:line="360" w:lineRule="auto"/>
        <w:ind w:firstLine="424" w:firstLineChars="202"/>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7355B9C6">
      <w:pPr>
        <w:spacing w:line="360" w:lineRule="auto"/>
        <w:ind w:firstLine="424" w:firstLineChars="202"/>
        <w:outlineLvl w:val="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76854F6E">
      <w:pPr>
        <w:spacing w:line="360" w:lineRule="auto"/>
        <w:ind w:left="340" w:leftChars="162" w:firstLine="425"/>
        <w:outlineLvl w:val="9"/>
        <w:rPr>
          <w:rFonts w:hint="eastAsia" w:ascii="宋体" w:hAnsi="宋体" w:eastAsia="宋体" w:cs="宋体"/>
          <w:b/>
          <w:bCs/>
          <w:color w:val="000000" w:themeColor="text1"/>
          <w:szCs w:val="21"/>
          <w:highlight w:val="none"/>
          <w14:textFill>
            <w14:solidFill>
              <w14:schemeClr w14:val="tx1"/>
            </w14:solidFill>
          </w14:textFill>
        </w:rPr>
      </w:pPr>
      <w:bookmarkStart w:id="637"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637"/>
    </w:p>
    <w:p w14:paraId="31DDF82C">
      <w:pPr>
        <w:spacing w:line="360" w:lineRule="auto"/>
        <w:ind w:left="340" w:leftChars="162" w:firstLine="839" w:firstLineChars="398"/>
        <w:outlineLvl w:val="9"/>
        <w:rPr>
          <w:rFonts w:hint="eastAsia" w:ascii="宋体" w:hAnsi="宋体" w:eastAsia="宋体" w:cs="宋体"/>
          <w:b/>
          <w:bCs/>
          <w:color w:val="000000" w:themeColor="text1"/>
          <w:szCs w:val="21"/>
          <w:highlight w:val="none"/>
          <w14:textFill>
            <w14:solidFill>
              <w14:schemeClr w14:val="tx1"/>
            </w14:solidFill>
          </w14:textFill>
        </w:rPr>
      </w:pPr>
      <w:bookmarkStart w:id="638" w:name="_Toc12992_WPSOffice_Level3"/>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638"/>
    </w:p>
    <w:p w14:paraId="68F94149">
      <w:pPr>
        <w:spacing w:line="360" w:lineRule="auto"/>
        <w:ind w:left="340" w:leftChars="162" w:firstLine="736" w:firstLineChars="349"/>
        <w:outlineLvl w:val="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40F201C5">
      <w:pPr>
        <w:autoSpaceDE w:val="0"/>
        <w:autoSpaceDN w:val="0"/>
        <w:adjustRightInd w:val="0"/>
        <w:spacing w:line="360" w:lineRule="auto"/>
        <w:ind w:firstLine="5145" w:firstLineChars="2450"/>
        <w:outlineLvl w:val="9"/>
        <w:rPr>
          <w:rFonts w:hint="eastAsia" w:ascii="宋体" w:hAnsi="宋体" w:eastAsia="宋体" w:cs="宋体"/>
          <w:color w:val="000000" w:themeColor="text1"/>
          <w:szCs w:val="24"/>
          <w:highlight w:val="none"/>
          <w:lang w:val="zh-CN"/>
          <w14:textFill>
            <w14:solidFill>
              <w14:schemeClr w14:val="tx1"/>
            </w14:solidFill>
          </w14:textFill>
        </w:rPr>
      </w:pPr>
    </w:p>
    <w:p w14:paraId="54956221">
      <w:pPr>
        <w:spacing w:line="360" w:lineRule="auto"/>
        <w:outlineLvl w:val="9"/>
        <w:rPr>
          <w:rFonts w:hint="eastAsia" w:ascii="宋体" w:hAnsi="宋体" w:eastAsia="宋体" w:cs="宋体"/>
          <w:b/>
          <w:color w:val="000000" w:themeColor="text1"/>
          <w:kern w:val="0"/>
          <w:szCs w:val="21"/>
          <w:highlight w:val="none"/>
          <w14:textFill>
            <w14:solidFill>
              <w14:schemeClr w14:val="tx1"/>
            </w14:solidFill>
          </w14:textFill>
        </w:rPr>
      </w:pPr>
      <w:bookmarkStart w:id="639" w:name="_Toc533708134"/>
      <w:bookmarkStart w:id="640" w:name="_Toc486167721"/>
    </w:p>
    <w:p w14:paraId="0F304FB8">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000000" w:themeColor="text1"/>
          <w:kern w:val="0"/>
          <w:sz w:val="32"/>
          <w:szCs w:val="32"/>
          <w:highlight w:val="none"/>
          <w:lang w:val="zh-CN"/>
          <w14:textFill>
            <w14:solidFill>
              <w14:schemeClr w14:val="tx1"/>
            </w14:solidFill>
          </w14:textFill>
        </w:rPr>
      </w:pPr>
      <w:bookmarkStart w:id="641" w:name="_Toc1977738"/>
      <w:bookmarkStart w:id="642" w:name="_Toc24616"/>
      <w:bookmarkStart w:id="643" w:name="_Toc104991886"/>
      <w:bookmarkStart w:id="644" w:name="_Toc102860084"/>
      <w:bookmarkStart w:id="645" w:name="_Toc94107221"/>
      <w:bookmarkStart w:id="646" w:name="_Toc142508379"/>
      <w:bookmarkStart w:id="647" w:name="_Toc140596939"/>
      <w:bookmarkStart w:id="648" w:name="_Toc102860428"/>
    </w:p>
    <w:p w14:paraId="1E9D15CF">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000000" w:themeColor="text1"/>
          <w:kern w:val="0"/>
          <w:sz w:val="32"/>
          <w:szCs w:val="32"/>
          <w:highlight w:val="none"/>
          <w:lang w:val="zh-CN"/>
          <w14:textFill>
            <w14:solidFill>
              <w14:schemeClr w14:val="tx1"/>
            </w14:solidFill>
          </w14:textFill>
        </w:rPr>
      </w:pPr>
    </w:p>
    <w:p w14:paraId="1C034F8B">
      <w:pPr>
        <w:tabs>
          <w:tab w:val="left" w:pos="567"/>
        </w:tabs>
        <w:autoSpaceDE w:val="0"/>
        <w:autoSpaceDN w:val="0"/>
        <w:adjustRightInd w:val="0"/>
        <w:spacing w:line="360" w:lineRule="auto"/>
        <w:ind w:left="357" w:leftChars="-100" w:hanging="567"/>
        <w:outlineLvl w:val="9"/>
        <w:rPr>
          <w:rFonts w:hint="eastAsia"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bookmarkStart w:id="649" w:name="_Toc2007"/>
      <w:bookmarkStart w:id="650" w:name="_Toc29652"/>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14:textFill>
            <w14:solidFill>
              <w14:schemeClr w14:val="tx1"/>
            </w14:solidFill>
          </w14:textFill>
        </w:rPr>
        <w:t>二</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41"/>
      <w:bookmarkEnd w:id="642"/>
      <w:bookmarkEnd w:id="643"/>
      <w:bookmarkEnd w:id="644"/>
      <w:bookmarkEnd w:id="645"/>
      <w:bookmarkEnd w:id="646"/>
      <w:bookmarkEnd w:id="647"/>
      <w:bookmarkEnd w:id="648"/>
      <w:bookmarkEnd w:id="649"/>
      <w:bookmarkEnd w:id="650"/>
    </w:p>
    <w:p w14:paraId="595EB3FC">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bookmarkStart w:id="651" w:name="_Toc18038"/>
      <w:bookmarkStart w:id="652" w:name="_Toc27482"/>
      <w:bookmarkStart w:id="653" w:name="_Toc1977739"/>
      <w:bookmarkStart w:id="654" w:name="_Toc102860085"/>
      <w:bookmarkStart w:id="655" w:name="_Toc104991887"/>
      <w:bookmarkStart w:id="656" w:name="_Toc94107222"/>
      <w:bookmarkStart w:id="657" w:name="_Toc102860429"/>
      <w:bookmarkStart w:id="658" w:name="_Toc140596940"/>
      <w:bookmarkStart w:id="659" w:name="_Toc31916"/>
      <w:bookmarkStart w:id="660" w:name="_Toc142508380"/>
      <w:r>
        <w:rPr>
          <w:rFonts w:hint="eastAsia" w:ascii="宋体" w:hAnsi="宋体" w:eastAsia="宋体" w:cs="宋体"/>
          <w:b/>
          <w:color w:val="000000" w:themeColor="text1"/>
          <w:kern w:val="0"/>
          <w:sz w:val="32"/>
          <w:szCs w:val="32"/>
          <w:highlight w:val="none"/>
          <w14:textFill>
            <w14:solidFill>
              <w14:schemeClr w14:val="tx1"/>
            </w14:solidFill>
          </w14:textFill>
        </w:rPr>
        <w:t>十三、技术响应文件格式</w:t>
      </w:r>
      <w:bookmarkEnd w:id="639"/>
      <w:bookmarkEnd w:id="651"/>
      <w:bookmarkEnd w:id="652"/>
      <w:bookmarkEnd w:id="653"/>
      <w:bookmarkEnd w:id="654"/>
      <w:bookmarkEnd w:id="655"/>
      <w:bookmarkEnd w:id="656"/>
      <w:bookmarkEnd w:id="657"/>
      <w:bookmarkEnd w:id="658"/>
      <w:bookmarkEnd w:id="659"/>
      <w:bookmarkEnd w:id="660"/>
    </w:p>
    <w:p w14:paraId="3B582F35">
      <w:pPr>
        <w:tabs>
          <w:tab w:val="left" w:pos="8640"/>
        </w:tabs>
        <w:spacing w:line="360" w:lineRule="auto"/>
        <w:ind w:firstLine="420" w:firstLineChars="200"/>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14:paraId="769A2572">
      <w:pPr>
        <w:spacing w:line="360" w:lineRule="auto"/>
        <w:ind w:left="443" w:leftChars="77" w:hanging="281" w:hangingChars="134"/>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1、用户需求响应程度（即13.1用户需求偏离表格式）；</w:t>
      </w:r>
    </w:p>
    <w:p w14:paraId="1FEC1BD2">
      <w:pPr>
        <w:spacing w:line="360" w:lineRule="auto"/>
        <w:ind w:left="443" w:leftChars="77" w:hanging="281" w:hangingChars="134"/>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2、拟投入本项目设备及材料清单表格式；</w:t>
      </w:r>
    </w:p>
    <w:p w14:paraId="34911D5D">
      <w:pPr>
        <w:spacing w:line="360" w:lineRule="auto"/>
        <w:ind w:left="443" w:leftChars="77" w:hanging="281" w:hangingChars="134"/>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3、主要设备品牌响应表格式；</w:t>
      </w:r>
    </w:p>
    <w:p w14:paraId="757370BC">
      <w:pPr>
        <w:spacing w:line="360" w:lineRule="auto"/>
        <w:ind w:left="443" w:leftChars="77" w:hanging="281" w:hangingChars="134"/>
        <w:outlineLvl w:val="9"/>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4、系统总体设计（投标人自行编写）；</w:t>
      </w:r>
    </w:p>
    <w:p w14:paraId="2CC60064">
      <w:pPr>
        <w:spacing w:line="360" w:lineRule="auto"/>
        <w:ind w:left="443" w:leftChars="77" w:hanging="281" w:hangingChars="134"/>
        <w:outlineLvl w:val="9"/>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5、总体施工方案（投标人自行编写）；</w:t>
      </w:r>
    </w:p>
    <w:p w14:paraId="1B7AB4AB">
      <w:pPr>
        <w:spacing w:line="360" w:lineRule="auto"/>
        <w:ind w:left="443" w:leftChars="77" w:hanging="281" w:hangingChars="134"/>
        <w:outlineLvl w:val="9"/>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6、后期运维方案（投标人自行编写）；</w:t>
      </w:r>
    </w:p>
    <w:p w14:paraId="22340C9E">
      <w:pPr>
        <w:spacing w:line="360" w:lineRule="auto"/>
        <w:ind w:left="443" w:leftChars="77" w:hanging="281" w:hangingChars="134"/>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7、投标人认为有必要提供的其它材料（不做强制要求）。</w:t>
      </w:r>
    </w:p>
    <w:p w14:paraId="4C91448A">
      <w:pPr>
        <w:pStyle w:val="20"/>
        <w:spacing w:line="360" w:lineRule="auto"/>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640"/>
      <w:bookmarkStart w:id="661" w:name="_Toc104991888"/>
      <w:bookmarkStart w:id="662" w:name="_Toc533708135"/>
      <w:bookmarkStart w:id="663" w:name="_Toc102860430"/>
      <w:bookmarkStart w:id="664" w:name="_Toc1977740"/>
      <w:bookmarkStart w:id="665" w:name="_Toc140596941"/>
      <w:bookmarkStart w:id="666" w:name="_Toc142508381"/>
      <w:bookmarkStart w:id="667" w:name="_Toc102860086"/>
      <w:bookmarkStart w:id="668" w:name="_Toc94107223"/>
    </w:p>
    <w:p w14:paraId="58E8F01F">
      <w:pPr>
        <w:pStyle w:val="20"/>
        <w:spacing w:line="360" w:lineRule="auto"/>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p>
    <w:p w14:paraId="37B64A92">
      <w:pPr>
        <w:pStyle w:val="20"/>
        <w:spacing w:line="360" w:lineRule="auto"/>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p>
    <w:p w14:paraId="5CA343FF">
      <w:pPr>
        <w:pStyle w:val="20"/>
        <w:spacing w:line="360" w:lineRule="auto"/>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p>
    <w:p w14:paraId="7175743F">
      <w:pPr>
        <w:pStyle w:val="20"/>
        <w:spacing w:line="360" w:lineRule="auto"/>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p>
    <w:p w14:paraId="1FCED753">
      <w:pPr>
        <w:pStyle w:val="20"/>
        <w:spacing w:line="360" w:lineRule="auto"/>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p>
    <w:p w14:paraId="17C3E329">
      <w:pPr>
        <w:pStyle w:val="20"/>
        <w:spacing w:line="360" w:lineRule="auto"/>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p>
    <w:p w14:paraId="6540879D">
      <w:pPr>
        <w:pStyle w:val="20"/>
        <w:spacing w:line="360" w:lineRule="auto"/>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p>
    <w:p w14:paraId="1A41C54A">
      <w:pPr>
        <w:pStyle w:val="20"/>
        <w:spacing w:line="360" w:lineRule="auto"/>
        <w:jc w:val="center"/>
        <w:outlineLvl w:val="9"/>
        <w:rPr>
          <w:rFonts w:hint="eastAsia" w:ascii="宋体" w:hAnsi="宋体" w:eastAsia="宋体" w:cs="宋体"/>
          <w:b/>
          <w:color w:val="000000" w:themeColor="text1"/>
          <w:kern w:val="0"/>
          <w:szCs w:val="21"/>
          <w:highlight w:val="none"/>
          <w14:textFill>
            <w14:solidFill>
              <w14:schemeClr w14:val="tx1"/>
            </w14:solidFill>
          </w14:textFill>
        </w:rPr>
      </w:pPr>
    </w:p>
    <w:p w14:paraId="02F048EF">
      <w:pPr>
        <w:pStyle w:val="20"/>
        <w:spacing w:line="360" w:lineRule="auto"/>
        <w:jc w:val="center"/>
        <w:outlineLvl w:val="9"/>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586619EF">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1541B7A5">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7BA57498">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37180146">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59C71039">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1F281E94">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5DA18B4A">
      <w:pPr>
        <w:pStyle w:val="20"/>
        <w:spacing w:line="360" w:lineRule="auto"/>
        <w:outlineLvl w:val="9"/>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u w:val="single"/>
          <w:lang w:val="zh-CN"/>
          <w14:textFill>
            <w14:solidFill>
              <w14:schemeClr w14:val="tx1"/>
            </w14:solidFill>
          </w14:textFill>
        </w:rPr>
        <w:t>DGDS2024-089</w:t>
      </w:r>
      <w:r>
        <w:rPr>
          <w:rFonts w:hint="eastAsia" w:ascii="宋体" w:hAnsi="宋体" w:eastAsia="宋体" w:cs="宋体"/>
          <w:color w:val="000000" w:themeColor="text1"/>
          <w:sz w:val="30"/>
          <w:highlight w:val="none"/>
          <w:u w:val="single"/>
          <w:lang w:val="zh-CN"/>
          <w14:textFill>
            <w14:solidFill>
              <w14:schemeClr w14:val="tx1"/>
            </w14:solidFill>
          </w14:textFill>
        </w:rPr>
        <w:t xml:space="preserve"> </w:t>
      </w:r>
    </w:p>
    <w:p w14:paraId="67E44928">
      <w:pPr>
        <w:pStyle w:val="20"/>
        <w:spacing w:line="360" w:lineRule="auto"/>
        <w:outlineLvl w:val="9"/>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u w:val="single"/>
          <w:lang w:val="zh-CN"/>
          <w14:textFill>
            <w14:solidFill>
              <w14:schemeClr w14:val="tx1"/>
            </w14:solidFill>
          </w14:textFill>
        </w:rPr>
        <w:t>东莞市石鼓净水有限公司污水处理厂分布式光伏发电项目</w:t>
      </w:r>
    </w:p>
    <w:p w14:paraId="06C3381C">
      <w:pPr>
        <w:pStyle w:val="20"/>
        <w:spacing w:line="360" w:lineRule="auto"/>
        <w:outlineLvl w:val="9"/>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投标文件技术部分 </w:t>
      </w:r>
    </w:p>
    <w:p w14:paraId="6B85CBEA">
      <w:pPr>
        <w:pStyle w:val="20"/>
        <w:spacing w:line="360" w:lineRule="auto"/>
        <w:outlineLvl w:val="9"/>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u w:val="single"/>
          <w:lang w:val="zh-CN"/>
          <w14:textFill>
            <w14:solidFill>
              <w14:schemeClr w14:val="tx1"/>
            </w14:solidFill>
          </w14:textFill>
        </w:rPr>
        <w:t>东莞市石鼓净水有限公司</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1B0C724F">
      <w:pPr>
        <w:pStyle w:val="20"/>
        <w:spacing w:line="360" w:lineRule="auto"/>
        <w:outlineLvl w:val="9"/>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353CB9B7">
      <w:pPr>
        <w:pStyle w:val="20"/>
        <w:spacing w:line="360" w:lineRule="auto"/>
        <w:outlineLvl w:val="9"/>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376924FA">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0E449E70">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48FEA77">
      <w:pPr>
        <w:pStyle w:val="20"/>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686C6695">
      <w:pPr>
        <w:pBdr>
          <w:bottom w:val="single" w:color="auto" w:sz="6" w:space="0"/>
        </w:pBdr>
        <w:spacing w:line="480" w:lineRule="auto"/>
        <w:ind w:firstLine="472" w:firstLineChars="224"/>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0B8E2F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7452987">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55D7AF63">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047" w:type="pct"/>
            <w:vAlign w:val="center"/>
          </w:tcPr>
          <w:p w14:paraId="08504D05">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1950" w:type="pct"/>
            <w:tcBorders>
              <w:left w:val="single" w:color="auto" w:sz="4" w:space="0"/>
            </w:tcBorders>
            <w:vAlign w:val="center"/>
          </w:tcPr>
          <w:p w14:paraId="31149A9E">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4CFEB8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0F541ED">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601B09CE">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590B7CA7">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69BF8998">
            <w:pPr>
              <w:keepNext w:val="0"/>
              <w:keepLines w:val="0"/>
              <w:suppressLineNumbers w:val="0"/>
              <w:adjustRightInd w:val="0"/>
              <w:snapToGrid w:val="0"/>
              <w:spacing w:before="0" w:beforeAutospacing="0" w:after="0" w:afterAutospacing="0" w:line="360" w:lineRule="auto"/>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r>
      <w:tr w14:paraId="6D40C4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59B8290">
            <w:pPr>
              <w:keepNext w:val="0"/>
              <w:keepLines w:val="0"/>
              <w:suppressLineNumbers w:val="0"/>
              <w:spacing w:before="0" w:beforeAutospacing="0" w:after="0" w:afterAutospacing="0"/>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50EA081D">
            <w:pPr>
              <w:keepNext w:val="0"/>
              <w:keepLines w:val="0"/>
              <w:suppressLineNumbers w:val="0"/>
              <w:spacing w:before="0" w:beforeAutospacing="0" w:after="0" w:afterAutospacing="0"/>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18BD0C9B">
            <w:pPr>
              <w:keepNext w:val="0"/>
              <w:keepLines w:val="0"/>
              <w:suppressLineNumbers w:val="0"/>
              <w:spacing w:before="0" w:beforeAutospacing="0" w:after="0" w:afterAutospacing="0"/>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229A7F6E">
            <w:pPr>
              <w:keepNext w:val="0"/>
              <w:keepLines w:val="0"/>
              <w:suppressLineNumbers w:val="0"/>
              <w:adjustRightInd w:val="0"/>
              <w:snapToGrid w:val="0"/>
              <w:spacing w:before="0" w:beforeAutospacing="0" w:after="0" w:afterAutospacing="0" w:line="360" w:lineRule="auto"/>
              <w:ind w:left="0" w:right="0" w:firstLine="105" w:firstLineChars="50"/>
              <w:outlineLvl w:val="9"/>
              <w:rPr>
                <w:rFonts w:hint="eastAsia" w:ascii="宋体" w:hAnsi="宋体" w:eastAsia="宋体" w:cs="宋体"/>
                <w:bCs/>
                <w:color w:val="000000" w:themeColor="text1"/>
                <w:szCs w:val="21"/>
                <w:highlight w:val="none"/>
                <w14:textFill>
                  <w14:solidFill>
                    <w14:schemeClr w14:val="tx1"/>
                  </w14:solidFill>
                </w14:textFill>
              </w:rPr>
            </w:pPr>
          </w:p>
        </w:tc>
      </w:tr>
      <w:tr w14:paraId="76B07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DBEFA47">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425025F">
            <w:pPr>
              <w:keepNext w:val="0"/>
              <w:keepLines w:val="0"/>
              <w:suppressLineNumbers w:val="0"/>
              <w:adjustRightInd w:val="0"/>
              <w:snapToGrid w:val="0"/>
              <w:spacing w:before="0" w:beforeAutospacing="0" w:after="0" w:afterAutospacing="0" w:line="360" w:lineRule="auto"/>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27FE45FE">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71286DA6">
            <w:pPr>
              <w:keepNext w:val="0"/>
              <w:keepLines w:val="0"/>
              <w:suppressLineNumbers w:val="0"/>
              <w:spacing w:before="0" w:beforeAutospacing="0" w:after="0" w:afterAutospacing="0" w:line="360" w:lineRule="auto"/>
              <w:ind w:left="0" w:right="0" w:firstLine="8" w:firstLineChars="4"/>
              <w:outlineLvl w:val="9"/>
              <w:rPr>
                <w:rFonts w:hint="eastAsia" w:ascii="宋体" w:hAnsi="宋体" w:eastAsia="宋体" w:cs="宋体"/>
                <w:bCs/>
                <w:color w:val="000000" w:themeColor="text1"/>
                <w:szCs w:val="21"/>
                <w:highlight w:val="none"/>
                <w14:textFill>
                  <w14:solidFill>
                    <w14:schemeClr w14:val="tx1"/>
                  </w14:solidFill>
                </w14:textFill>
              </w:rPr>
            </w:pPr>
          </w:p>
        </w:tc>
      </w:tr>
      <w:tr w14:paraId="357B3A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A574503">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5CAE450F">
            <w:pPr>
              <w:keepNext w:val="0"/>
              <w:keepLines w:val="0"/>
              <w:suppressLineNumbers w:val="0"/>
              <w:adjustRightInd w:val="0"/>
              <w:snapToGrid w:val="0"/>
              <w:spacing w:before="0" w:beforeAutospacing="0" w:after="0" w:afterAutospacing="0" w:line="360" w:lineRule="auto"/>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c>
          <w:tcPr>
            <w:tcW w:w="1047" w:type="pct"/>
            <w:tcBorders>
              <w:top w:val="single" w:color="auto" w:sz="6" w:space="0"/>
              <w:left w:val="single" w:color="auto" w:sz="6" w:space="0"/>
              <w:bottom w:val="outset" w:color="808080" w:sz="6" w:space="0"/>
              <w:right w:val="single" w:color="auto" w:sz="6" w:space="0"/>
            </w:tcBorders>
            <w:vAlign w:val="center"/>
          </w:tcPr>
          <w:p w14:paraId="0E63EAA9">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top w:val="single" w:color="auto" w:sz="6" w:space="0"/>
              <w:left w:val="single" w:color="auto" w:sz="4" w:space="0"/>
              <w:bottom w:val="outset" w:color="808080" w:sz="6" w:space="0"/>
              <w:right w:val="single" w:color="auto" w:sz="6" w:space="0"/>
            </w:tcBorders>
            <w:vAlign w:val="center"/>
          </w:tcPr>
          <w:p w14:paraId="47499CCD">
            <w:pPr>
              <w:keepNext w:val="0"/>
              <w:keepLines w:val="0"/>
              <w:suppressLineNumbers w:val="0"/>
              <w:adjustRightInd w:val="0"/>
              <w:snapToGrid w:val="0"/>
              <w:spacing w:before="0" w:beforeAutospacing="0" w:after="0" w:afterAutospacing="0" w:line="360" w:lineRule="auto"/>
              <w:ind w:left="0" w:right="0"/>
              <w:outlineLvl w:val="9"/>
              <w:rPr>
                <w:rFonts w:hint="eastAsia" w:ascii="宋体" w:hAnsi="宋体" w:eastAsia="宋体" w:cs="宋体"/>
                <w:bCs/>
                <w:color w:val="000000" w:themeColor="text1"/>
                <w:szCs w:val="21"/>
                <w:highlight w:val="none"/>
                <w14:textFill>
                  <w14:solidFill>
                    <w14:schemeClr w14:val="tx1"/>
                  </w14:solidFill>
                </w14:textFill>
              </w:rPr>
            </w:pPr>
          </w:p>
        </w:tc>
      </w:tr>
      <w:tr w14:paraId="4176DB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93DDAAE">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047" w:type="pct"/>
            <w:tcBorders>
              <w:bottom w:val="single" w:color="auto" w:sz="4" w:space="0"/>
            </w:tcBorders>
            <w:vAlign w:val="center"/>
          </w:tcPr>
          <w:p w14:paraId="4B804FED">
            <w:pPr>
              <w:keepNext w:val="0"/>
              <w:keepLines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bottom w:val="single" w:color="auto" w:sz="4" w:space="0"/>
            </w:tcBorders>
            <w:vAlign w:val="center"/>
          </w:tcPr>
          <w:p w14:paraId="0E75D3E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Cs/>
                <w:color w:val="000000" w:themeColor="text1"/>
                <w:szCs w:val="21"/>
                <w:highlight w:val="none"/>
                <w14:textFill>
                  <w14:solidFill>
                    <w14:schemeClr w14:val="tx1"/>
                  </w14:solidFill>
                </w14:textFill>
              </w:rPr>
            </w:pPr>
          </w:p>
        </w:tc>
      </w:tr>
    </w:tbl>
    <w:p w14:paraId="4BFAB389">
      <w:pPr>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707F5E7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000000" w:themeColor="text1"/>
          <w:kern w:val="0"/>
          <w:sz w:val="30"/>
          <w:szCs w:val="30"/>
          <w:highlight w:val="none"/>
          <w14:textFill>
            <w14:solidFill>
              <w14:schemeClr w14:val="tx1"/>
            </w14:solidFill>
          </w14:textFill>
        </w:rPr>
      </w:pPr>
      <w:bookmarkStart w:id="669" w:name="_Toc18999"/>
      <w:bookmarkStart w:id="670" w:name="_Toc30448"/>
      <w:bookmarkStart w:id="671" w:name="_Toc27934"/>
      <w:bookmarkStart w:id="672" w:name="_Toc27280"/>
      <w:bookmarkStart w:id="673" w:name="_Toc12718"/>
      <w:r>
        <w:rPr>
          <w:rFonts w:hint="eastAsia" w:ascii="宋体" w:hAnsi="宋体" w:eastAsia="宋体" w:cs="宋体"/>
          <w:b/>
          <w:color w:val="000000" w:themeColor="text1"/>
          <w:kern w:val="0"/>
          <w:sz w:val="30"/>
          <w:szCs w:val="30"/>
          <w:highlight w:val="none"/>
          <w14:textFill>
            <w14:solidFill>
              <w14:schemeClr w14:val="tx1"/>
            </w14:solidFill>
          </w14:textFill>
        </w:rPr>
        <w:t>13.1 用户需求偏离表格式</w:t>
      </w:r>
      <w:bookmarkEnd w:id="661"/>
      <w:bookmarkEnd w:id="662"/>
      <w:bookmarkEnd w:id="663"/>
      <w:bookmarkEnd w:id="664"/>
      <w:bookmarkEnd w:id="665"/>
      <w:bookmarkEnd w:id="666"/>
      <w:bookmarkEnd w:id="667"/>
      <w:bookmarkEnd w:id="668"/>
      <w:bookmarkEnd w:id="669"/>
      <w:bookmarkEnd w:id="670"/>
      <w:bookmarkEnd w:id="671"/>
      <w:bookmarkEnd w:id="672"/>
      <w:bookmarkEnd w:id="673"/>
    </w:p>
    <w:p w14:paraId="75CBFAC5">
      <w:pPr>
        <w:spacing w:before="120" w:after="120" w:line="360" w:lineRule="auto"/>
        <w:jc w:val="center"/>
        <w:outlineLvl w:val="9"/>
        <w:rPr>
          <w:rFonts w:hint="eastAsia" w:ascii="宋体" w:hAnsi="宋体" w:eastAsia="宋体" w:cs="宋体"/>
          <w:color w:val="000000" w:themeColor="text1"/>
          <w:kern w:val="0"/>
          <w:szCs w:val="21"/>
          <w:highlight w:val="none"/>
          <w14:textFill>
            <w14:solidFill>
              <w14:schemeClr w14:val="tx1"/>
            </w14:solidFill>
          </w14:textFill>
        </w:rPr>
      </w:pPr>
      <w:bookmarkStart w:id="674"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67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917"/>
        <w:gridCol w:w="6379"/>
        <w:gridCol w:w="682"/>
        <w:gridCol w:w="832"/>
        <w:gridCol w:w="809"/>
      </w:tblGrid>
      <w:tr w14:paraId="2390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62" w:type="pct"/>
            <w:vMerge w:val="restart"/>
            <w:vAlign w:val="center"/>
          </w:tcPr>
          <w:p w14:paraId="51E13B84">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3517" w:type="pct"/>
            <w:gridSpan w:val="2"/>
            <w:vAlign w:val="center"/>
          </w:tcPr>
          <w:p w14:paraId="69D86933">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1120" w:type="pct"/>
            <w:gridSpan w:val="3"/>
            <w:vAlign w:val="center"/>
          </w:tcPr>
          <w:p w14:paraId="3817EE96">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14:paraId="7214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362" w:type="pct"/>
            <w:vMerge w:val="continue"/>
            <w:vAlign w:val="center"/>
          </w:tcPr>
          <w:p w14:paraId="45FC167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442" w:type="pct"/>
            <w:vAlign w:val="center"/>
          </w:tcPr>
          <w:p w14:paraId="3BF12E0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3075" w:type="pct"/>
            <w:vAlign w:val="center"/>
          </w:tcPr>
          <w:p w14:paraId="6B050BBF">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329" w:type="pct"/>
            <w:vAlign w:val="center"/>
          </w:tcPr>
          <w:p w14:paraId="18DEF13F">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401" w:type="pct"/>
            <w:vAlign w:val="center"/>
          </w:tcPr>
          <w:p w14:paraId="121E166B">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389" w:type="pct"/>
            <w:vAlign w:val="center"/>
          </w:tcPr>
          <w:p w14:paraId="597B7C6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14:paraId="260F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62" w:type="pct"/>
            <w:vAlign w:val="center"/>
          </w:tcPr>
          <w:p w14:paraId="67F379A8">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w:t>
            </w:r>
          </w:p>
        </w:tc>
        <w:tc>
          <w:tcPr>
            <w:tcW w:w="442" w:type="pct"/>
            <w:vAlign w:val="center"/>
          </w:tcPr>
          <w:p w14:paraId="087FDFFB">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eastAsia="zh-CN"/>
                <w14:textFill>
                  <w14:solidFill>
                    <w14:schemeClr w14:val="tx1"/>
                  </w14:solidFill>
                </w14:textFill>
              </w:rPr>
              <w:t>第一节</w:t>
            </w:r>
          </w:p>
        </w:tc>
        <w:tc>
          <w:tcPr>
            <w:tcW w:w="3075" w:type="pct"/>
            <w:vAlign w:val="center"/>
          </w:tcPr>
          <w:p w14:paraId="157D6B49">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用户需求概况</w:t>
            </w:r>
          </w:p>
        </w:tc>
        <w:tc>
          <w:tcPr>
            <w:tcW w:w="329" w:type="pct"/>
            <w:vAlign w:val="center"/>
          </w:tcPr>
          <w:p w14:paraId="6B789C3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401" w:type="pct"/>
            <w:vAlign w:val="center"/>
          </w:tcPr>
          <w:p w14:paraId="316C7EF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389" w:type="pct"/>
            <w:vAlign w:val="center"/>
          </w:tcPr>
          <w:p w14:paraId="4F4F365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r>
      <w:tr w14:paraId="7F98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Align w:val="center"/>
          </w:tcPr>
          <w:p w14:paraId="1EB8F38B">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w:t>
            </w:r>
          </w:p>
        </w:tc>
        <w:tc>
          <w:tcPr>
            <w:tcW w:w="442" w:type="pct"/>
            <w:vAlign w:val="center"/>
          </w:tcPr>
          <w:p w14:paraId="479DA5E8">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第</w:t>
            </w:r>
            <w:r>
              <w:rPr>
                <w:rFonts w:hint="eastAsia" w:ascii="宋体" w:hAnsi="宋体" w:eastAsia="宋体" w:cs="宋体"/>
                <w:color w:val="000000" w:themeColor="text1"/>
                <w:kern w:val="0"/>
                <w:sz w:val="18"/>
                <w:szCs w:val="18"/>
                <w:highlight w:val="none"/>
                <w:lang w:eastAsia="zh-CN"/>
                <w14:textFill>
                  <w14:solidFill>
                    <w14:schemeClr w14:val="tx1"/>
                  </w14:solidFill>
                </w14:textFill>
              </w:rPr>
              <w:t>二</w:t>
            </w:r>
            <w:r>
              <w:rPr>
                <w:rFonts w:hint="eastAsia" w:ascii="宋体" w:hAnsi="宋体" w:eastAsia="宋体" w:cs="宋体"/>
                <w:color w:val="000000" w:themeColor="text1"/>
                <w:kern w:val="0"/>
                <w:sz w:val="18"/>
                <w:szCs w:val="18"/>
                <w:highlight w:val="none"/>
                <w14:textFill>
                  <w14:solidFill>
                    <w14:schemeClr w14:val="tx1"/>
                  </w14:solidFill>
                </w14:textFill>
              </w:rPr>
              <w:t>节</w:t>
            </w:r>
          </w:p>
        </w:tc>
        <w:tc>
          <w:tcPr>
            <w:tcW w:w="3075" w:type="pct"/>
            <w:vAlign w:val="center"/>
          </w:tcPr>
          <w:p w14:paraId="056813F2">
            <w:pPr>
              <w:keepNext w:val="0"/>
              <w:keepLines w:val="0"/>
              <w:suppressLineNumbers w:val="0"/>
              <w:adjustRightInd w:val="0"/>
              <w:snapToGrid w:val="0"/>
              <w:spacing w:before="0" w:beforeAutospacing="0" w:after="0" w:afterAutospacing="0" w:line="240" w:lineRule="auto"/>
              <w:ind w:left="0" w:right="0"/>
              <w:outlineLvl w:val="9"/>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技术规范要求</w:t>
            </w:r>
          </w:p>
        </w:tc>
        <w:tc>
          <w:tcPr>
            <w:tcW w:w="329" w:type="pct"/>
            <w:vAlign w:val="center"/>
          </w:tcPr>
          <w:p w14:paraId="5363C2D2">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401" w:type="pct"/>
            <w:vAlign w:val="center"/>
          </w:tcPr>
          <w:p w14:paraId="586F87D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389" w:type="pct"/>
            <w:vAlign w:val="center"/>
          </w:tcPr>
          <w:p w14:paraId="22D9386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r>
      <w:tr w14:paraId="06D3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Align w:val="center"/>
          </w:tcPr>
          <w:p w14:paraId="771BC5BB">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w:t>
            </w:r>
          </w:p>
        </w:tc>
        <w:tc>
          <w:tcPr>
            <w:tcW w:w="442" w:type="pct"/>
            <w:vAlign w:val="center"/>
          </w:tcPr>
          <w:p w14:paraId="6FD7DD40">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第</w:t>
            </w:r>
            <w:r>
              <w:rPr>
                <w:rFonts w:hint="eastAsia" w:ascii="宋体" w:hAnsi="宋体" w:eastAsia="宋体" w:cs="宋体"/>
                <w:color w:val="000000" w:themeColor="text1"/>
                <w:sz w:val="18"/>
                <w:szCs w:val="18"/>
                <w:highlight w:val="none"/>
                <w:lang w:eastAsia="zh-CN"/>
                <w14:textFill>
                  <w14:solidFill>
                    <w14:schemeClr w14:val="tx1"/>
                  </w14:solidFill>
                </w14:textFill>
              </w:rPr>
              <w:t>三</w:t>
            </w:r>
            <w:r>
              <w:rPr>
                <w:rFonts w:hint="eastAsia" w:ascii="宋体" w:hAnsi="宋体" w:eastAsia="宋体" w:cs="宋体"/>
                <w:color w:val="000000" w:themeColor="text1"/>
                <w:sz w:val="18"/>
                <w:szCs w:val="18"/>
                <w:highlight w:val="none"/>
                <w14:textFill>
                  <w14:solidFill>
                    <w14:schemeClr w14:val="tx1"/>
                  </w14:solidFill>
                </w14:textFill>
              </w:rPr>
              <w:t>节</w:t>
            </w:r>
          </w:p>
        </w:tc>
        <w:tc>
          <w:tcPr>
            <w:tcW w:w="3075" w:type="pct"/>
            <w:vAlign w:val="center"/>
          </w:tcPr>
          <w:p w14:paraId="55DC0A07">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设计范围、要求</w:t>
            </w:r>
          </w:p>
        </w:tc>
        <w:tc>
          <w:tcPr>
            <w:tcW w:w="329" w:type="pct"/>
            <w:vAlign w:val="center"/>
          </w:tcPr>
          <w:p w14:paraId="3C7367B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401" w:type="pct"/>
            <w:vAlign w:val="center"/>
          </w:tcPr>
          <w:p w14:paraId="75977162">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389" w:type="pct"/>
            <w:vAlign w:val="center"/>
          </w:tcPr>
          <w:p w14:paraId="63BA7652">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r>
      <w:tr w14:paraId="2B98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Align w:val="center"/>
          </w:tcPr>
          <w:p w14:paraId="3AF14070">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4</w:t>
            </w:r>
          </w:p>
        </w:tc>
        <w:tc>
          <w:tcPr>
            <w:tcW w:w="442" w:type="pct"/>
            <w:vAlign w:val="center"/>
          </w:tcPr>
          <w:p w14:paraId="183C1CAB">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第</w:t>
            </w:r>
            <w:r>
              <w:rPr>
                <w:rFonts w:hint="eastAsia" w:ascii="宋体" w:hAnsi="宋体" w:eastAsia="宋体" w:cs="宋体"/>
                <w:color w:val="000000" w:themeColor="text1"/>
                <w:sz w:val="18"/>
                <w:szCs w:val="18"/>
                <w:highlight w:val="none"/>
                <w:lang w:eastAsia="zh-CN"/>
                <w14:textFill>
                  <w14:solidFill>
                    <w14:schemeClr w14:val="tx1"/>
                  </w14:solidFill>
                </w14:textFill>
              </w:rPr>
              <w:t>四</w:t>
            </w:r>
            <w:r>
              <w:rPr>
                <w:rFonts w:hint="eastAsia" w:ascii="宋体" w:hAnsi="宋体" w:eastAsia="宋体" w:cs="宋体"/>
                <w:color w:val="000000" w:themeColor="text1"/>
                <w:sz w:val="18"/>
                <w:szCs w:val="18"/>
                <w:highlight w:val="none"/>
                <w14:textFill>
                  <w14:solidFill>
                    <w14:schemeClr w14:val="tx1"/>
                  </w14:solidFill>
                </w14:textFill>
              </w:rPr>
              <w:t>节</w:t>
            </w:r>
          </w:p>
        </w:tc>
        <w:tc>
          <w:tcPr>
            <w:tcW w:w="3075" w:type="pct"/>
            <w:vAlign w:val="center"/>
          </w:tcPr>
          <w:p w14:paraId="61DAB1AB">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设备供货要求</w:t>
            </w:r>
          </w:p>
        </w:tc>
        <w:tc>
          <w:tcPr>
            <w:tcW w:w="329" w:type="pct"/>
            <w:vAlign w:val="center"/>
          </w:tcPr>
          <w:p w14:paraId="7D696FF2">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401" w:type="pct"/>
            <w:vAlign w:val="center"/>
          </w:tcPr>
          <w:p w14:paraId="124C311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389" w:type="pct"/>
            <w:vAlign w:val="center"/>
          </w:tcPr>
          <w:p w14:paraId="09CC6828">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r>
      <w:tr w14:paraId="6F76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62" w:type="pct"/>
            <w:vAlign w:val="center"/>
          </w:tcPr>
          <w:p w14:paraId="66E7F8C7">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w:t>
            </w:r>
          </w:p>
        </w:tc>
        <w:tc>
          <w:tcPr>
            <w:tcW w:w="442" w:type="pct"/>
            <w:vAlign w:val="center"/>
          </w:tcPr>
          <w:p w14:paraId="2A27D222">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第</w:t>
            </w:r>
            <w:r>
              <w:rPr>
                <w:rFonts w:hint="eastAsia" w:ascii="宋体" w:hAnsi="宋体" w:eastAsia="宋体" w:cs="宋体"/>
                <w:color w:val="000000" w:themeColor="text1"/>
                <w:kern w:val="0"/>
                <w:sz w:val="18"/>
                <w:szCs w:val="18"/>
                <w:highlight w:val="none"/>
                <w:lang w:eastAsia="zh-CN"/>
                <w14:textFill>
                  <w14:solidFill>
                    <w14:schemeClr w14:val="tx1"/>
                  </w14:solidFill>
                </w14:textFill>
              </w:rPr>
              <w:t>五</w:t>
            </w:r>
            <w:r>
              <w:rPr>
                <w:rFonts w:hint="eastAsia" w:ascii="宋体" w:hAnsi="宋体" w:eastAsia="宋体" w:cs="宋体"/>
                <w:color w:val="000000" w:themeColor="text1"/>
                <w:kern w:val="0"/>
                <w:sz w:val="18"/>
                <w:szCs w:val="18"/>
                <w:highlight w:val="none"/>
                <w14:textFill>
                  <w14:solidFill>
                    <w14:schemeClr w14:val="tx1"/>
                  </w14:solidFill>
                </w14:textFill>
              </w:rPr>
              <w:t>节</w:t>
            </w:r>
          </w:p>
        </w:tc>
        <w:tc>
          <w:tcPr>
            <w:tcW w:w="3075" w:type="pct"/>
            <w:vAlign w:val="center"/>
          </w:tcPr>
          <w:p w14:paraId="100FB7A0">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施工要求</w:t>
            </w:r>
          </w:p>
        </w:tc>
        <w:tc>
          <w:tcPr>
            <w:tcW w:w="329" w:type="pct"/>
            <w:vAlign w:val="center"/>
          </w:tcPr>
          <w:p w14:paraId="00E8C8F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401" w:type="pct"/>
            <w:vAlign w:val="center"/>
          </w:tcPr>
          <w:p w14:paraId="5E7E90AE">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389" w:type="pct"/>
            <w:vAlign w:val="center"/>
          </w:tcPr>
          <w:p w14:paraId="57EA644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r>
      <w:tr w14:paraId="6E3E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Align w:val="center"/>
          </w:tcPr>
          <w:p w14:paraId="785D7670">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w:t>
            </w:r>
          </w:p>
        </w:tc>
        <w:tc>
          <w:tcPr>
            <w:tcW w:w="442" w:type="pct"/>
            <w:vAlign w:val="center"/>
          </w:tcPr>
          <w:p w14:paraId="57921B23">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第</w:t>
            </w:r>
            <w:r>
              <w:rPr>
                <w:rFonts w:hint="eastAsia" w:ascii="宋体" w:hAnsi="宋体" w:eastAsia="宋体" w:cs="宋体"/>
                <w:color w:val="000000" w:themeColor="text1"/>
                <w:kern w:val="0"/>
                <w:sz w:val="18"/>
                <w:szCs w:val="18"/>
                <w:highlight w:val="none"/>
                <w:lang w:eastAsia="zh-CN"/>
                <w14:textFill>
                  <w14:solidFill>
                    <w14:schemeClr w14:val="tx1"/>
                  </w14:solidFill>
                </w14:textFill>
              </w:rPr>
              <w:t>六</w:t>
            </w:r>
            <w:r>
              <w:rPr>
                <w:rFonts w:hint="eastAsia" w:ascii="宋体" w:hAnsi="宋体" w:eastAsia="宋体" w:cs="宋体"/>
                <w:color w:val="000000" w:themeColor="text1"/>
                <w:kern w:val="0"/>
                <w:sz w:val="18"/>
                <w:szCs w:val="18"/>
                <w:highlight w:val="none"/>
                <w14:textFill>
                  <w14:solidFill>
                    <w14:schemeClr w14:val="tx1"/>
                  </w14:solidFill>
                </w14:textFill>
              </w:rPr>
              <w:t>节</w:t>
            </w:r>
          </w:p>
        </w:tc>
        <w:tc>
          <w:tcPr>
            <w:tcW w:w="3075" w:type="pct"/>
            <w:vAlign w:val="center"/>
          </w:tcPr>
          <w:p w14:paraId="2F3428F3">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调试和性能试验要求</w:t>
            </w:r>
          </w:p>
        </w:tc>
        <w:tc>
          <w:tcPr>
            <w:tcW w:w="329" w:type="pct"/>
            <w:vAlign w:val="center"/>
          </w:tcPr>
          <w:p w14:paraId="59C2EFB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401" w:type="pct"/>
            <w:vAlign w:val="center"/>
          </w:tcPr>
          <w:p w14:paraId="4EEC9E5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389" w:type="pct"/>
            <w:vAlign w:val="center"/>
          </w:tcPr>
          <w:p w14:paraId="5745F16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r>
      <w:tr w14:paraId="3180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Align w:val="center"/>
          </w:tcPr>
          <w:p w14:paraId="2A351F4A">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7</w:t>
            </w:r>
          </w:p>
        </w:tc>
        <w:tc>
          <w:tcPr>
            <w:tcW w:w="442" w:type="pct"/>
            <w:vAlign w:val="center"/>
          </w:tcPr>
          <w:p w14:paraId="083FB851">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eastAsia="zh-CN"/>
                <w14:textFill>
                  <w14:solidFill>
                    <w14:schemeClr w14:val="tx1"/>
                  </w14:solidFill>
                </w14:textFill>
              </w:rPr>
              <w:t>第七节</w:t>
            </w:r>
          </w:p>
        </w:tc>
        <w:tc>
          <w:tcPr>
            <w:tcW w:w="3075" w:type="pct"/>
            <w:vAlign w:val="center"/>
          </w:tcPr>
          <w:p w14:paraId="7EC0A4D7">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光伏电站运维要求</w:t>
            </w:r>
          </w:p>
        </w:tc>
        <w:tc>
          <w:tcPr>
            <w:tcW w:w="329" w:type="pct"/>
            <w:vAlign w:val="center"/>
          </w:tcPr>
          <w:p w14:paraId="7C24ECD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401" w:type="pct"/>
            <w:vAlign w:val="center"/>
          </w:tcPr>
          <w:p w14:paraId="0D980FE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389" w:type="pct"/>
            <w:vAlign w:val="center"/>
          </w:tcPr>
          <w:p w14:paraId="7E1DEB4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r>
      <w:tr w14:paraId="3283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Align w:val="center"/>
          </w:tcPr>
          <w:p w14:paraId="47F93CCD">
            <w:pPr>
              <w:keepNext w:val="0"/>
              <w:keepLines w:val="0"/>
              <w:suppressLineNumbers w:val="0"/>
              <w:spacing w:before="0" w:beforeAutospacing="0" w:after="0" w:afterAutospacing="0" w:line="240" w:lineRule="auto"/>
              <w:ind w:left="0" w:right="0"/>
              <w:jc w:val="center"/>
              <w:outlineLvl w:val="9"/>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8</w:t>
            </w:r>
          </w:p>
        </w:tc>
        <w:tc>
          <w:tcPr>
            <w:tcW w:w="442" w:type="pct"/>
            <w:vAlign w:val="center"/>
          </w:tcPr>
          <w:p w14:paraId="787E9F7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eastAsia="zh-CN"/>
                <w14:textFill>
                  <w14:solidFill>
                    <w14:schemeClr w14:val="tx1"/>
                  </w14:solidFill>
                </w14:textFill>
              </w:rPr>
              <w:t>第八节</w:t>
            </w:r>
          </w:p>
        </w:tc>
        <w:tc>
          <w:tcPr>
            <w:tcW w:w="3075" w:type="pct"/>
            <w:vAlign w:val="center"/>
          </w:tcPr>
          <w:p w14:paraId="74326E1B">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支付方式及相关要求</w:t>
            </w:r>
          </w:p>
        </w:tc>
        <w:tc>
          <w:tcPr>
            <w:tcW w:w="329" w:type="pct"/>
            <w:vAlign w:val="center"/>
          </w:tcPr>
          <w:p w14:paraId="40990E4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401" w:type="pct"/>
            <w:vAlign w:val="center"/>
          </w:tcPr>
          <w:p w14:paraId="5832271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389" w:type="pct"/>
            <w:vAlign w:val="center"/>
          </w:tcPr>
          <w:p w14:paraId="5BB26C7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r>
    </w:tbl>
    <w:p w14:paraId="3E2AF8A1">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14:paraId="342486C1">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40260D2E">
      <w:pPr>
        <w:spacing w:line="360" w:lineRule="auto"/>
        <w:ind w:left="605" w:leftChars="18" w:hanging="567" w:hangingChars="270"/>
        <w:outlineLvl w:val="9"/>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投标人应对照招标文件用户需求书的响应，逐条逐项、如实地填写“偏离情况”，</w:t>
      </w:r>
      <w:r>
        <w:rPr>
          <w:rFonts w:hint="eastAsia" w:ascii="宋体" w:hAnsi="宋体" w:eastAsia="宋体" w:cs="宋体"/>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6CECB317">
      <w:pPr>
        <w:spacing w:line="360" w:lineRule="auto"/>
        <w:ind w:left="605" w:leftChars="18" w:hanging="567" w:hangingChars="27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44620B97">
      <w:pPr>
        <w:spacing w:line="360" w:lineRule="auto"/>
        <w:ind w:left="607" w:leftChars="18" w:hanging="569" w:hangingChars="270"/>
        <w:outlineLvl w:val="9"/>
        <w:rPr>
          <w:rFonts w:hint="eastAsia" w:ascii="宋体" w:hAnsi="宋体" w:eastAsia="宋体" w:cs="宋体"/>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宋体"/>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宋体"/>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6D40AA22">
      <w:pPr>
        <w:spacing w:line="360" w:lineRule="auto"/>
        <w:ind w:left="607" w:leftChars="18" w:hanging="569" w:hangingChars="270"/>
        <w:outlineLvl w:val="9"/>
        <w:rPr>
          <w:rFonts w:hint="eastAsia" w:ascii="宋体" w:hAnsi="宋体" w:eastAsia="宋体" w:cs="宋体"/>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u w:val="single"/>
          <w14:textFill>
            <w14:solidFill>
              <w14:schemeClr w14:val="tx1"/>
            </w14:solidFill>
          </w14:textFill>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000000" w:themeColor="text1"/>
          <w:kern w:val="0"/>
          <w:sz w:val="24"/>
          <w:szCs w:val="21"/>
          <w:highlight w:val="none"/>
          <w:u w:val="single"/>
          <w:lang w:val="zh-CN"/>
          <w14:textFill>
            <w14:solidFill>
              <w14:schemeClr w14:val="tx1"/>
            </w14:solidFill>
          </w14:textFill>
        </w:rPr>
        <w:t>。</w:t>
      </w:r>
    </w:p>
    <w:p w14:paraId="080DE0A8">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bookmarkStart w:id="675" w:name="_Toc30545"/>
      <w:bookmarkStart w:id="676" w:name="_Toc3750"/>
      <w:bookmarkStart w:id="677" w:name="_Toc102860438"/>
      <w:bookmarkStart w:id="678" w:name="_Toc142508389"/>
      <w:bookmarkStart w:id="679" w:name="_Toc102860094"/>
      <w:bookmarkStart w:id="680" w:name="_Toc140596949"/>
      <w:bookmarkStart w:id="681" w:name="_Toc18180"/>
      <w:bookmarkStart w:id="682" w:name="_Toc104991896"/>
      <w:bookmarkStart w:id="683" w:name="_Toc533708139"/>
    </w:p>
    <w:p w14:paraId="412A94C9">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26FA005C">
      <w:pPr>
        <w:autoSpaceDE w:val="0"/>
        <w:autoSpaceDN w:val="0"/>
        <w:adjustRightInd w:val="0"/>
        <w:spacing w:line="360" w:lineRule="auto"/>
        <w:ind w:firstLine="4960" w:firstLineChars="2362"/>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宋体"/>
          <w:color w:val="000000" w:themeColor="text1"/>
          <w:szCs w:val="24"/>
          <w:highlight w:val="none"/>
          <w:lang w:val="zh-CN"/>
          <w14:textFill>
            <w14:solidFill>
              <w14:schemeClr w14:val="tx1"/>
            </w14:solidFill>
          </w14:textFill>
        </w:rPr>
        <w:t>期：   年   月   日</w:t>
      </w:r>
    </w:p>
    <w:p w14:paraId="3D87630F">
      <w:pPr>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p>
    <w:p w14:paraId="188BAF5A">
      <w:pPr>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p>
    <w:p w14:paraId="1285BBF0">
      <w:pPr>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20AE496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default" w:ascii="宋体" w:hAnsi="宋体" w:eastAsia="宋体" w:cs="宋体"/>
          <w:b/>
          <w:color w:val="000000" w:themeColor="text1"/>
          <w:kern w:val="0"/>
          <w:sz w:val="30"/>
          <w:szCs w:val="30"/>
          <w:highlight w:val="none"/>
          <w:lang w:val="en-US" w:eastAsia="zh-CN"/>
          <w14:textFill>
            <w14:solidFill>
              <w14:schemeClr w14:val="tx1"/>
            </w14:solidFill>
          </w14:textFill>
        </w:rPr>
      </w:pPr>
      <w:bookmarkStart w:id="684" w:name="_Toc17295"/>
      <w:bookmarkStart w:id="685" w:name="_Toc1727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13.2 拟投入本项目设备及材料清单表格式</w:t>
      </w:r>
      <w:bookmarkEnd w:id="684"/>
      <w:bookmarkEnd w:id="685"/>
    </w:p>
    <w:p w14:paraId="07B55096">
      <w:pPr>
        <w:autoSpaceDE w:val="0"/>
        <w:autoSpaceDN w:val="0"/>
        <w:adjustRightInd w:val="0"/>
        <w:spacing w:line="360" w:lineRule="auto"/>
        <w:jc w:val="center"/>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拟投入本项目设备及材料清单表</w:t>
      </w:r>
    </w:p>
    <w:tbl>
      <w:tblPr>
        <w:tblStyle w:val="37"/>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89"/>
        <w:gridCol w:w="889"/>
        <w:gridCol w:w="889"/>
        <w:gridCol w:w="889"/>
        <w:gridCol w:w="889"/>
        <w:gridCol w:w="4926"/>
      </w:tblGrid>
      <w:tr w14:paraId="1655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81" w:type="pct"/>
            <w:tcBorders>
              <w:top w:val="single" w:color="auto" w:sz="4" w:space="0"/>
              <w:left w:val="single" w:color="auto" w:sz="4" w:space="0"/>
              <w:bottom w:val="single" w:color="auto" w:sz="4" w:space="0"/>
              <w:right w:val="single" w:color="auto" w:sz="4" w:space="0"/>
            </w:tcBorders>
            <w:noWrap w:val="0"/>
            <w:vAlign w:val="center"/>
          </w:tcPr>
          <w:p w14:paraId="5F3E458C">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Times New Roman"/>
                <w:b/>
                <w:color w:val="000000" w:themeColor="text1"/>
                <w:kern w:val="0"/>
                <w:sz w:val="18"/>
                <w:szCs w:val="18"/>
                <w:highlight w:val="none"/>
                <w14:textFill>
                  <w14:solidFill>
                    <w14:schemeClr w14:val="tx1"/>
                  </w14:solidFill>
                </w14:textFill>
              </w:rPr>
            </w:pPr>
            <w:r>
              <w:rPr>
                <w:rFonts w:hint="eastAsia" w:ascii="宋体" w:hAnsi="宋体" w:eastAsia="宋体" w:cs="Times New Roman"/>
                <w:b/>
                <w:color w:val="000000" w:themeColor="text1"/>
                <w:kern w:val="0"/>
                <w:sz w:val="18"/>
                <w:szCs w:val="18"/>
                <w:highlight w:val="none"/>
                <w14:textFill>
                  <w14:solidFill>
                    <w14:schemeClr w14:val="tx1"/>
                  </w14:solidFill>
                </w14:textFill>
              </w:rPr>
              <w:t>序号</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67B33EDD">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Times New Roman"/>
                <w:b/>
                <w:color w:val="000000" w:themeColor="text1"/>
                <w:kern w:val="0"/>
                <w:sz w:val="18"/>
                <w:szCs w:val="18"/>
                <w:highlight w:val="none"/>
                <w14:textFill>
                  <w14:solidFill>
                    <w14:schemeClr w14:val="tx1"/>
                  </w14:solidFill>
                </w14:textFill>
              </w:rPr>
            </w:pPr>
            <w:r>
              <w:rPr>
                <w:rFonts w:hint="eastAsia" w:ascii="宋体" w:hAnsi="宋体" w:eastAsia="宋体" w:cs="Times New Roman"/>
                <w:b/>
                <w:color w:val="000000" w:themeColor="text1"/>
                <w:kern w:val="0"/>
                <w:sz w:val="18"/>
                <w:szCs w:val="18"/>
                <w:highlight w:val="none"/>
                <w14:textFill>
                  <w14:solidFill>
                    <w14:schemeClr w14:val="tx1"/>
                  </w14:solidFill>
                </w14:textFill>
              </w:rPr>
              <w:t>设备</w:t>
            </w:r>
            <w:r>
              <w:rPr>
                <w:rFonts w:hint="eastAsia" w:ascii="宋体" w:hAnsi="宋体" w:eastAsia="宋体" w:cs="Times New Roman"/>
                <w:b/>
                <w:color w:val="000000" w:themeColor="text1"/>
                <w:kern w:val="0"/>
                <w:sz w:val="18"/>
                <w:szCs w:val="18"/>
                <w:highlight w:val="none"/>
                <w:lang w:eastAsia="zh-CN"/>
                <w14:textFill>
                  <w14:solidFill>
                    <w14:schemeClr w14:val="tx1"/>
                  </w14:solidFill>
                </w14:textFill>
              </w:rPr>
              <w:t>、</w:t>
            </w:r>
            <w:r>
              <w:rPr>
                <w:rFonts w:hint="eastAsia" w:ascii="宋体" w:hAnsi="宋体" w:eastAsia="宋体" w:cs="Times New Roman"/>
                <w:b/>
                <w:color w:val="000000" w:themeColor="text1"/>
                <w:kern w:val="0"/>
                <w:sz w:val="18"/>
                <w:szCs w:val="18"/>
                <w:highlight w:val="none"/>
                <w14:textFill>
                  <w14:solidFill>
                    <w14:schemeClr w14:val="tx1"/>
                  </w14:solidFill>
                </w14:textFill>
              </w:rPr>
              <w:t>材料名称</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7EB91254">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Times New Roman"/>
                <w:b/>
                <w:color w:val="000000" w:themeColor="text1"/>
                <w:kern w:val="0"/>
                <w:sz w:val="18"/>
                <w:szCs w:val="18"/>
                <w:highlight w:val="none"/>
                <w14:textFill>
                  <w14:solidFill>
                    <w14:schemeClr w14:val="tx1"/>
                  </w14:solidFill>
                </w14:textFill>
              </w:rPr>
            </w:pPr>
            <w:r>
              <w:rPr>
                <w:rFonts w:hint="eastAsia" w:ascii="宋体" w:hAnsi="宋体" w:eastAsia="宋体" w:cs="宋体"/>
                <w:b/>
                <w:bCs w:val="0"/>
                <w:color w:val="000000" w:themeColor="text1"/>
                <w:kern w:val="0"/>
                <w:sz w:val="18"/>
                <w:szCs w:val="18"/>
                <w:highlight w:val="none"/>
                <w:lang w:val="en-US" w:eastAsia="zh-CN" w:bidi="ar"/>
                <w14:textFill>
                  <w14:solidFill>
                    <w14:schemeClr w14:val="tx1"/>
                  </w14:solidFill>
                </w14:textFill>
              </w:rPr>
              <w:t>产品品牌</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190F898">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Times New Roman"/>
                <w:b/>
                <w:color w:val="000000" w:themeColor="text1"/>
                <w:kern w:val="0"/>
                <w:sz w:val="18"/>
                <w:szCs w:val="18"/>
                <w:highlight w:val="none"/>
                <w14:textFill>
                  <w14:solidFill>
                    <w14:schemeClr w14:val="tx1"/>
                  </w14:solidFill>
                </w14:textFill>
              </w:rPr>
            </w:pPr>
            <w:r>
              <w:rPr>
                <w:rFonts w:hint="eastAsia" w:ascii="宋体" w:hAnsi="宋体" w:eastAsia="宋体" w:cs="宋体"/>
                <w:b/>
                <w:bCs w:val="0"/>
                <w:color w:val="000000" w:themeColor="text1"/>
                <w:kern w:val="0"/>
                <w:sz w:val="18"/>
                <w:szCs w:val="18"/>
                <w:highlight w:val="none"/>
                <w:lang w:val="en-US" w:eastAsia="zh-CN" w:bidi="ar"/>
                <w14:textFill>
                  <w14:solidFill>
                    <w14:schemeClr w14:val="tx1"/>
                  </w14:solidFill>
                </w14:textFill>
              </w:rPr>
              <w:t>产品产地</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213A6661">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Times New Roman"/>
                <w:b/>
                <w:color w:val="000000" w:themeColor="text1"/>
                <w:kern w:val="0"/>
                <w:sz w:val="18"/>
                <w:szCs w:val="18"/>
                <w:highlight w:val="none"/>
                <w14:textFill>
                  <w14:solidFill>
                    <w14:schemeClr w14:val="tx1"/>
                  </w14:solidFill>
                </w14:textFill>
              </w:rPr>
            </w:pPr>
            <w:r>
              <w:rPr>
                <w:rFonts w:hint="eastAsia" w:ascii="宋体" w:hAnsi="宋体" w:eastAsia="宋体" w:cs="宋体"/>
                <w:b/>
                <w:bCs w:val="0"/>
                <w:color w:val="000000" w:themeColor="text1"/>
                <w:kern w:val="0"/>
                <w:sz w:val="18"/>
                <w:szCs w:val="18"/>
                <w:highlight w:val="none"/>
                <w:lang w:val="en-US" w:eastAsia="zh-CN" w:bidi="ar"/>
                <w14:textFill>
                  <w14:solidFill>
                    <w14:schemeClr w14:val="tx1"/>
                  </w14:solidFill>
                </w14:textFill>
              </w:rPr>
              <w:t>产品规格型号</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2311AA4A">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b/>
                <w:color w:val="000000" w:themeColor="text1"/>
                <w:kern w:val="0"/>
                <w:sz w:val="18"/>
                <w:szCs w:val="18"/>
                <w:highlight w:val="none"/>
                <w14:textFill>
                  <w14:solidFill>
                    <w14:schemeClr w14:val="tx1"/>
                  </w14:solidFill>
                </w14:textFill>
              </w:rPr>
            </w:pPr>
            <w:r>
              <w:rPr>
                <w:rFonts w:hint="eastAsia" w:ascii="宋体" w:hAnsi="宋体" w:eastAsia="宋体" w:cs="宋体"/>
                <w:b/>
                <w:bCs w:val="0"/>
                <w:color w:val="000000" w:themeColor="text1"/>
                <w:kern w:val="0"/>
                <w:sz w:val="18"/>
                <w:szCs w:val="18"/>
                <w:highlight w:val="none"/>
                <w:lang w:val="en-US" w:eastAsia="zh-CN" w:bidi="ar"/>
                <w14:textFill>
                  <w14:solidFill>
                    <w14:schemeClr w14:val="tx1"/>
                  </w14:solidFill>
                </w14:textFill>
              </w:rPr>
              <w:t>产品生产厂家</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60E5D50D">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b/>
                <w:color w:val="000000" w:themeColor="text1"/>
                <w:kern w:val="0"/>
                <w:sz w:val="18"/>
                <w:szCs w:val="18"/>
                <w:highlight w:val="none"/>
                <w14:textFill>
                  <w14:solidFill>
                    <w14:schemeClr w14:val="tx1"/>
                  </w14:solidFill>
                </w14:textFill>
              </w:rPr>
            </w:pPr>
            <w:r>
              <w:rPr>
                <w:rFonts w:hint="eastAsia" w:ascii="宋体" w:hAnsi="宋体" w:eastAsia="宋体" w:cs="Times New Roman"/>
                <w:b/>
                <w:color w:val="000000" w:themeColor="text1"/>
                <w:kern w:val="0"/>
                <w:sz w:val="18"/>
                <w:szCs w:val="18"/>
                <w:highlight w:val="none"/>
                <w14:textFill>
                  <w14:solidFill>
                    <w14:schemeClr w14:val="tx1"/>
                  </w14:solidFill>
                </w14:textFill>
              </w:rPr>
              <w:t>产品主要技术参数</w:t>
            </w:r>
          </w:p>
        </w:tc>
      </w:tr>
      <w:tr w14:paraId="5407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81" w:type="pct"/>
            <w:tcBorders>
              <w:top w:val="single" w:color="auto" w:sz="4" w:space="0"/>
              <w:left w:val="single" w:color="auto" w:sz="4" w:space="0"/>
              <w:bottom w:val="single" w:color="auto" w:sz="4" w:space="0"/>
              <w:right w:val="single" w:color="auto" w:sz="4" w:space="0"/>
            </w:tcBorders>
            <w:noWrap w:val="0"/>
            <w:vAlign w:val="center"/>
          </w:tcPr>
          <w:p w14:paraId="521026C1">
            <w:pPr>
              <w:keepNext w:val="0"/>
              <w:keepLines w:val="0"/>
              <w:widowControl/>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28111640">
            <w:pPr>
              <w:keepNext w:val="0"/>
              <w:keepLines w:val="0"/>
              <w:widowControl/>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6F0F64D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147E6FD4">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07475002">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5B944DE3">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2427" w:type="pct"/>
            <w:tcBorders>
              <w:top w:val="single" w:color="auto" w:sz="4" w:space="0"/>
              <w:left w:val="single" w:color="auto" w:sz="4" w:space="0"/>
              <w:bottom w:val="single" w:color="auto" w:sz="4" w:space="0"/>
              <w:right w:val="single" w:color="auto" w:sz="4" w:space="0"/>
            </w:tcBorders>
            <w:noWrap w:val="0"/>
            <w:vAlign w:val="center"/>
          </w:tcPr>
          <w:p w14:paraId="5E49A3B0">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r>
      <w:tr w14:paraId="1CE0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1" w:type="pct"/>
            <w:tcBorders>
              <w:top w:val="single" w:color="auto" w:sz="4" w:space="0"/>
              <w:left w:val="single" w:color="auto" w:sz="4" w:space="0"/>
              <w:bottom w:val="single" w:color="auto" w:sz="4" w:space="0"/>
              <w:right w:val="single" w:color="auto" w:sz="4" w:space="0"/>
            </w:tcBorders>
            <w:noWrap w:val="0"/>
            <w:vAlign w:val="center"/>
          </w:tcPr>
          <w:p w14:paraId="0A05319A">
            <w:pPr>
              <w:keepNext w:val="0"/>
              <w:keepLines w:val="0"/>
              <w:widowControl/>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0302962">
            <w:pPr>
              <w:keepNext w:val="0"/>
              <w:keepLines w:val="0"/>
              <w:widowControl/>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3244AEFE">
            <w:pPr>
              <w:keepNext w:val="0"/>
              <w:keepLines w:val="0"/>
              <w:widowControl/>
              <w:suppressLineNumbers w:val="0"/>
              <w:autoSpaceDE/>
              <w:autoSpaceDN/>
              <w:adjustRightInd/>
              <w:spacing w:before="0" w:beforeAutospacing="0" w:after="0" w:afterAutospacing="0" w:line="360" w:lineRule="auto"/>
              <w:ind w:left="0" w:right="0"/>
              <w:jc w:val="left"/>
              <w:rPr>
                <w:rFonts w:hint="default"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094C797D">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46E9EF04">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2163BF39">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2427" w:type="pct"/>
            <w:tcBorders>
              <w:top w:val="single" w:color="auto" w:sz="4" w:space="0"/>
              <w:left w:val="single" w:color="auto" w:sz="4" w:space="0"/>
              <w:bottom w:val="single" w:color="auto" w:sz="4" w:space="0"/>
              <w:right w:val="single" w:color="auto" w:sz="4" w:space="0"/>
            </w:tcBorders>
            <w:noWrap w:val="0"/>
            <w:vAlign w:val="center"/>
          </w:tcPr>
          <w:p w14:paraId="5FF40DAA">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r>
      <w:tr w14:paraId="7977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81" w:type="pct"/>
            <w:tcBorders>
              <w:top w:val="single" w:color="auto" w:sz="4" w:space="0"/>
              <w:left w:val="single" w:color="auto" w:sz="4" w:space="0"/>
              <w:bottom w:val="single" w:color="auto" w:sz="4" w:space="0"/>
              <w:right w:val="single" w:color="auto" w:sz="4" w:space="0"/>
            </w:tcBorders>
            <w:noWrap w:val="0"/>
            <w:vAlign w:val="center"/>
          </w:tcPr>
          <w:p w14:paraId="18DED288">
            <w:pPr>
              <w:keepNext w:val="0"/>
              <w:keepLines w:val="0"/>
              <w:widowControl/>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4B9F0931">
            <w:pPr>
              <w:keepNext w:val="0"/>
              <w:keepLines w:val="0"/>
              <w:widowControl/>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3BC15225">
            <w:pPr>
              <w:keepNext w:val="0"/>
              <w:keepLines w:val="0"/>
              <w:widowControl/>
              <w:suppressLineNumbers w:val="0"/>
              <w:autoSpaceDE/>
              <w:autoSpaceDN/>
              <w:adjustRightInd/>
              <w:spacing w:before="0" w:beforeAutospacing="0" w:after="0" w:afterAutospacing="0" w:line="360" w:lineRule="auto"/>
              <w:ind w:left="0" w:right="0"/>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2DBFF3FA">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5CD66BFD">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26CDA3B4">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2427" w:type="pct"/>
            <w:tcBorders>
              <w:top w:val="single" w:color="auto" w:sz="4" w:space="0"/>
              <w:left w:val="single" w:color="auto" w:sz="4" w:space="0"/>
              <w:bottom w:val="single" w:color="auto" w:sz="4" w:space="0"/>
              <w:right w:val="single" w:color="auto" w:sz="4" w:space="0"/>
            </w:tcBorders>
            <w:noWrap w:val="0"/>
            <w:vAlign w:val="center"/>
          </w:tcPr>
          <w:p w14:paraId="6E4386CE">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r>
      <w:tr w14:paraId="484E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81" w:type="pct"/>
            <w:tcBorders>
              <w:top w:val="single" w:color="auto" w:sz="4" w:space="0"/>
              <w:left w:val="single" w:color="auto" w:sz="4" w:space="0"/>
              <w:bottom w:val="single" w:color="auto" w:sz="4" w:space="0"/>
              <w:right w:val="single" w:color="auto" w:sz="4" w:space="0"/>
            </w:tcBorders>
            <w:noWrap w:val="0"/>
            <w:vAlign w:val="center"/>
          </w:tcPr>
          <w:p w14:paraId="70D23978">
            <w:pPr>
              <w:keepNext w:val="0"/>
              <w:keepLines w:val="0"/>
              <w:widowControl/>
              <w:suppressLineNumbers w:val="0"/>
              <w:autoSpaceDE/>
              <w:autoSpaceDN/>
              <w:adjustRightInd/>
              <w:spacing w:before="0" w:beforeAutospacing="0" w:after="0" w:afterAutospacing="0" w:line="360" w:lineRule="auto"/>
              <w:ind w:left="0" w:right="0"/>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78AC86E">
            <w:pPr>
              <w:keepNext w:val="0"/>
              <w:keepLines w:val="0"/>
              <w:widowControl/>
              <w:suppressLineNumbers w:val="0"/>
              <w:autoSpaceDE/>
              <w:autoSpaceDN/>
              <w:adjustRightInd/>
              <w:spacing w:before="0" w:beforeAutospacing="0" w:after="0" w:afterAutospacing="0" w:line="360" w:lineRule="auto"/>
              <w:ind w:left="0" w:right="0"/>
              <w:jc w:val="center"/>
              <w:rPr>
                <w:rFonts w:hint="default" w:ascii="宋体" w:hAnsi="宋体" w:eastAsia="宋体" w:cs="宋体"/>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14CBE66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499BDF41">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465CD654">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4C6DD08E">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c>
          <w:tcPr>
            <w:tcW w:w="2427" w:type="pct"/>
            <w:tcBorders>
              <w:top w:val="single" w:color="auto" w:sz="4" w:space="0"/>
              <w:left w:val="single" w:color="auto" w:sz="4" w:space="0"/>
              <w:bottom w:val="single" w:color="auto" w:sz="4" w:space="0"/>
              <w:right w:val="single" w:color="auto" w:sz="4" w:space="0"/>
            </w:tcBorders>
            <w:noWrap w:val="0"/>
            <w:vAlign w:val="center"/>
          </w:tcPr>
          <w:p w14:paraId="66FC202F">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Times New Roman"/>
                <w:color w:val="000000" w:themeColor="text1"/>
                <w:kern w:val="0"/>
                <w:sz w:val="18"/>
                <w:szCs w:val="18"/>
                <w:highlight w:val="none"/>
                <w14:textFill>
                  <w14:solidFill>
                    <w14:schemeClr w14:val="tx1"/>
                  </w14:solidFill>
                </w14:textFill>
              </w:rPr>
            </w:pPr>
          </w:p>
        </w:tc>
      </w:tr>
    </w:tbl>
    <w:p w14:paraId="40295876">
      <w:pPr>
        <w:autoSpaceDE w:val="0"/>
        <w:autoSpaceDN w:val="0"/>
        <w:adjustRightInd w:val="0"/>
        <w:snapToGrid w:val="0"/>
        <w:spacing w:line="360" w:lineRule="auto"/>
        <w:ind w:firstLine="210" w:firstLineChars="100"/>
        <w:jc w:val="left"/>
        <w:rPr>
          <w:rFonts w:hint="eastAsia" w:ascii="宋体" w:hAnsi="宋体" w:eastAsia="宋体" w:cs="Times New Roman"/>
          <w:color w:val="000000" w:themeColor="text1"/>
          <w:kern w:val="0"/>
          <w:sz w:val="21"/>
          <w:szCs w:val="21"/>
          <w:highlight w:val="none"/>
          <w14:textFill>
            <w14:solidFill>
              <w14:schemeClr w14:val="tx1"/>
            </w14:solidFill>
          </w14:textFill>
        </w:rPr>
      </w:pPr>
      <w:r>
        <w:rPr>
          <w:rFonts w:hint="eastAsia" w:ascii="宋体" w:hAnsi="宋体" w:eastAsia="宋体" w:cs="Times New Roman"/>
          <w:color w:val="000000" w:themeColor="text1"/>
          <w:kern w:val="0"/>
          <w:sz w:val="21"/>
          <w:szCs w:val="21"/>
          <w:highlight w:val="none"/>
          <w14:textFill>
            <w14:solidFill>
              <w14:schemeClr w14:val="tx1"/>
            </w14:solidFill>
          </w14:textFill>
        </w:rPr>
        <w:t>备注：</w:t>
      </w:r>
    </w:p>
    <w:p w14:paraId="6A38309A">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 w:val="21"/>
          <w:szCs w:val="21"/>
          <w:highlight w:val="none"/>
          <w14:textFill>
            <w14:solidFill>
              <w14:schemeClr w14:val="tx1"/>
            </w14:solidFill>
          </w14:textFill>
        </w:rPr>
      </w:pPr>
      <w:r>
        <w:rPr>
          <w:rFonts w:hint="eastAsia" w:ascii="宋体" w:hAnsi="宋体" w:eastAsia="宋体" w:cs="Times New Roman"/>
          <w:color w:val="000000" w:themeColor="text1"/>
          <w:kern w:val="0"/>
          <w:sz w:val="21"/>
          <w:szCs w:val="21"/>
          <w:highlight w:val="none"/>
          <w14:textFill>
            <w14:solidFill>
              <w14:schemeClr w14:val="tx1"/>
            </w14:solidFill>
          </w14:textFill>
        </w:rPr>
        <w:t>（1）拟投入本项目设备及材料清单表的内容不能理解为本次采购项目发电并网所需的全部设备及材料的采购及相关服务、工作的要求，投标人应根据《用户需求书》中的功能需求、配置、技术要求，合格优质的完成采购内容和包含的全部服务；</w:t>
      </w:r>
    </w:p>
    <w:p w14:paraId="3510D079">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3"/>
          <w:sz w:val="21"/>
          <w:szCs w:val="21"/>
          <w:highlight w:val="none"/>
          <w14:textFill>
            <w14:solidFill>
              <w14:schemeClr w14:val="tx1"/>
            </w14:solidFill>
          </w14:textFill>
        </w:rPr>
      </w:pPr>
      <w:r>
        <w:rPr>
          <w:rFonts w:hint="eastAsia" w:ascii="宋体" w:hAnsi="宋体" w:eastAsia="宋体" w:cs="Times New Roman"/>
          <w:color w:val="000000" w:themeColor="text1"/>
          <w:kern w:val="0"/>
          <w:sz w:val="21"/>
          <w:szCs w:val="21"/>
          <w:highlight w:val="none"/>
          <w:lang w:val="zh-CN"/>
          <w14:textFill>
            <w14:solidFill>
              <w14:schemeClr w14:val="tx1"/>
            </w14:solidFill>
          </w14:textFill>
        </w:rPr>
        <w:t>（</w:t>
      </w:r>
      <w:r>
        <w:rPr>
          <w:rFonts w:hint="eastAsia" w:ascii="宋体" w:hAnsi="宋体" w:eastAsia="宋体" w:cs="Times New Roman"/>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1"/>
          <w:szCs w:val="21"/>
          <w:highlight w:val="none"/>
          <w:lang w:val="zh-CN"/>
          <w14:textFill>
            <w14:solidFill>
              <w14:schemeClr w14:val="tx1"/>
            </w14:solidFill>
          </w14:textFill>
        </w:rPr>
        <w:t>）表格可根据实际货物种类自行扩展。</w:t>
      </w:r>
    </w:p>
    <w:p w14:paraId="1F8762F0">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p>
    <w:p w14:paraId="1585C939">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09EC2923">
      <w:pPr>
        <w:autoSpaceDE w:val="0"/>
        <w:autoSpaceDN w:val="0"/>
        <w:adjustRightInd w:val="0"/>
        <w:spacing w:line="360" w:lineRule="auto"/>
        <w:ind w:firstLine="4960" w:firstLineChars="2362"/>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宋体"/>
          <w:color w:val="000000" w:themeColor="text1"/>
          <w:szCs w:val="24"/>
          <w:highlight w:val="none"/>
          <w:lang w:val="zh-CN"/>
          <w14:textFill>
            <w14:solidFill>
              <w14:schemeClr w14:val="tx1"/>
            </w14:solidFill>
          </w14:textFill>
        </w:rPr>
        <w:t>期：   年   月   日</w:t>
      </w:r>
    </w:p>
    <w:p w14:paraId="3BB69124">
      <w:pPr>
        <w:autoSpaceDE w:val="0"/>
        <w:autoSpaceDN w:val="0"/>
        <w:adjustRightInd w:val="0"/>
        <w:spacing w:line="360" w:lineRule="auto"/>
        <w:jc w:val="left"/>
        <w:outlineLvl w:val="9"/>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40183F8C">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76ED85D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default" w:ascii="宋体" w:hAnsi="宋体" w:eastAsia="宋体" w:cs="宋体"/>
          <w:b/>
          <w:color w:val="000000" w:themeColor="text1"/>
          <w:kern w:val="0"/>
          <w:sz w:val="30"/>
          <w:szCs w:val="30"/>
          <w:highlight w:val="none"/>
          <w:lang w:val="en-US" w:eastAsia="zh-CN"/>
          <w14:textFill>
            <w14:solidFill>
              <w14:schemeClr w14:val="tx1"/>
            </w14:solidFill>
          </w14:textFill>
        </w:rPr>
      </w:pPr>
      <w:bookmarkStart w:id="686" w:name="_Toc10958"/>
      <w:bookmarkStart w:id="687" w:name="_Toc9128"/>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13.3 主要设备品牌响应表格式</w:t>
      </w:r>
      <w:bookmarkEnd w:id="686"/>
      <w:bookmarkEnd w:id="687"/>
    </w:p>
    <w:p w14:paraId="2712A732">
      <w:pPr>
        <w:numPr>
          <w:ilvl w:val="255"/>
          <w:numId w:val="0"/>
        </w:numPr>
        <w:tabs>
          <w:tab w:val="left" w:pos="567"/>
        </w:tabs>
        <w:autoSpaceDE w:val="0"/>
        <w:autoSpaceDN w:val="0"/>
        <w:adjustRightInd w:val="0"/>
        <w:spacing w:line="360" w:lineRule="auto"/>
        <w:ind w:right="-23" w:rightChars="-11"/>
        <w:jc w:val="center"/>
        <w:rPr>
          <w:rFonts w:ascii="宋体" w:hAnsi="宋体" w:eastAsia="宋体" w:cs="宋体"/>
          <w:bCs/>
          <w:color w:val="000000" w:themeColor="text1"/>
          <w:kern w:val="28"/>
          <w:sz w:val="28"/>
          <w:szCs w:val="28"/>
          <w:highlight w:val="none"/>
          <w:lang w:val="zh-CN"/>
          <w14:textFill>
            <w14:solidFill>
              <w14:schemeClr w14:val="tx1"/>
            </w14:solidFill>
          </w14:textFill>
        </w:rPr>
      </w:pPr>
      <w:r>
        <w:rPr>
          <w:rFonts w:hint="eastAsia" w:ascii="宋体" w:hAnsi="宋体" w:eastAsia="宋体" w:cs="宋体"/>
          <w:b/>
          <w:color w:val="000000" w:themeColor="text1"/>
          <w:kern w:val="28"/>
          <w:sz w:val="28"/>
          <w:szCs w:val="28"/>
          <w:highlight w:val="none"/>
          <w:lang w:val="zh-CN"/>
          <w14:textFill>
            <w14:solidFill>
              <w14:schemeClr w14:val="tx1"/>
            </w14:solidFill>
          </w14:textFill>
        </w:rPr>
        <w:t>主要设备品牌响应表</w:t>
      </w:r>
    </w:p>
    <w:p w14:paraId="04345AB3">
      <w:pPr>
        <w:autoSpaceDE w:val="0"/>
        <w:autoSpaceDN w:val="0"/>
        <w:adjustRightIn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p>
    <w:tbl>
      <w:tblPr>
        <w:tblStyle w:val="38"/>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673"/>
        <w:gridCol w:w="4876"/>
        <w:gridCol w:w="2843"/>
      </w:tblGrid>
      <w:tr w14:paraId="5EED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4A404946">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序号</w:t>
            </w:r>
          </w:p>
        </w:tc>
        <w:tc>
          <w:tcPr>
            <w:tcW w:w="1673" w:type="dxa"/>
            <w:vAlign w:val="center"/>
          </w:tcPr>
          <w:p w14:paraId="78D77CCD">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名称</w:t>
            </w:r>
          </w:p>
        </w:tc>
        <w:tc>
          <w:tcPr>
            <w:tcW w:w="4876" w:type="dxa"/>
            <w:vAlign w:val="center"/>
          </w:tcPr>
          <w:p w14:paraId="46031250">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推荐品牌</w:t>
            </w:r>
          </w:p>
        </w:tc>
        <w:tc>
          <w:tcPr>
            <w:tcW w:w="2843" w:type="dxa"/>
            <w:vAlign w:val="center"/>
          </w:tcPr>
          <w:p w14:paraId="64FEFDB0">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eastAsia="zh-CN"/>
                <w14:textFill>
                  <w14:solidFill>
                    <w14:schemeClr w14:val="tx1"/>
                  </w14:solidFill>
                </w14:textFill>
              </w:rPr>
              <w:t>投标品牌</w:t>
            </w:r>
          </w:p>
        </w:tc>
      </w:tr>
      <w:tr w14:paraId="773B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477618AE">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1</w:t>
            </w:r>
          </w:p>
        </w:tc>
        <w:tc>
          <w:tcPr>
            <w:tcW w:w="1673" w:type="dxa"/>
            <w:vAlign w:val="center"/>
          </w:tcPr>
          <w:p w14:paraId="776CE12F">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光伏组件</w:t>
            </w:r>
          </w:p>
        </w:tc>
        <w:tc>
          <w:tcPr>
            <w:tcW w:w="4876" w:type="dxa"/>
            <w:vAlign w:val="center"/>
          </w:tcPr>
          <w:p w14:paraId="1DC8346B">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隆基绿能、晶科能源、晶澳能源、天合光能或具备同等质量的品牌</w:t>
            </w:r>
          </w:p>
        </w:tc>
        <w:tc>
          <w:tcPr>
            <w:tcW w:w="2843" w:type="dxa"/>
            <w:vAlign w:val="center"/>
          </w:tcPr>
          <w:p w14:paraId="23621833">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p>
        </w:tc>
      </w:tr>
      <w:tr w14:paraId="586E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4D1F75FE">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2</w:t>
            </w:r>
          </w:p>
        </w:tc>
        <w:tc>
          <w:tcPr>
            <w:tcW w:w="1673" w:type="dxa"/>
            <w:vAlign w:val="center"/>
          </w:tcPr>
          <w:p w14:paraId="44950FA5">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逆变器</w:t>
            </w:r>
          </w:p>
        </w:tc>
        <w:tc>
          <w:tcPr>
            <w:tcW w:w="4876" w:type="dxa"/>
            <w:vAlign w:val="center"/>
          </w:tcPr>
          <w:p w14:paraId="38864BF4">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华为、阳光电源、上能电气、特变电工或具备同等质量的品牌</w:t>
            </w:r>
          </w:p>
        </w:tc>
        <w:tc>
          <w:tcPr>
            <w:tcW w:w="2843" w:type="dxa"/>
            <w:vAlign w:val="center"/>
          </w:tcPr>
          <w:p w14:paraId="31E6703E">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p>
        </w:tc>
      </w:tr>
      <w:tr w14:paraId="0AE8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5" w:type="dxa"/>
            <w:vAlign w:val="center"/>
          </w:tcPr>
          <w:p w14:paraId="6B9229C2">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3</w:t>
            </w:r>
          </w:p>
        </w:tc>
        <w:tc>
          <w:tcPr>
            <w:tcW w:w="1673" w:type="dxa"/>
            <w:vAlign w:val="center"/>
          </w:tcPr>
          <w:p w14:paraId="3D6F8FE6">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高低压柜</w:t>
            </w:r>
          </w:p>
        </w:tc>
        <w:tc>
          <w:tcPr>
            <w:tcW w:w="4876" w:type="dxa"/>
            <w:vAlign w:val="center"/>
          </w:tcPr>
          <w:p w14:paraId="0011D800">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施耐德、ABB、西门子或具备同等质量的品牌</w:t>
            </w:r>
          </w:p>
        </w:tc>
        <w:tc>
          <w:tcPr>
            <w:tcW w:w="2843" w:type="dxa"/>
            <w:vAlign w:val="center"/>
          </w:tcPr>
          <w:p w14:paraId="2AB3CE17">
            <w:pPr>
              <w:keepNext/>
              <w:keepLines/>
              <w:pageBreakBefore w:val="0"/>
              <w:numPr>
                <w:ilvl w:val="1"/>
                <w:numId w:val="0"/>
              </w:numPr>
              <w:suppressLineNumbers w:val="0"/>
              <w:kinsoku/>
              <w:wordWrap/>
              <w:overflowPunct/>
              <w:topLinePunct w:val="0"/>
              <w:bidi w:val="0"/>
              <w:adjustRightIn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宋体" w:cs="Times New Roman"/>
                <w:color w:val="000000" w:themeColor="text1"/>
                <w:szCs w:val="21"/>
                <w:highlight w:val="none"/>
                <w14:textFill>
                  <w14:solidFill>
                    <w14:schemeClr w14:val="tx1"/>
                  </w14:solidFill>
                </w14:textFill>
              </w:rPr>
            </w:pPr>
          </w:p>
        </w:tc>
      </w:tr>
    </w:tbl>
    <w:p w14:paraId="733AA7D4">
      <w:pPr>
        <w:autoSpaceDE w:val="0"/>
        <w:autoSpaceDN w:val="0"/>
        <w:adjustRightInd w:val="0"/>
        <w:snapToGrid w:val="0"/>
        <w:spacing w:line="360" w:lineRule="auto"/>
        <w:jc w:val="left"/>
        <w:rPr>
          <w:rFonts w:hint="default" w:ascii="宋体" w:hAnsi="宋体" w:eastAsia="宋体" w:cs="Times New Roman"/>
          <w:color w:val="000000" w:themeColor="text1"/>
          <w:kern w:val="0"/>
          <w:szCs w:val="21"/>
          <w:highlight w:val="none"/>
          <w:lang w:val="en-US" w:eastAsia="zh-CN"/>
          <w14:textFill>
            <w14:solidFill>
              <w14:schemeClr w14:val="tx1"/>
            </w14:solidFill>
          </w14:textFill>
        </w:rPr>
      </w:pPr>
    </w:p>
    <w:p w14:paraId="7B07C66D">
      <w:pPr>
        <w:autoSpaceDE w:val="0"/>
        <w:autoSpaceDN w:val="0"/>
        <w:adjustRightInd w:val="0"/>
        <w:spacing w:line="360" w:lineRule="auto"/>
        <w:jc w:val="left"/>
        <w:rPr>
          <w:rFonts w:ascii="宋体" w:hAnsi="宋体" w:eastAsia="宋体" w:cs="Times New Roman"/>
          <w:color w:val="000000" w:themeColor="text1"/>
          <w:kern w:val="3"/>
          <w:szCs w:val="21"/>
          <w:highlight w:val="none"/>
          <w14:textFill>
            <w14:solidFill>
              <w14:schemeClr w14:val="tx1"/>
            </w14:solidFill>
          </w14:textFill>
        </w:rPr>
      </w:pPr>
    </w:p>
    <w:p w14:paraId="21CE195B">
      <w:pPr>
        <w:autoSpaceDE w:val="0"/>
        <w:autoSpaceDN w:val="0"/>
        <w:adjustRightInd w:val="0"/>
        <w:spacing w:line="360" w:lineRule="auto"/>
        <w:ind w:firstLine="4200" w:firstLineChars="20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3"/>
          <w:szCs w:val="21"/>
          <w:highlight w:val="none"/>
          <w14:textFill>
            <w14:solidFill>
              <w14:schemeClr w14:val="tx1"/>
            </w14:solidFill>
          </w14:textFill>
        </w:rPr>
        <w:t xml:space="preserve">投 标 人（加盖投标人法人公章）：              </w:t>
      </w:r>
    </w:p>
    <w:p w14:paraId="47CFD68F">
      <w:pPr>
        <w:spacing w:line="360" w:lineRule="auto"/>
        <w:ind w:firstLine="4200" w:firstLineChars="2000"/>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日  期：        年     月     日</w:t>
      </w:r>
    </w:p>
    <w:p w14:paraId="4FC68E81">
      <w:pPr>
        <w:autoSpaceDE w:val="0"/>
        <w:autoSpaceDN w:val="0"/>
        <w:adjustRightInd w:val="0"/>
        <w:spacing w:line="360" w:lineRule="auto"/>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p>
    <w:p w14:paraId="022F3732">
      <w:pPr>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77DCB8E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000000" w:themeColor="text1"/>
          <w:kern w:val="0"/>
          <w:sz w:val="30"/>
          <w:szCs w:val="30"/>
          <w:highlight w:val="none"/>
          <w14:textFill>
            <w14:solidFill>
              <w14:schemeClr w14:val="tx1"/>
            </w14:solidFill>
          </w14:textFill>
        </w:rPr>
      </w:pPr>
      <w:bookmarkStart w:id="688" w:name="_Toc18381"/>
      <w:bookmarkStart w:id="689" w:name="_Toc2647"/>
      <w:r>
        <w:rPr>
          <w:rFonts w:hint="eastAsia" w:ascii="宋体" w:hAnsi="宋体" w:eastAsia="宋体" w:cs="宋体"/>
          <w:b/>
          <w:color w:val="000000" w:themeColor="text1"/>
          <w:kern w:val="0"/>
          <w:sz w:val="30"/>
          <w:szCs w:val="30"/>
          <w:highlight w:val="none"/>
          <w14:textFill>
            <w14:solidFill>
              <w14:schemeClr w14:val="tx1"/>
            </w14:solidFill>
          </w14:textFill>
        </w:rPr>
        <w:t>13.</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w:t>
      </w:r>
      <w:bookmarkEnd w:id="675"/>
      <w:bookmarkEnd w:id="676"/>
      <w:bookmarkEnd w:id="677"/>
      <w:bookmarkEnd w:id="678"/>
      <w:bookmarkEnd w:id="679"/>
      <w:bookmarkEnd w:id="680"/>
      <w:bookmarkEnd w:id="681"/>
      <w:bookmarkEnd w:id="682"/>
      <w:r>
        <w:rPr>
          <w:rFonts w:hint="eastAsia" w:ascii="宋体" w:hAnsi="宋体" w:eastAsia="宋体" w:cs="宋体"/>
          <w:b/>
          <w:color w:val="000000" w:themeColor="text1"/>
          <w:kern w:val="0"/>
          <w:sz w:val="30"/>
          <w:szCs w:val="30"/>
          <w:highlight w:val="none"/>
          <w14:textFill>
            <w14:solidFill>
              <w14:schemeClr w14:val="tx1"/>
            </w14:solidFill>
          </w14:textFill>
        </w:rPr>
        <w:t>系统总体设计（投标人自行编写）</w:t>
      </w:r>
      <w:bookmarkEnd w:id="688"/>
      <w:bookmarkEnd w:id="689"/>
    </w:p>
    <w:p w14:paraId="0BD65C4A">
      <w:pPr>
        <w:autoSpaceDE w:val="0"/>
        <w:autoSpaceDN w:val="0"/>
        <w:adjustRightInd w:val="0"/>
        <w:spacing w:line="360" w:lineRule="auto"/>
        <w:jc w:val="left"/>
        <w:outlineLvl w:val="9"/>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1"/>
          <w:szCs w:val="21"/>
          <w:highlight w:val="none"/>
          <w14:textFill>
            <w14:solidFill>
              <w14:schemeClr w14:val="tx1"/>
            </w14:solidFill>
          </w14:textFill>
        </w:rPr>
        <w:t>、光伏组件与压型金属板连接要充分考虑安全性、紧固性，上人运维性能优异、无电化学腐蚀风险</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p>
    <w:p w14:paraId="308C0FF6">
      <w:pPr>
        <w:autoSpaceDE w:val="0"/>
        <w:autoSpaceDN w:val="0"/>
        <w:adjustRightInd w:val="0"/>
        <w:spacing w:line="360" w:lineRule="auto"/>
        <w:jc w:val="left"/>
        <w:outlineLvl w:val="9"/>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1"/>
          <w:szCs w:val="21"/>
          <w:highlight w:val="none"/>
          <w14:textFill>
            <w14:solidFill>
              <w14:schemeClr w14:val="tx1"/>
            </w14:solidFill>
          </w14:textFill>
        </w:rPr>
        <w:t>、整体系统具有可靠的防水、防火、抗风、抗震性能，具有（屋脊部位、开洞部位、天沟部位）标准的构造设计和节点体系；按照节点体系的合理和可靠性</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p>
    <w:p w14:paraId="456E826D">
      <w:pPr>
        <w:autoSpaceDE w:val="0"/>
        <w:autoSpaceDN w:val="0"/>
        <w:adjustRightInd w:val="0"/>
        <w:spacing w:line="360" w:lineRule="auto"/>
        <w:jc w:val="left"/>
        <w:outlineLvl w:val="9"/>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1"/>
          <w:szCs w:val="21"/>
          <w:highlight w:val="none"/>
          <w14:textFill>
            <w14:solidFill>
              <w14:schemeClr w14:val="tx1"/>
            </w14:solidFill>
          </w14:textFill>
        </w:rPr>
        <w:t>、运维清洗系统方案，清洗管道布置图</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p>
    <w:p w14:paraId="7F3F5B45">
      <w:pPr>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3C57DC4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000000" w:themeColor="text1"/>
          <w:kern w:val="0"/>
          <w:sz w:val="30"/>
          <w:szCs w:val="30"/>
          <w:highlight w:val="none"/>
          <w14:textFill>
            <w14:solidFill>
              <w14:schemeClr w14:val="tx1"/>
            </w14:solidFill>
          </w14:textFill>
        </w:rPr>
      </w:pPr>
      <w:bookmarkStart w:id="690" w:name="_Toc15432"/>
      <w:bookmarkStart w:id="691" w:name="_Toc10438"/>
      <w:r>
        <w:rPr>
          <w:rFonts w:hint="eastAsia" w:ascii="宋体" w:hAnsi="宋体" w:eastAsia="宋体" w:cs="宋体"/>
          <w:b/>
          <w:color w:val="000000" w:themeColor="text1"/>
          <w:kern w:val="0"/>
          <w:sz w:val="30"/>
          <w:szCs w:val="30"/>
          <w:highlight w:val="none"/>
          <w14:textFill>
            <w14:solidFill>
              <w14:schemeClr w14:val="tx1"/>
            </w14:solidFill>
          </w14:textFill>
        </w:rPr>
        <w:t>13.</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总体施工方案（投标人自行编写）</w:t>
      </w:r>
      <w:bookmarkEnd w:id="690"/>
      <w:bookmarkEnd w:id="691"/>
    </w:p>
    <w:p w14:paraId="1513B46B">
      <w:pPr>
        <w:autoSpaceDE w:val="0"/>
        <w:autoSpaceDN w:val="0"/>
        <w:adjustRightInd w:val="0"/>
        <w:spacing w:line="360" w:lineRule="auto"/>
        <w:jc w:val="left"/>
        <w:outlineLvl w:val="9"/>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施工安全、进度及计划管理、重点难点分析及服务响应情况、应急处理方案等</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p>
    <w:p w14:paraId="7A1B170D">
      <w:pPr>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0E200CE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000000" w:themeColor="text1"/>
          <w:kern w:val="0"/>
          <w:sz w:val="30"/>
          <w:szCs w:val="30"/>
          <w:highlight w:val="none"/>
          <w14:textFill>
            <w14:solidFill>
              <w14:schemeClr w14:val="tx1"/>
            </w14:solidFill>
          </w14:textFill>
        </w:rPr>
      </w:pPr>
      <w:bookmarkStart w:id="692" w:name="_Toc29022"/>
      <w:bookmarkStart w:id="693" w:name="_Toc23928"/>
      <w:r>
        <w:rPr>
          <w:rFonts w:hint="eastAsia" w:ascii="宋体" w:hAnsi="宋体" w:eastAsia="宋体" w:cs="宋体"/>
          <w:b/>
          <w:color w:val="000000" w:themeColor="text1"/>
          <w:kern w:val="0"/>
          <w:sz w:val="30"/>
          <w:szCs w:val="30"/>
          <w:highlight w:val="none"/>
          <w14:textFill>
            <w14:solidFill>
              <w14:schemeClr w14:val="tx1"/>
            </w14:solidFill>
          </w14:textFill>
        </w:rPr>
        <w:t>13.</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后期运维方案（投标人自行编写）</w:t>
      </w:r>
      <w:bookmarkEnd w:id="692"/>
      <w:bookmarkEnd w:id="693"/>
    </w:p>
    <w:p w14:paraId="1164B53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2"/>
        <w:rPr>
          <w:rFonts w:hint="eastAsia" w:ascii="宋体" w:hAnsi="宋体" w:eastAsia="宋体" w:cs="宋体"/>
          <w:b/>
          <w:color w:val="000000" w:themeColor="text1"/>
          <w:kern w:val="0"/>
          <w:sz w:val="30"/>
          <w:szCs w:val="30"/>
          <w:highlight w:val="none"/>
          <w:lang w:eastAsia="zh-CN"/>
          <w14:textFill>
            <w14:solidFill>
              <w14:schemeClr w14:val="tx1"/>
            </w14:solidFill>
          </w14:textFill>
        </w:rPr>
      </w:pPr>
      <w:bookmarkStart w:id="694" w:name="_Toc31673"/>
      <w:bookmarkStart w:id="695" w:name="_Toc1461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13.6.</w:t>
      </w:r>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后期运维方案（组织机构、周期人员安排、设备处理、应急抢修等）</w:t>
      </w:r>
      <w:r>
        <w:rPr>
          <w:rFonts w:hint="eastAsia" w:ascii="宋体" w:hAnsi="宋体" w:eastAsia="宋体" w:cs="宋体"/>
          <w:b/>
          <w:color w:val="000000" w:themeColor="text1"/>
          <w:kern w:val="0"/>
          <w:sz w:val="30"/>
          <w:szCs w:val="30"/>
          <w:highlight w:val="none"/>
          <w:lang w:eastAsia="zh-CN"/>
          <w14:textFill>
            <w14:solidFill>
              <w14:schemeClr w14:val="tx1"/>
            </w14:solidFill>
          </w14:textFill>
        </w:rPr>
        <w:t>；</w:t>
      </w:r>
      <w:bookmarkEnd w:id="694"/>
      <w:bookmarkEnd w:id="695"/>
    </w:p>
    <w:p w14:paraId="43573DA0">
      <w:pPr>
        <w:autoSpaceDE w:val="0"/>
        <w:autoSpaceDN w:val="0"/>
        <w:adjustRightInd w:val="0"/>
        <w:spacing w:line="360" w:lineRule="auto"/>
        <w:jc w:val="left"/>
        <w:outlineLvl w:val="9"/>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p>
    <w:p w14:paraId="3A1D86B9">
      <w:pPr>
        <w:autoSpaceDE w:val="0"/>
        <w:autoSpaceDN w:val="0"/>
        <w:adjustRightInd w:val="0"/>
        <w:spacing w:line="360" w:lineRule="auto"/>
        <w:jc w:val="left"/>
        <w:outlineLvl w:val="9"/>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p>
    <w:p w14:paraId="24FC49B4">
      <w:pPr>
        <w:autoSpaceDE w:val="0"/>
        <w:autoSpaceDN w:val="0"/>
        <w:adjustRightInd w:val="0"/>
        <w:jc w:val="cente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p>
    <w:p w14:paraId="793D7806">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5E9D848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2"/>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bookmarkStart w:id="696" w:name="_Toc31810"/>
      <w:bookmarkStart w:id="697" w:name="_Toc3176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13.6.2 维修响应时间承诺表格式</w:t>
      </w:r>
      <w:bookmarkEnd w:id="696"/>
      <w:bookmarkEnd w:id="697"/>
    </w:p>
    <w:p w14:paraId="2A1A96BC">
      <w:pPr>
        <w:widowControl w:val="0"/>
        <w:numPr>
          <w:ilvl w:val="0"/>
          <w:numId w:val="0"/>
        </w:numPr>
        <w:autoSpaceDE w:val="0"/>
        <w:autoSpaceDN w:val="0"/>
        <w:adjustRightInd w:val="0"/>
        <w:spacing w:line="360" w:lineRule="auto"/>
        <w:jc w:val="center"/>
        <w:outlineLvl w:val="9"/>
        <w:rPr>
          <w:rFonts w:hint="eastAsia" w:ascii="宋体" w:hAnsi="宋体" w:eastAsia="宋体" w:cs="宋体"/>
          <w:b/>
          <w:bCs w:val="0"/>
          <w:color w:val="000000" w:themeColor="text1"/>
          <w:kern w:val="0"/>
          <w:sz w:val="28"/>
          <w:szCs w:val="28"/>
          <w:highlight w:val="none"/>
          <w14:textFill>
            <w14:solidFill>
              <w14:schemeClr w14:val="tx1"/>
            </w14:solidFill>
          </w14:textFill>
        </w:rPr>
      </w:pPr>
      <w:r>
        <w:rPr>
          <w:rFonts w:hint="eastAsia" w:ascii="宋体" w:hAnsi="宋体" w:eastAsia="宋体" w:cs="宋体"/>
          <w:b/>
          <w:bCs w:val="0"/>
          <w:color w:val="000000" w:themeColor="text1"/>
          <w:kern w:val="0"/>
          <w:sz w:val="28"/>
          <w:szCs w:val="28"/>
          <w:highlight w:val="none"/>
          <w14:textFill>
            <w14:solidFill>
              <w14:schemeClr w14:val="tx1"/>
            </w14:solidFill>
          </w14:textFill>
        </w:rPr>
        <w:t>维修响应时间承诺表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9393"/>
      </w:tblGrid>
      <w:tr w14:paraId="38E2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vAlign w:val="center"/>
          </w:tcPr>
          <w:p w14:paraId="3C1540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序号</w:t>
            </w:r>
          </w:p>
        </w:tc>
        <w:tc>
          <w:tcPr>
            <w:tcW w:w="4528" w:type="pct"/>
            <w:vAlign w:val="center"/>
          </w:tcPr>
          <w:p w14:paraId="3B5138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承诺事项</w:t>
            </w:r>
          </w:p>
        </w:tc>
      </w:tr>
      <w:tr w14:paraId="227E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71" w:type="pct"/>
            <w:vAlign w:val="center"/>
          </w:tcPr>
          <w:p w14:paraId="1D3194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000000" w:themeColor="text1"/>
                <w:kern w:val="0"/>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lang w:val="en-US" w:eastAsia="zh-CN"/>
                <w14:textFill>
                  <w14:solidFill>
                    <w14:schemeClr w14:val="tx1"/>
                  </w14:solidFill>
                </w14:textFill>
              </w:rPr>
              <w:t>1</w:t>
            </w:r>
          </w:p>
        </w:tc>
        <w:tc>
          <w:tcPr>
            <w:tcW w:w="4528" w:type="pct"/>
            <w:vAlign w:val="center"/>
          </w:tcPr>
          <w:p w14:paraId="05BFE793">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eastAsia="宋体" w:cs="宋体"/>
                <w:b/>
                <w:color w:val="000000" w:themeColor="text1"/>
                <w:kern w:val="0"/>
                <w:szCs w:val="21"/>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在合同期</w:t>
            </w:r>
            <w:r>
              <w:rPr>
                <w:rFonts w:hint="eastAsia" w:ascii="宋体" w:hAnsi="宋体" w:eastAsia="宋体" w:cs="Times New Roman"/>
                <w:color w:val="000000" w:themeColor="text1"/>
                <w:kern w:val="0"/>
                <w:szCs w:val="21"/>
                <w:highlight w:val="none"/>
                <w:lang w:eastAsia="zh-CN"/>
                <w14:textFill>
                  <w14:solidFill>
                    <w14:schemeClr w14:val="tx1"/>
                  </w14:solidFill>
                </w14:textFill>
              </w:rPr>
              <w:t>限</w:t>
            </w:r>
            <w:r>
              <w:rPr>
                <w:rFonts w:hint="eastAsia" w:ascii="宋体" w:hAnsi="宋体" w:eastAsia="宋体" w:cs="Times New Roman"/>
                <w:color w:val="000000" w:themeColor="text1"/>
                <w:kern w:val="0"/>
                <w:szCs w:val="21"/>
                <w:highlight w:val="none"/>
                <w14:textFill>
                  <w14:solidFill>
                    <w14:schemeClr w14:val="tx1"/>
                  </w14:solidFill>
                </w14:textFill>
              </w:rPr>
              <w:t>内，我方承诺将</w:t>
            </w:r>
            <w:r>
              <w:rPr>
                <w:rFonts w:hint="default" w:ascii="宋体" w:hAnsi="宋体" w:eastAsia="宋体" w:cs="Times New Roman"/>
                <w:color w:val="000000" w:themeColor="text1"/>
                <w:kern w:val="0"/>
                <w:szCs w:val="21"/>
                <w:highlight w:val="none"/>
                <w14:textFill>
                  <w14:solidFill>
                    <w14:schemeClr w14:val="tx1"/>
                  </w14:solidFill>
                </w14:textFill>
              </w:rPr>
              <w:t>在接到招标人的故障</w:t>
            </w:r>
            <w:r>
              <w:rPr>
                <w:rFonts w:hint="eastAsia" w:ascii="宋体" w:hAnsi="宋体" w:eastAsia="宋体" w:cs="Times New Roman"/>
                <w:color w:val="000000" w:themeColor="text1"/>
                <w:kern w:val="0"/>
                <w:szCs w:val="21"/>
                <w:highlight w:val="none"/>
                <w:lang w:eastAsia="zh-CN"/>
                <w14:textFill>
                  <w14:solidFill>
                    <w14:schemeClr w14:val="tx1"/>
                  </w14:solidFill>
                </w14:textFill>
              </w:rPr>
              <w:t>报告</w:t>
            </w:r>
            <w:r>
              <w:rPr>
                <w:rFonts w:hint="default" w:ascii="宋体" w:hAnsi="宋体" w:eastAsia="宋体" w:cs="Times New Roman"/>
                <w:color w:val="000000" w:themeColor="text1"/>
                <w:kern w:val="0"/>
                <w:szCs w:val="21"/>
                <w:highlight w:val="none"/>
                <w14:textFill>
                  <w14:solidFill>
                    <w14:schemeClr w14:val="tx1"/>
                  </w14:solidFill>
                </w14:textFill>
              </w:rPr>
              <w:t>后</w:t>
            </w:r>
            <w:r>
              <w:rPr>
                <w:rFonts w:hint="default" w:ascii="宋体" w:hAnsi="宋体" w:eastAsia="宋体" w:cs="Times New Roman"/>
                <w:b/>
                <w:color w:val="000000" w:themeColor="text1"/>
                <w:kern w:val="0"/>
                <w:szCs w:val="21"/>
                <w:highlight w:val="none"/>
                <w:u w:val="single"/>
                <w14:textFill>
                  <w14:solidFill>
                    <w14:schemeClr w14:val="tx1"/>
                  </w14:solidFill>
                </w14:textFill>
              </w:rPr>
              <w:t xml:space="preserve">      </w:t>
            </w:r>
            <w:r>
              <w:rPr>
                <w:rFonts w:hint="default" w:ascii="宋体" w:hAnsi="宋体" w:eastAsia="宋体" w:cs="Times New Roman"/>
                <w:b/>
                <w:color w:val="000000" w:themeColor="text1"/>
                <w:kern w:val="0"/>
                <w:szCs w:val="21"/>
                <w:highlight w:val="none"/>
                <w14:textFill>
                  <w14:solidFill>
                    <w14:schemeClr w14:val="tx1"/>
                  </w14:solidFill>
                </w14:textFill>
              </w:rPr>
              <w:t>小时</w:t>
            </w:r>
            <w:r>
              <w:rPr>
                <w:rFonts w:hint="default" w:ascii="宋体" w:hAnsi="宋体" w:eastAsia="宋体" w:cs="Times New Roman"/>
                <w:color w:val="000000" w:themeColor="text1"/>
                <w:kern w:val="0"/>
                <w:szCs w:val="21"/>
                <w:highlight w:val="none"/>
                <w14:textFill>
                  <w14:solidFill>
                    <w14:schemeClr w14:val="tx1"/>
                  </w14:solidFill>
                </w14:textFill>
              </w:rPr>
              <w:t>内响应，</w:t>
            </w:r>
            <w:r>
              <w:rPr>
                <w:rFonts w:hint="default" w:ascii="宋体" w:hAnsi="宋体" w:eastAsia="宋体" w:cs="Times New Roman"/>
                <w:b/>
                <w:color w:val="000000" w:themeColor="text1"/>
                <w:kern w:val="0"/>
                <w:szCs w:val="21"/>
                <w:highlight w:val="none"/>
                <w:u w:val="single"/>
                <w14:textFill>
                  <w14:solidFill>
                    <w14:schemeClr w14:val="tx1"/>
                  </w14:solidFill>
                </w14:textFill>
              </w:rPr>
              <w:t xml:space="preserve">       </w:t>
            </w:r>
            <w:r>
              <w:rPr>
                <w:rFonts w:hint="default" w:ascii="宋体" w:hAnsi="宋体" w:eastAsia="宋体" w:cs="Times New Roman"/>
                <w:b/>
                <w:color w:val="000000" w:themeColor="text1"/>
                <w:kern w:val="0"/>
                <w:szCs w:val="21"/>
                <w:highlight w:val="none"/>
                <w14:textFill>
                  <w14:solidFill>
                    <w14:schemeClr w14:val="tx1"/>
                  </w14:solidFill>
                </w14:textFill>
              </w:rPr>
              <w:t>小时</w:t>
            </w:r>
            <w:r>
              <w:rPr>
                <w:rFonts w:hint="default" w:ascii="宋体" w:hAnsi="宋体" w:eastAsia="宋体" w:cs="Times New Roman"/>
                <w:color w:val="000000" w:themeColor="text1"/>
                <w:kern w:val="0"/>
                <w:szCs w:val="21"/>
                <w:highlight w:val="none"/>
                <w14:textFill>
                  <w14:solidFill>
                    <w14:schemeClr w14:val="tx1"/>
                  </w14:solidFill>
                </w14:textFill>
              </w:rPr>
              <w:t>内</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到达项目现场进行维修等服务</w:t>
            </w:r>
            <w:r>
              <w:rPr>
                <w:rFonts w:hint="eastAsia" w:ascii="宋体" w:hAnsi="宋体" w:eastAsia="宋体" w:cs="Times New Roman"/>
                <w:color w:val="000000" w:themeColor="text1"/>
                <w:kern w:val="0"/>
                <w:szCs w:val="21"/>
                <w:highlight w:val="none"/>
                <w14:textFill>
                  <w14:solidFill>
                    <w14:schemeClr w14:val="tx1"/>
                  </w14:solidFill>
                </w14:textFill>
              </w:rPr>
              <w:t>。</w:t>
            </w:r>
          </w:p>
        </w:tc>
      </w:tr>
    </w:tbl>
    <w:p w14:paraId="6CD3F987">
      <w:pPr>
        <w:autoSpaceDE w:val="0"/>
        <w:autoSpaceDN w:val="0"/>
        <w:adjustRightInd w:val="0"/>
        <w:spacing w:line="360" w:lineRule="auto"/>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p w14:paraId="3CC40354">
      <w:pPr>
        <w:autoSpaceDE w:val="0"/>
        <w:autoSpaceDN w:val="0"/>
        <w:adjustRightInd w:val="0"/>
        <w:spacing w:line="360" w:lineRule="auto"/>
        <w:ind w:firstLine="424" w:firstLineChars="201"/>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1.本表承诺事项若未填或漏填的，视为投标人按用户需求书响应。</w:t>
      </w:r>
    </w:p>
    <w:p w14:paraId="15E37140">
      <w:pPr>
        <w:autoSpaceDE w:val="0"/>
        <w:autoSpaceDN w:val="0"/>
        <w:adjustRightInd w:val="0"/>
        <w:spacing w:line="360" w:lineRule="auto"/>
        <w:ind w:firstLine="424" w:firstLineChars="201"/>
        <w:jc w:val="left"/>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2.</w:t>
      </w:r>
      <w:r>
        <w:rPr>
          <w:rFonts w:hint="eastAsia" w:ascii="宋体" w:hAnsi="宋体" w:eastAsia="宋体" w:cs="Times New Roman"/>
          <w:b/>
          <w:color w:val="000000" w:themeColor="text1"/>
          <w:kern w:val="0"/>
          <w:szCs w:val="21"/>
          <w:highlight w:val="none"/>
          <w14:textFill>
            <w14:solidFill>
              <w14:schemeClr w14:val="tx1"/>
            </w14:solidFill>
          </w14:textFill>
        </w:rPr>
        <w:t>本表承诺事项若与投标文件其他地方表述不一致的，以本承诺表为准。</w:t>
      </w:r>
    </w:p>
    <w:p w14:paraId="402271B7">
      <w:pPr>
        <w:autoSpaceDE w:val="0"/>
        <w:autoSpaceDN w:val="0"/>
        <w:adjustRightInd w:val="0"/>
        <w:spacing w:line="360" w:lineRule="auto"/>
        <w:ind w:left="360" w:right="420" w:firstLine="3720" w:firstLineChars="1550"/>
        <w:jc w:val="left"/>
        <w:rPr>
          <w:rFonts w:ascii="宋体" w:hAnsi="宋体" w:eastAsia="宋体" w:cs="Times New Roman"/>
          <w:color w:val="000000" w:themeColor="text1"/>
          <w:kern w:val="3"/>
          <w:sz w:val="24"/>
          <w:szCs w:val="24"/>
          <w:highlight w:val="none"/>
          <w14:textFill>
            <w14:solidFill>
              <w14:schemeClr w14:val="tx1"/>
            </w14:solidFill>
          </w14:textFill>
        </w:rPr>
      </w:pPr>
    </w:p>
    <w:p w14:paraId="2E380BA7">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7BBB832D">
      <w:pPr>
        <w:autoSpaceDE w:val="0"/>
        <w:autoSpaceDN w:val="0"/>
        <w:adjustRightInd w:val="0"/>
        <w:spacing w:line="360" w:lineRule="auto"/>
        <w:ind w:firstLine="4960" w:firstLineChars="2362"/>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宋体"/>
          <w:color w:val="000000" w:themeColor="text1"/>
          <w:szCs w:val="24"/>
          <w:highlight w:val="none"/>
          <w:lang w:val="zh-CN"/>
          <w14:textFill>
            <w14:solidFill>
              <w14:schemeClr w14:val="tx1"/>
            </w14:solidFill>
          </w14:textFill>
        </w:rPr>
        <w:t>期：   年   月   日</w:t>
      </w:r>
    </w:p>
    <w:p w14:paraId="150FBFC0">
      <w:pPr>
        <w:rPr>
          <w:rFonts w:hint="eastAsia" w:ascii="宋体" w:hAnsi="宋体" w:eastAsia="宋体" w:cs="宋体"/>
          <w:b/>
          <w:color w:val="000000" w:themeColor="text1"/>
          <w:kern w:val="0"/>
          <w:sz w:val="30"/>
          <w:szCs w:val="30"/>
          <w:highlight w:val="none"/>
          <w14:textFill>
            <w14:solidFill>
              <w14:schemeClr w14:val="tx1"/>
            </w14:solidFill>
          </w14:textFill>
        </w:rPr>
      </w:pPr>
    </w:p>
    <w:p w14:paraId="625F9FDA">
      <w:pPr>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2219CCC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000000" w:themeColor="text1"/>
          <w:kern w:val="0"/>
          <w:sz w:val="30"/>
          <w:szCs w:val="30"/>
          <w:highlight w:val="none"/>
          <w14:textFill>
            <w14:solidFill>
              <w14:schemeClr w14:val="tx1"/>
            </w14:solidFill>
          </w14:textFill>
        </w:rPr>
      </w:pPr>
      <w:bookmarkStart w:id="698" w:name="_Toc1671"/>
      <w:bookmarkStart w:id="699" w:name="_Toc7161"/>
      <w:r>
        <w:rPr>
          <w:rFonts w:hint="eastAsia" w:ascii="宋体" w:hAnsi="宋体" w:eastAsia="宋体" w:cs="宋体"/>
          <w:b/>
          <w:color w:val="000000" w:themeColor="text1"/>
          <w:kern w:val="0"/>
          <w:sz w:val="30"/>
          <w:szCs w:val="30"/>
          <w:highlight w:val="none"/>
          <w14:textFill>
            <w14:solidFill>
              <w14:schemeClr w14:val="tx1"/>
            </w14:solidFill>
          </w14:textFill>
        </w:rPr>
        <w:t>13.</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7</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投标人认为有必要提供的其它材料（不做强制要求）</w:t>
      </w:r>
      <w:bookmarkEnd w:id="698"/>
      <w:bookmarkEnd w:id="699"/>
    </w:p>
    <w:p w14:paraId="178A4360">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1081F3D5">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62792BD0">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7DD2D8E1">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142936DB">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17F29706">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63542769">
      <w:pPr>
        <w:widowControl/>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p>
    <w:p w14:paraId="5E8628FC">
      <w:pPr>
        <w:autoSpaceDE w:val="0"/>
        <w:autoSpaceDN w:val="0"/>
        <w:adjustRightInd w:val="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244A2A3D">
      <w:pPr>
        <w:tabs>
          <w:tab w:val="left" w:pos="1080"/>
        </w:tabs>
        <w:autoSpaceDE w:val="0"/>
        <w:autoSpaceDN w:val="0"/>
        <w:adjustRightInd w:val="0"/>
        <w:spacing w:line="360" w:lineRule="auto"/>
        <w:jc w:val="left"/>
        <w:outlineLvl w:val="0"/>
        <w:rPr>
          <w:rFonts w:hint="eastAsia" w:ascii="宋体" w:hAnsi="宋体" w:eastAsia="宋体" w:cs="宋体"/>
          <w:b/>
          <w:bCs/>
          <w:color w:val="000000" w:themeColor="text1"/>
          <w:kern w:val="44"/>
          <w:sz w:val="32"/>
          <w:szCs w:val="32"/>
          <w:highlight w:val="none"/>
          <w:lang w:val="zh-CN"/>
          <w14:textFill>
            <w14:solidFill>
              <w14:schemeClr w14:val="tx1"/>
            </w14:solidFill>
          </w14:textFill>
        </w:rPr>
      </w:pPr>
      <w:bookmarkStart w:id="700" w:name="_Toc142508390"/>
      <w:bookmarkStart w:id="701" w:name="_Toc14977"/>
      <w:bookmarkStart w:id="702" w:name="_Toc21059"/>
      <w:bookmarkStart w:id="703" w:name="_Toc30548"/>
      <w:bookmarkStart w:id="704" w:name="_Toc1826"/>
      <w:bookmarkStart w:id="705" w:name="_Toc522047402"/>
      <w:bookmarkStart w:id="706" w:name="_Toc521918141"/>
      <w:bookmarkStart w:id="707" w:name="_Toc22601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700"/>
      <w:bookmarkEnd w:id="701"/>
      <w:bookmarkEnd w:id="702"/>
      <w:bookmarkEnd w:id="703"/>
      <w:bookmarkEnd w:id="704"/>
    </w:p>
    <w:p w14:paraId="0999E529">
      <w:pPr>
        <w:autoSpaceDE w:val="0"/>
        <w:autoSpaceDN w:val="0"/>
        <w:adjustRightInd w:val="0"/>
        <w:spacing w:line="400" w:lineRule="atLeast"/>
        <w:jc w:val="center"/>
        <w:rPr>
          <w:rFonts w:hint="eastAsia" w:ascii="宋体" w:hAnsi="宋体" w:eastAsia="宋体" w:cs="宋体"/>
          <w:b/>
          <w:bCs/>
          <w:color w:val="000000" w:themeColor="text1"/>
          <w:szCs w:val="21"/>
          <w:highlight w:val="none"/>
          <w14:textFill>
            <w14:solidFill>
              <w14:schemeClr w14:val="tx1"/>
            </w14:solidFill>
          </w14:textFill>
        </w:rPr>
      </w:pPr>
    </w:p>
    <w:p w14:paraId="2BD06E34">
      <w:pPr>
        <w:autoSpaceDE w:val="0"/>
        <w:autoSpaceDN w:val="0"/>
        <w:adjustRightInd w:val="0"/>
        <w:spacing w:line="400" w:lineRule="atLeast"/>
        <w:jc w:val="center"/>
        <w:rPr>
          <w:rFonts w:hint="eastAsia" w:ascii="宋体" w:hAnsi="宋体" w:eastAsia="宋体" w:cs="宋体"/>
          <w:b/>
          <w:bCs/>
          <w:color w:val="000000" w:themeColor="text1"/>
          <w:szCs w:val="21"/>
          <w:highlight w:val="none"/>
          <w14:textFill>
            <w14:solidFill>
              <w14:schemeClr w14:val="tx1"/>
            </w14:solidFill>
          </w14:textFill>
        </w:rPr>
      </w:pPr>
    </w:p>
    <w:p w14:paraId="3A891D21">
      <w:pPr>
        <w:autoSpaceDE w:val="0"/>
        <w:autoSpaceDN w:val="0"/>
        <w:adjustRightInd w:val="0"/>
        <w:spacing w:line="400" w:lineRule="atLeast"/>
        <w:jc w:val="center"/>
        <w:outlineLvl w:val="9"/>
        <w:rPr>
          <w:rFonts w:hint="eastAsia" w:ascii="宋体" w:hAnsi="宋体" w:eastAsia="宋体" w:cs="宋体"/>
          <w:b/>
          <w:bCs/>
          <w:color w:val="000000" w:themeColor="text1"/>
          <w:szCs w:val="21"/>
          <w:highlight w:val="none"/>
          <w14:textFill>
            <w14:solidFill>
              <w14:schemeClr w14:val="tx1"/>
            </w14:solidFill>
          </w14:textFill>
        </w:rPr>
      </w:pPr>
    </w:p>
    <w:p w14:paraId="4CA0C5E9">
      <w:pPr>
        <w:autoSpaceDE w:val="0"/>
        <w:autoSpaceDN w:val="0"/>
        <w:adjustRightInd w:val="0"/>
        <w:spacing w:line="400" w:lineRule="atLeast"/>
        <w:jc w:val="center"/>
        <w:outlineLvl w:val="9"/>
        <w:rPr>
          <w:rFonts w:hint="eastAsia" w:ascii="宋体" w:hAnsi="宋体" w:eastAsia="宋体" w:cs="宋体"/>
          <w:b/>
          <w:bCs/>
          <w:color w:val="000000" w:themeColor="text1"/>
          <w:szCs w:val="21"/>
          <w:highlight w:val="none"/>
          <w14:textFill>
            <w14:solidFill>
              <w14:schemeClr w14:val="tx1"/>
            </w14:solidFill>
          </w14:textFill>
        </w:rPr>
      </w:pPr>
    </w:p>
    <w:p w14:paraId="1381BC45">
      <w:pPr>
        <w:autoSpaceDE w:val="0"/>
        <w:autoSpaceDN w:val="0"/>
        <w:adjustRightInd w:val="0"/>
        <w:spacing w:line="360" w:lineRule="auto"/>
        <w:jc w:val="center"/>
        <w:outlineLvl w:val="9"/>
        <w:rPr>
          <w:rFonts w:hint="eastAsia" w:ascii="宋体" w:hAnsi="宋体" w:eastAsia="宋体" w:cs="宋体"/>
          <w:b/>
          <w:bCs/>
          <w:color w:val="000000" w:themeColor="text1"/>
          <w:sz w:val="36"/>
          <w:szCs w:val="44"/>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东莞市石鼓净水有限公司污水处理厂分布式光伏发电项目</w:t>
      </w:r>
    </w:p>
    <w:p w14:paraId="543B43FF">
      <w:pPr>
        <w:autoSpaceDE w:val="0"/>
        <w:autoSpaceDN w:val="0"/>
        <w:adjustRightInd w:val="0"/>
        <w:spacing w:line="360" w:lineRule="auto"/>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bookmarkStart w:id="708"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（招标编号：DGDS2024-089）</w:t>
      </w:r>
      <w:bookmarkEnd w:id="708"/>
    </w:p>
    <w:p w14:paraId="7450F05B">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43727AA6">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07D7DF1B">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211F36E5">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7C149206">
      <w:pPr>
        <w:autoSpaceDE w:val="0"/>
        <w:autoSpaceDN w:val="0"/>
        <w:adjustRightInd w:val="0"/>
        <w:spacing w:line="400" w:lineRule="atLeast"/>
        <w:jc w:val="center"/>
        <w:outlineLvl w:val="9"/>
        <w:rPr>
          <w:rFonts w:hint="eastAsia" w:ascii="宋体" w:hAnsi="宋体" w:eastAsia="宋体" w:cs="宋体"/>
          <w:b/>
          <w:bCs/>
          <w:color w:val="000000" w:themeColor="text1"/>
          <w:sz w:val="72"/>
          <w:szCs w:val="72"/>
          <w:highlight w:val="none"/>
          <w:lang w:val="zh-CN"/>
          <w14:textFill>
            <w14:solidFill>
              <w14:schemeClr w14:val="tx1"/>
            </w14:solidFill>
          </w14:textFill>
        </w:rPr>
      </w:pPr>
      <w:bookmarkStart w:id="709"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709"/>
    </w:p>
    <w:p w14:paraId="08705EE3">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4B44E94F">
      <w:pPr>
        <w:autoSpaceDE w:val="0"/>
        <w:autoSpaceDN w:val="0"/>
        <w:adjustRightInd w:val="0"/>
        <w:spacing w:line="400" w:lineRule="atLeast"/>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5B8A6482">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2EF922F1">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33689856">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01BB9876">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 xml:space="preserve">东莞市达盛招标代理有限公司 </w:t>
      </w:r>
    </w:p>
    <w:p w14:paraId="54C99C6D">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00DD7670">
      <w:pPr>
        <w:autoSpaceDE w:val="0"/>
        <w:autoSpaceDN w:val="0"/>
        <w:adjustRightInd w:val="0"/>
        <w:spacing w:line="400" w:lineRule="atLeast"/>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710"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710"/>
    </w:p>
    <w:p w14:paraId="62596433">
      <w:pPr>
        <w:autoSpaceDE w:val="0"/>
        <w:autoSpaceDN w:val="0"/>
        <w:adjustRightInd w:val="0"/>
        <w:spacing w:line="400" w:lineRule="atLeast"/>
        <w:jc w:val="center"/>
        <w:outlineLvl w:val="9"/>
        <w:rPr>
          <w:rFonts w:hint="eastAsia" w:ascii="宋体" w:hAnsi="宋体" w:eastAsia="宋体" w:cs="宋体"/>
          <w:color w:val="000000" w:themeColor="text1"/>
          <w:sz w:val="44"/>
          <w:szCs w:val="44"/>
          <w:highlight w:val="none"/>
          <w14:textFill>
            <w14:solidFill>
              <w14:schemeClr w14:val="tx1"/>
            </w14:solidFill>
          </w14:textFill>
        </w:rPr>
      </w:pPr>
    </w:p>
    <w:p w14:paraId="17246909">
      <w:pPr>
        <w:autoSpaceDE w:val="0"/>
        <w:autoSpaceDN w:val="0"/>
        <w:adjustRightInd w:val="0"/>
        <w:spacing w:line="360" w:lineRule="auto"/>
        <w:ind w:left="567" w:hanging="567"/>
        <w:outlineLvl w:val="9"/>
        <w:rPr>
          <w:rFonts w:hint="eastAsia" w:ascii="宋体" w:hAnsi="宋体" w:eastAsia="宋体" w:cs="宋体"/>
          <w:color w:val="000000" w:themeColor="text1"/>
          <w:szCs w:val="30"/>
          <w:highlight w:val="none"/>
          <w14:textFill>
            <w14:solidFill>
              <w14:schemeClr w14:val="tx1"/>
            </w14:solidFill>
          </w14:textFill>
        </w:rPr>
      </w:pPr>
      <w:bookmarkStart w:id="711"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711"/>
    </w:p>
    <w:p w14:paraId="1B0CF20B">
      <w:pPr>
        <w:autoSpaceDE w:val="0"/>
        <w:autoSpaceDN w:val="0"/>
        <w:adjustRightInd w:val="0"/>
        <w:spacing w:line="360" w:lineRule="auto"/>
        <w:ind w:left="567" w:hanging="567"/>
        <w:outlineLvl w:val="9"/>
        <w:rPr>
          <w:rFonts w:hint="eastAsia" w:ascii="宋体" w:hAnsi="宋体" w:eastAsia="宋体" w:cs="宋体"/>
          <w:color w:val="000000" w:themeColor="text1"/>
          <w:szCs w:val="30"/>
          <w:highlight w:val="none"/>
          <w14:textFill>
            <w14:solidFill>
              <w14:schemeClr w14:val="tx1"/>
            </w14:solidFill>
          </w14:textFill>
        </w:rPr>
      </w:pPr>
      <w:bookmarkStart w:id="712"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712"/>
    </w:p>
    <w:p w14:paraId="19CE0A00">
      <w:pPr>
        <w:autoSpaceDE w:val="0"/>
        <w:autoSpaceDN w:val="0"/>
        <w:adjustRightInd w:val="0"/>
        <w:spacing w:line="360" w:lineRule="auto"/>
        <w:ind w:left="567" w:hanging="567"/>
        <w:outlineLvl w:val="9"/>
        <w:rPr>
          <w:rFonts w:hint="eastAsia" w:ascii="宋体" w:hAnsi="宋体" w:eastAsia="宋体" w:cs="宋体"/>
          <w:color w:val="000000" w:themeColor="text1"/>
          <w:szCs w:val="30"/>
          <w:highlight w:val="none"/>
          <w14:textFill>
            <w14:solidFill>
              <w14:schemeClr w14:val="tx1"/>
            </w14:solidFill>
          </w14:textFill>
        </w:rPr>
      </w:pPr>
      <w:bookmarkStart w:id="713"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713"/>
    </w:p>
    <w:p w14:paraId="4F52B5F6">
      <w:pPr>
        <w:autoSpaceDE w:val="0"/>
        <w:autoSpaceDN w:val="0"/>
        <w:adjustRightInd w:val="0"/>
        <w:spacing w:line="360" w:lineRule="auto"/>
        <w:ind w:left="567" w:hanging="567"/>
        <w:outlineLvl w:val="9"/>
        <w:rPr>
          <w:rFonts w:hint="eastAsia" w:ascii="宋体" w:hAnsi="宋体" w:eastAsia="宋体" w:cs="宋体"/>
          <w:color w:val="000000" w:themeColor="text1"/>
          <w:szCs w:val="30"/>
          <w:highlight w:val="none"/>
          <w14:textFill>
            <w14:solidFill>
              <w14:schemeClr w14:val="tx1"/>
            </w14:solidFill>
          </w14:textFill>
        </w:rPr>
      </w:pPr>
      <w:bookmarkStart w:id="714"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714"/>
    </w:p>
    <w:p w14:paraId="1E7D5261">
      <w:pPr>
        <w:autoSpaceDE w:val="0"/>
        <w:autoSpaceDN w:val="0"/>
        <w:adjustRightInd w:val="0"/>
        <w:spacing w:line="360" w:lineRule="auto"/>
        <w:ind w:left="567" w:hanging="567"/>
        <w:outlineLvl w:val="9"/>
        <w:rPr>
          <w:rFonts w:hint="eastAsia" w:ascii="宋体" w:hAnsi="宋体" w:eastAsia="宋体" w:cs="宋体"/>
          <w:color w:val="000000" w:themeColor="text1"/>
          <w:szCs w:val="30"/>
          <w:highlight w:val="none"/>
          <w14:textFill>
            <w14:solidFill>
              <w14:schemeClr w14:val="tx1"/>
            </w14:solidFill>
          </w14:textFill>
        </w:rPr>
      </w:pPr>
      <w:bookmarkStart w:id="715"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715"/>
    </w:p>
    <w:p w14:paraId="092AC10B">
      <w:pPr>
        <w:autoSpaceDE w:val="0"/>
        <w:autoSpaceDN w:val="0"/>
        <w:adjustRightInd w:val="0"/>
        <w:spacing w:line="360" w:lineRule="auto"/>
        <w:ind w:left="567" w:hanging="567"/>
        <w:outlineLvl w:val="9"/>
        <w:rPr>
          <w:rFonts w:hint="eastAsia" w:ascii="宋体" w:hAnsi="宋体" w:eastAsia="宋体" w:cs="宋体"/>
          <w:color w:val="000000" w:themeColor="text1"/>
          <w:szCs w:val="30"/>
          <w:highlight w:val="none"/>
          <w14:textFill>
            <w14:solidFill>
              <w14:schemeClr w14:val="tx1"/>
            </w14:solidFill>
          </w14:textFill>
        </w:rPr>
      </w:pPr>
      <w:bookmarkStart w:id="716"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716"/>
    </w:p>
    <w:p w14:paraId="33671481">
      <w:pPr>
        <w:autoSpaceDE w:val="0"/>
        <w:autoSpaceDN w:val="0"/>
        <w:adjustRightInd w:val="0"/>
        <w:spacing w:line="360" w:lineRule="auto"/>
        <w:ind w:left="567" w:hanging="567"/>
        <w:outlineLvl w:val="9"/>
        <w:rPr>
          <w:rFonts w:hint="eastAsia" w:ascii="宋体" w:hAnsi="宋体" w:eastAsia="宋体" w:cs="宋体"/>
          <w:color w:val="000000" w:themeColor="text1"/>
          <w:szCs w:val="30"/>
          <w:highlight w:val="none"/>
          <w14:textFill>
            <w14:solidFill>
              <w14:schemeClr w14:val="tx1"/>
            </w14:solidFill>
          </w14:textFill>
        </w:rPr>
      </w:pPr>
      <w:bookmarkStart w:id="717"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717"/>
    </w:p>
    <w:p w14:paraId="0458E81E">
      <w:pPr>
        <w:tabs>
          <w:tab w:val="right" w:pos="7320"/>
        </w:tabs>
        <w:autoSpaceDE w:val="0"/>
        <w:autoSpaceDN w:val="0"/>
        <w:adjustRightInd w:val="0"/>
        <w:spacing w:line="360" w:lineRule="auto"/>
        <w:ind w:left="720" w:hanging="720"/>
        <w:outlineLvl w:val="9"/>
        <w:rPr>
          <w:rFonts w:hint="eastAsia" w:ascii="宋体" w:hAnsi="宋体" w:eastAsia="宋体" w:cs="宋体"/>
          <w:color w:val="000000" w:themeColor="text1"/>
          <w:szCs w:val="30"/>
          <w:highlight w:val="none"/>
          <w14:textFill>
            <w14:solidFill>
              <w14:schemeClr w14:val="tx1"/>
            </w14:solidFill>
          </w14:textFill>
        </w:rPr>
      </w:pPr>
    </w:p>
    <w:p w14:paraId="3803B45C">
      <w:pPr>
        <w:tabs>
          <w:tab w:val="right" w:pos="7320"/>
        </w:tabs>
        <w:autoSpaceDE w:val="0"/>
        <w:autoSpaceDN w:val="0"/>
        <w:adjustRightInd w:val="0"/>
        <w:spacing w:line="360" w:lineRule="auto"/>
        <w:ind w:left="720" w:hanging="720"/>
        <w:outlineLvl w:val="9"/>
        <w:rPr>
          <w:rFonts w:hint="eastAsia" w:ascii="宋体" w:hAnsi="宋体" w:eastAsia="宋体" w:cs="宋体"/>
          <w:color w:val="000000" w:themeColor="text1"/>
          <w:szCs w:val="30"/>
          <w:highlight w:val="none"/>
          <w14:textFill>
            <w14:solidFill>
              <w14:schemeClr w14:val="tx1"/>
            </w14:solidFill>
          </w14:textFill>
        </w:rPr>
      </w:pPr>
    </w:p>
    <w:p w14:paraId="3B519E25">
      <w:pPr>
        <w:tabs>
          <w:tab w:val="left" w:pos="1080"/>
          <w:tab w:val="right" w:pos="7320"/>
        </w:tabs>
        <w:autoSpaceDE w:val="0"/>
        <w:autoSpaceDN w:val="0"/>
        <w:adjustRightInd w:val="0"/>
        <w:spacing w:line="400" w:lineRule="atLeast"/>
        <w:ind w:left="720" w:hanging="720"/>
        <w:outlineLvl w:val="9"/>
        <w:rPr>
          <w:rFonts w:hint="eastAsia" w:ascii="宋体" w:hAnsi="宋体" w:eastAsia="宋体" w:cs="宋体"/>
          <w:color w:val="000000" w:themeColor="text1"/>
          <w:szCs w:val="30"/>
          <w:highlight w:val="none"/>
          <w14:textFill>
            <w14:solidFill>
              <w14:schemeClr w14:val="tx1"/>
            </w14:solidFill>
          </w14:textFill>
        </w:rPr>
      </w:pPr>
    </w:p>
    <w:p w14:paraId="2321BB58">
      <w:pPr>
        <w:tabs>
          <w:tab w:val="left" w:pos="1140"/>
        </w:tabs>
        <w:autoSpaceDE w:val="0"/>
        <w:autoSpaceDN w:val="0"/>
        <w:adjustRightInd w:val="0"/>
        <w:spacing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718"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718"/>
    </w:p>
    <w:p w14:paraId="30C5F5F7">
      <w:pPr>
        <w:tabs>
          <w:tab w:val="left" w:pos="567"/>
          <w:tab w:val="left" w:pos="600"/>
        </w:tabs>
        <w:autoSpaceDE w:val="0"/>
        <w:autoSpaceDN w:val="0"/>
        <w:adjustRightInd w:val="0"/>
        <w:spacing w:line="360" w:lineRule="auto"/>
        <w:ind w:left="600" w:hanging="600"/>
        <w:outlineLvl w:val="9"/>
        <w:rPr>
          <w:rFonts w:hint="eastAsia"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16E6B7F6">
      <w:pPr>
        <w:autoSpaceDE w:val="0"/>
        <w:autoSpaceDN w:val="0"/>
        <w:adjustRightInd w:val="0"/>
        <w:spacing w:line="360" w:lineRule="auto"/>
        <w:ind w:left="567" w:hanging="567"/>
        <w:outlineLvl w:val="9"/>
        <w:rPr>
          <w:rFonts w:hint="eastAsia"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东莞市石鼓净水有限公司污水处理厂分布式光伏发电项目</w:t>
      </w:r>
      <w:r>
        <w:rPr>
          <w:rFonts w:hint="eastAsia" w:ascii="宋体" w:hAnsi="宋体" w:eastAsia="宋体" w:cs="宋体"/>
          <w:color w:val="000000" w:themeColor="text1"/>
          <w:szCs w:val="21"/>
          <w:highlight w:val="none"/>
          <w:lang w:val="zh-CN"/>
          <w14:textFill>
            <w14:solidFill>
              <w14:schemeClr w14:val="tx1"/>
            </w14:solidFill>
          </w14:textFill>
        </w:rPr>
        <w:t>(招标编号：DGDS2024-089</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6BCDB5A9">
      <w:pPr>
        <w:autoSpaceDE w:val="0"/>
        <w:autoSpaceDN w:val="0"/>
        <w:adjustRightInd w:val="0"/>
        <w:spacing w:line="360" w:lineRule="auto"/>
        <w:ind w:left="567" w:hanging="5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25FA2023">
      <w:pPr>
        <w:autoSpaceDE w:val="0"/>
        <w:autoSpaceDN w:val="0"/>
        <w:adjustRightInd w:val="0"/>
        <w:spacing w:line="360" w:lineRule="auto"/>
        <w:ind w:left="567" w:hanging="5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w:t>
      </w:r>
      <w:r>
        <w:rPr>
          <w:rFonts w:hint="eastAsia" w:ascii="宋体" w:hAnsi="宋体" w:eastAsia="宋体" w:cs="宋体"/>
          <w:color w:val="000000" w:themeColor="text1"/>
          <w:kern w:val="0"/>
          <w:szCs w:val="32"/>
          <w:highlight w:val="none"/>
          <w:lang w:eastAsia="zh-CN"/>
          <w14:textFill>
            <w14:solidFill>
              <w14:schemeClr w14:val="tx1"/>
            </w14:solidFill>
          </w14:textFill>
        </w:rPr>
        <w:t>东莞市达盛招标代理有限公司</w:t>
      </w:r>
      <w:r>
        <w:rPr>
          <w:rFonts w:hint="eastAsia" w:ascii="宋体" w:hAnsi="宋体" w:eastAsia="宋体" w:cs="宋体"/>
          <w:color w:val="000000" w:themeColor="text1"/>
          <w:kern w:val="0"/>
          <w:szCs w:val="32"/>
          <w:highlight w:val="none"/>
          <w14:textFill>
            <w14:solidFill>
              <w14:schemeClr w14:val="tx1"/>
            </w14:solidFill>
          </w14:textFill>
        </w:rPr>
        <w:t>）组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08568A58">
      <w:pPr>
        <w:autoSpaceDE w:val="0"/>
        <w:autoSpaceDN w:val="0"/>
        <w:adjustRightInd w:val="0"/>
        <w:spacing w:line="360" w:lineRule="auto"/>
        <w:ind w:left="567" w:hanging="5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52B6381F">
      <w:pPr>
        <w:numPr>
          <w:ilvl w:val="1"/>
          <w:numId w:val="18"/>
        </w:numPr>
        <w:autoSpaceDE w:val="0"/>
        <w:autoSpaceDN w:val="0"/>
        <w:adjustRightInd w:val="0"/>
        <w:spacing w:line="360" w:lineRule="auto"/>
        <w:ind w:left="565" w:hanging="564" w:hangingChars="269"/>
        <w:jc w:val="left"/>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456720AA">
      <w:pPr>
        <w:autoSpaceDE w:val="0"/>
        <w:autoSpaceDN w:val="0"/>
        <w:adjustRightInd w:val="0"/>
        <w:spacing w:line="360" w:lineRule="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p>
    <w:p w14:paraId="05AA3A2D">
      <w:pPr>
        <w:tabs>
          <w:tab w:val="left" w:pos="360"/>
          <w:tab w:val="left" w:pos="600"/>
        </w:tabs>
        <w:autoSpaceDE w:val="0"/>
        <w:autoSpaceDN w:val="0"/>
        <w:adjustRightInd w:val="0"/>
        <w:spacing w:line="360" w:lineRule="auto"/>
        <w:ind w:left="600" w:hanging="600"/>
        <w:outlineLvl w:val="9"/>
        <w:rPr>
          <w:rFonts w:hint="eastAsia"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1F569D83">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hint="eastAsia" w:ascii="宋体" w:hAnsi="宋体" w:eastAsia="宋体" w:cs="宋体"/>
          <w:color w:val="000000" w:themeColor="text1"/>
          <w:kern w:val="0"/>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Cs w:val="24"/>
          <w:highlight w:val="none"/>
          <w14:textFill>
            <w14:solidFill>
              <w14:schemeClr w14:val="tx1"/>
            </w14:solidFill>
          </w14:textFill>
        </w:rPr>
        <w:t>人以上（含</w:t>
      </w:r>
      <w:r>
        <w:rPr>
          <w:rFonts w:hint="eastAsia" w:ascii="宋体" w:hAnsi="宋体" w:eastAsia="宋体" w:cs="宋体"/>
          <w:color w:val="000000" w:themeColor="text1"/>
          <w:kern w:val="0"/>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Cs w:val="24"/>
          <w:highlight w:val="none"/>
          <w14:textFill>
            <w14:solidFill>
              <w14:schemeClr w14:val="tx1"/>
            </w14:solidFill>
          </w14:textFill>
        </w:rPr>
        <w:t>人）单数，其中技术、经济等方面的专家不少于成员总数的三分之二。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65BA7865">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470B27C2">
      <w:pPr>
        <w:autoSpaceDE w:val="0"/>
        <w:autoSpaceDN w:val="0"/>
        <w:adjustRightInd w:val="0"/>
        <w:spacing w:line="360" w:lineRule="auto"/>
        <w:ind w:left="600" w:hanging="6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3D5FBD7F">
      <w:pPr>
        <w:autoSpaceDE w:val="0"/>
        <w:autoSpaceDN w:val="0"/>
        <w:adjustRightInd w:val="0"/>
        <w:spacing w:line="360" w:lineRule="auto"/>
        <w:ind w:left="600" w:hanging="6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717E3D9A">
      <w:pPr>
        <w:autoSpaceDE w:val="0"/>
        <w:autoSpaceDN w:val="0"/>
        <w:adjustRightInd w:val="0"/>
        <w:spacing w:line="360" w:lineRule="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p>
    <w:p w14:paraId="415EB6E1">
      <w:pPr>
        <w:autoSpaceDE w:val="0"/>
        <w:autoSpaceDN w:val="0"/>
        <w:adjustRightInd w:val="0"/>
        <w:spacing w:line="360" w:lineRule="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7E5A3BCF">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17AA1BA6">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3AA116F2">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29B9A824">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5DC39340">
      <w:pPr>
        <w:autoSpaceDE w:val="0"/>
        <w:autoSpaceDN w:val="0"/>
        <w:adjustRightInd w:val="0"/>
        <w:spacing w:line="360" w:lineRule="auto"/>
        <w:jc w:val="left"/>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p>
    <w:p w14:paraId="6CBE657A">
      <w:pPr>
        <w:tabs>
          <w:tab w:val="left" w:pos="720"/>
        </w:tabs>
        <w:autoSpaceDE w:val="0"/>
        <w:autoSpaceDN w:val="0"/>
        <w:adjustRightInd w:val="0"/>
        <w:spacing w:line="360" w:lineRule="auto"/>
        <w:outlineLvl w:val="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6D93E0B1">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29597021">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6067DB61">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66FD06CF">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494B8A46">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0B784C4A">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718DBD8E">
      <w:pPr>
        <w:tabs>
          <w:tab w:val="left" w:pos="720"/>
        </w:tabs>
        <w:autoSpaceDE w:val="0"/>
        <w:autoSpaceDN w:val="0"/>
        <w:adjustRightInd w:val="0"/>
        <w:spacing w:line="360" w:lineRule="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p>
    <w:p w14:paraId="408BC58A">
      <w:pPr>
        <w:numPr>
          <w:ilvl w:val="0"/>
          <w:numId w:val="19"/>
        </w:numPr>
        <w:tabs>
          <w:tab w:val="left" w:pos="1547"/>
        </w:tabs>
        <w:autoSpaceDE w:val="0"/>
        <w:autoSpaceDN w:val="0"/>
        <w:adjustRightInd w:val="0"/>
        <w:spacing w:line="360" w:lineRule="auto"/>
        <w:outlineLvl w:val="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评审程序</w:t>
      </w:r>
    </w:p>
    <w:p w14:paraId="124104FA">
      <w:pPr>
        <w:autoSpaceDE w:val="0"/>
        <w:autoSpaceDN w:val="0"/>
        <w:adjustRightInd w:val="0"/>
        <w:spacing w:line="360" w:lineRule="auto"/>
        <w:ind w:left="567" w:hanging="567"/>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14:paraId="6B4B0278">
      <w:pPr>
        <w:autoSpaceDE w:val="0"/>
        <w:autoSpaceDN w:val="0"/>
        <w:adjustRightInd w:val="0"/>
        <w:spacing w:line="360" w:lineRule="auto"/>
        <w:ind w:left="567" w:hanging="567"/>
        <w:outlineLvl w:val="9"/>
        <w:rPr>
          <w:rFonts w:hint="eastAsia" w:ascii="宋体" w:hAnsi="宋体" w:eastAsia="宋体" w:cs="宋体"/>
          <w:bCs/>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宋体"/>
          <w:color w:val="000000" w:themeColor="text1"/>
          <w:szCs w:val="24"/>
          <w:highlight w:val="none"/>
          <w:lang w:val="zh-CN"/>
          <w14:textFill>
            <w14:solidFill>
              <w14:schemeClr w14:val="tx1"/>
            </w14:solidFill>
          </w14:textFill>
        </w:rPr>
        <w:t>投标</w:t>
      </w:r>
      <w:r>
        <w:rPr>
          <w:rFonts w:hint="eastAsia" w:ascii="宋体" w:hAnsi="宋体" w:eastAsia="宋体" w:cs="宋体"/>
          <w:bCs/>
          <w:color w:val="000000" w:themeColor="text1"/>
          <w:szCs w:val="24"/>
          <w:highlight w:val="none"/>
          <w:lang w:val="zh-CN"/>
          <w14:textFill>
            <w14:solidFill>
              <w14:schemeClr w14:val="tx1"/>
            </w14:solidFill>
          </w14:textFill>
        </w:rPr>
        <w:t>文件做初审，对未能通过初审的投标文件不再进入下一阶段评审。</w:t>
      </w:r>
    </w:p>
    <w:p w14:paraId="3C68DA16">
      <w:pPr>
        <w:autoSpaceDE w:val="0"/>
        <w:autoSpaceDN w:val="0"/>
        <w:adjustRightInd w:val="0"/>
        <w:spacing w:line="360" w:lineRule="auto"/>
        <w:ind w:left="567" w:hanging="5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bCs/>
          <w:color w:val="000000" w:themeColor="text1"/>
          <w:szCs w:val="24"/>
          <w:highlight w:val="none"/>
          <w:lang w:val="zh-CN"/>
          <w14:textFill>
            <w14:solidFill>
              <w14:schemeClr w14:val="tx1"/>
            </w14:solidFill>
          </w14:textFill>
        </w:rPr>
        <w:t>评标</w:t>
      </w:r>
      <w:r>
        <w:rPr>
          <w:rFonts w:hint="eastAsia" w:ascii="宋体" w:hAnsi="宋体" w:eastAsia="宋体" w:cs="宋体"/>
          <w:color w:val="000000" w:themeColor="text1"/>
          <w:szCs w:val="24"/>
          <w:highlight w:val="none"/>
          <w:lang w:val="zh-CN"/>
          <w14:textFill>
            <w14:solidFill>
              <w14:schemeClr w14:val="tx1"/>
            </w14:solidFill>
          </w14:textFill>
        </w:rPr>
        <w:t>委员会对通过初审的投标人的投标文件进行详细的比较和评价。如需要，进行必要的澄清工作。</w:t>
      </w:r>
    </w:p>
    <w:p w14:paraId="3800F40D">
      <w:pPr>
        <w:autoSpaceDE w:val="0"/>
        <w:autoSpaceDN w:val="0"/>
        <w:adjustRightInd w:val="0"/>
        <w:spacing w:line="360" w:lineRule="auto"/>
        <w:ind w:left="567" w:hanging="5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5.3  依据评分标准以及各项权重，各位评标委员会成员单独就每个投标人的商务状况、技术状况进行比较和评价，分别评出其商务得分和技术得分。</w:t>
      </w:r>
    </w:p>
    <w:p w14:paraId="420CF3E6">
      <w:pPr>
        <w:autoSpaceDE w:val="0"/>
        <w:autoSpaceDN w:val="0"/>
        <w:adjustRightInd w:val="0"/>
        <w:spacing w:line="360" w:lineRule="auto"/>
        <w:ind w:left="567" w:hanging="5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对有效投标人的投标报价进行审查和价格评分。</w:t>
      </w:r>
    </w:p>
    <w:p w14:paraId="0412EB13">
      <w:pPr>
        <w:autoSpaceDE w:val="0"/>
        <w:autoSpaceDN w:val="0"/>
        <w:adjustRightInd w:val="0"/>
        <w:spacing w:line="360" w:lineRule="auto"/>
        <w:ind w:left="567" w:hanging="567"/>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5.5  将各</w:t>
      </w:r>
      <w:r>
        <w:rPr>
          <w:rFonts w:hint="eastAsia" w:ascii="宋体" w:hAnsi="宋体" w:eastAsia="宋体" w:cs="宋体"/>
          <w:color w:val="000000" w:themeColor="text1"/>
          <w:szCs w:val="24"/>
          <w:highlight w:val="none"/>
          <w:lang w:val="zh-CN"/>
          <w14:textFill>
            <w14:solidFill>
              <w14:schemeClr w14:val="tx1"/>
            </w14:solidFill>
          </w14:textFill>
        </w:rPr>
        <w:t>评委对</w:t>
      </w:r>
      <w:r>
        <w:rPr>
          <w:rFonts w:hint="eastAsia" w:ascii="宋体" w:hAnsi="宋体" w:eastAsia="宋体" w:cs="宋体"/>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14:paraId="002F8F42">
      <w:pPr>
        <w:autoSpaceDE w:val="0"/>
        <w:autoSpaceDN w:val="0"/>
        <w:adjustRightInd w:val="0"/>
        <w:spacing w:line="360" w:lineRule="auto"/>
        <w:ind w:left="567" w:hanging="567"/>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5.6  </w:t>
      </w:r>
      <w:r>
        <w:rPr>
          <w:rFonts w:hint="eastAsia" w:ascii="宋体" w:hAnsi="宋体" w:eastAsia="宋体" w:cs="宋体"/>
          <w:b/>
          <w:color w:val="000000" w:themeColor="text1"/>
          <w:kern w:val="0"/>
          <w:szCs w:val="24"/>
          <w:highlight w:val="none"/>
          <w:u w:val="single"/>
          <w:lang w:val="zh-CN"/>
          <w14:textFill>
            <w14:solidFill>
              <w14:schemeClr w14:val="tx1"/>
            </w14:solidFill>
          </w14:textFill>
        </w:rPr>
        <w:t>评标委员会将向招标人</w:t>
      </w:r>
      <w:r>
        <w:rPr>
          <w:rFonts w:hint="eastAsia" w:ascii="宋体" w:hAnsi="宋体" w:eastAsia="宋体" w:cs="宋体"/>
          <w:b/>
          <w:color w:val="000000" w:themeColor="text1"/>
          <w:kern w:val="0"/>
          <w:szCs w:val="24"/>
          <w:highlight w:val="none"/>
          <w:u w:val="single"/>
          <w14:textFill>
            <w14:solidFill>
              <w14:schemeClr w14:val="tx1"/>
            </w14:solidFill>
          </w14:textFill>
        </w:rPr>
        <w:t>推荐</w:t>
      </w:r>
      <w:r>
        <w:rPr>
          <w:rFonts w:hint="eastAsia" w:ascii="宋体" w:hAnsi="宋体" w:eastAsia="宋体" w:cs="宋体"/>
          <w:b/>
          <w:color w:val="000000" w:themeColor="text1"/>
          <w:kern w:val="0"/>
          <w:szCs w:val="24"/>
          <w:highlight w:val="none"/>
          <w:u w:val="single"/>
          <w:lang w:val="en-US" w:eastAsia="zh-CN"/>
          <w14:textFill>
            <w14:solidFill>
              <w14:schemeClr w14:val="tx1"/>
            </w14:solidFill>
          </w14:textFill>
        </w:rPr>
        <w:t>评标</w:t>
      </w:r>
      <w:r>
        <w:rPr>
          <w:rFonts w:hint="eastAsia" w:ascii="宋体" w:hAnsi="宋体" w:eastAsia="宋体" w:cs="宋体"/>
          <w:b/>
          <w:color w:val="000000" w:themeColor="text1"/>
          <w:kern w:val="0"/>
          <w:szCs w:val="24"/>
          <w:highlight w:val="none"/>
          <w:u w:val="single"/>
          <w14:textFill>
            <w14:solidFill>
              <w14:schemeClr w14:val="tx1"/>
            </w14:solidFill>
          </w14:textFill>
        </w:rPr>
        <w:t>最后综合得分</w:t>
      </w:r>
      <w:r>
        <w:rPr>
          <w:rFonts w:hint="eastAsia" w:ascii="宋体" w:hAnsi="宋体" w:eastAsia="宋体" w:cs="宋体"/>
          <w:b/>
          <w:color w:val="000000" w:themeColor="text1"/>
          <w:kern w:val="0"/>
          <w:szCs w:val="24"/>
          <w:highlight w:val="none"/>
          <w:u w:val="single"/>
          <w:lang w:val="zh-CN"/>
          <w14:textFill>
            <w14:solidFill>
              <w14:schemeClr w14:val="tx1"/>
            </w14:solidFill>
          </w14:textFill>
        </w:rPr>
        <w:t>最高的前</w:t>
      </w:r>
      <w:r>
        <w:rPr>
          <w:rFonts w:hint="eastAsia" w:ascii="宋体" w:hAnsi="宋体" w:eastAsia="宋体" w:cs="宋体"/>
          <w:b/>
          <w:color w:val="000000" w:themeColor="text1"/>
          <w:kern w:val="0"/>
          <w:szCs w:val="24"/>
          <w:highlight w:val="none"/>
          <w:u w:val="single"/>
          <w14:textFill>
            <w14:solidFill>
              <w14:schemeClr w14:val="tx1"/>
            </w14:solidFill>
          </w14:textFill>
        </w:rPr>
        <w:t>二</w:t>
      </w:r>
      <w:r>
        <w:rPr>
          <w:rFonts w:hint="eastAsia" w:ascii="宋体" w:hAnsi="宋体" w:eastAsia="宋体" w:cs="宋体"/>
          <w:b/>
          <w:color w:val="000000" w:themeColor="text1"/>
          <w:kern w:val="0"/>
          <w:szCs w:val="24"/>
          <w:highlight w:val="none"/>
          <w:u w:val="single"/>
          <w:lang w:val="zh-CN"/>
          <w14:textFill>
            <w14:solidFill>
              <w14:schemeClr w14:val="tx1"/>
            </w14:solidFill>
          </w14:textFill>
        </w:rPr>
        <w:t>名投标人为</w:t>
      </w:r>
      <w:r>
        <w:rPr>
          <w:rFonts w:hint="eastAsia" w:ascii="宋体" w:hAnsi="宋体" w:eastAsia="宋体" w:cs="宋体"/>
          <w:b/>
          <w:color w:val="000000" w:themeColor="text1"/>
          <w:kern w:val="0"/>
          <w:szCs w:val="24"/>
          <w:highlight w:val="none"/>
          <w:u w:val="single"/>
          <w14:textFill>
            <w14:solidFill>
              <w14:schemeClr w14:val="tx1"/>
            </w14:solidFill>
          </w14:textFill>
        </w:rPr>
        <w:t>中</w:t>
      </w:r>
      <w:r>
        <w:rPr>
          <w:rFonts w:hint="eastAsia" w:ascii="宋体" w:hAnsi="宋体" w:eastAsia="宋体" w:cs="宋体"/>
          <w:b/>
          <w:color w:val="000000" w:themeColor="text1"/>
          <w:kern w:val="0"/>
          <w:szCs w:val="24"/>
          <w:highlight w:val="none"/>
          <w:u w:val="single"/>
          <w:lang w:val="zh-CN"/>
          <w14:textFill>
            <w14:solidFill>
              <w14:schemeClr w14:val="tx1"/>
            </w14:solidFill>
          </w14:textFill>
        </w:rPr>
        <w:t>标候选人，</w:t>
      </w:r>
      <w:r>
        <w:rPr>
          <w:rFonts w:hint="eastAsia" w:ascii="宋体" w:hAnsi="宋体" w:eastAsia="宋体" w:cs="宋体"/>
          <w:b/>
          <w:color w:val="000000" w:themeColor="text1"/>
          <w:kern w:val="0"/>
          <w:szCs w:val="24"/>
          <w:highlight w:val="none"/>
          <w:u w:val="single"/>
          <w14:textFill>
            <w14:solidFill>
              <w14:schemeClr w14:val="tx1"/>
            </w14:solidFill>
          </w14:textFill>
        </w:rPr>
        <w:t>并标明排列顺序</w:t>
      </w:r>
      <w:r>
        <w:rPr>
          <w:rFonts w:hint="eastAsia" w:ascii="宋体" w:hAnsi="宋体" w:eastAsia="宋体" w:cs="宋体"/>
          <w:b/>
          <w:color w:val="000000" w:themeColor="text1"/>
          <w:kern w:val="0"/>
          <w:szCs w:val="21"/>
          <w:highlight w:val="none"/>
          <w14:textFill>
            <w14:solidFill>
              <w14:schemeClr w14:val="tx1"/>
            </w14:solidFill>
          </w14:textFill>
        </w:rPr>
        <w:t>。</w:t>
      </w:r>
    </w:p>
    <w:p w14:paraId="64E67039">
      <w:pPr>
        <w:autoSpaceDE w:val="0"/>
        <w:autoSpaceDN w:val="0"/>
        <w:adjustRightInd w:val="0"/>
        <w:spacing w:line="360" w:lineRule="auto"/>
        <w:ind w:left="525" w:hanging="525" w:hangingChars="250"/>
        <w:jc w:val="left"/>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7</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评标委员会</w:t>
      </w:r>
      <w:r>
        <w:rPr>
          <w:rFonts w:hint="eastAsia" w:ascii="宋体" w:hAnsi="宋体" w:eastAsia="宋体" w:cs="宋体"/>
          <w:color w:val="000000" w:themeColor="text1"/>
          <w:szCs w:val="24"/>
          <w:highlight w:val="none"/>
          <w:lang w:val="zh-CN"/>
          <w14:textFill>
            <w14:solidFill>
              <w14:schemeClr w14:val="tx1"/>
            </w14:solidFill>
          </w14:textFill>
        </w:rPr>
        <w:t>根据评审结果编写评标报告。</w:t>
      </w:r>
    </w:p>
    <w:p w14:paraId="33AB36D0">
      <w:pPr>
        <w:autoSpaceDE w:val="0"/>
        <w:autoSpaceDN w:val="0"/>
        <w:adjustRightInd w:val="0"/>
        <w:spacing w:line="360" w:lineRule="auto"/>
        <w:ind w:left="525" w:hanging="525" w:hangingChars="250"/>
        <w:jc w:val="left"/>
        <w:outlineLvl w:val="9"/>
        <w:rPr>
          <w:rFonts w:hint="eastAsia" w:ascii="宋体" w:hAnsi="宋体" w:eastAsia="宋体" w:cs="宋体"/>
          <w:color w:val="000000" w:themeColor="text1"/>
          <w:szCs w:val="24"/>
          <w:highlight w:val="none"/>
          <w:lang w:val="zh-CN"/>
          <w14:textFill>
            <w14:solidFill>
              <w14:schemeClr w14:val="tx1"/>
            </w14:solidFill>
          </w14:textFill>
        </w:rPr>
      </w:pPr>
    </w:p>
    <w:p w14:paraId="6B5B754A">
      <w:pPr>
        <w:tabs>
          <w:tab w:val="left" w:pos="1140"/>
        </w:tabs>
        <w:autoSpaceDE w:val="0"/>
        <w:autoSpaceDN w:val="0"/>
        <w:adjustRightInd w:val="0"/>
        <w:spacing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bookmarkStart w:id="719"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719"/>
    </w:p>
    <w:p w14:paraId="585353F1">
      <w:pPr>
        <w:autoSpaceDE w:val="0"/>
        <w:autoSpaceDN w:val="0"/>
        <w:adjustRightInd w:val="0"/>
        <w:spacing w:line="360" w:lineRule="auto"/>
        <w:outlineLvl w:val="9"/>
        <w:rPr>
          <w:rFonts w:hint="eastAsia"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4247B5CC">
      <w:pPr>
        <w:autoSpaceDE w:val="0"/>
        <w:autoSpaceDN w:val="0"/>
        <w:adjustRightInd w:val="0"/>
        <w:spacing w:line="360" w:lineRule="auto"/>
        <w:ind w:left="529" w:hanging="529" w:hangingChars="252"/>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861C910">
      <w:pPr>
        <w:autoSpaceDE w:val="0"/>
        <w:autoSpaceDN w:val="0"/>
        <w:adjustRightInd w:val="0"/>
        <w:spacing w:line="360" w:lineRule="auto"/>
        <w:ind w:left="529" w:hanging="529" w:hangingChars="252"/>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56C490AF">
      <w:pPr>
        <w:autoSpaceDE w:val="0"/>
        <w:autoSpaceDN w:val="0"/>
        <w:adjustRightInd w:val="0"/>
        <w:spacing w:line="360" w:lineRule="auto"/>
        <w:ind w:left="420" w:leftChars="200" w:firstLine="420" w:firstLineChars="2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或对该重大偏离的修改对提交实质性响应投标的其他投标人将不公平。</w:t>
      </w:r>
    </w:p>
    <w:p w14:paraId="11F93489">
      <w:pPr>
        <w:autoSpaceDE w:val="0"/>
        <w:autoSpaceDN w:val="0"/>
        <w:adjustRightInd w:val="0"/>
        <w:spacing w:line="360" w:lineRule="auto"/>
        <w:ind w:firstLine="840" w:firstLineChars="4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5F04051C">
      <w:pPr>
        <w:autoSpaceDE w:val="0"/>
        <w:autoSpaceDN w:val="0"/>
        <w:adjustRightInd w:val="0"/>
        <w:spacing w:line="360" w:lineRule="auto"/>
        <w:ind w:left="420" w:leftChars="200" w:firstLine="422" w:firstLineChars="200"/>
        <w:outlineLvl w:val="9"/>
        <w:rPr>
          <w:rFonts w:hint="eastAsia"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u w:val="singl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u w:val="single"/>
          <w14:textFill>
            <w14:solidFill>
              <w14:schemeClr w14:val="tx1"/>
            </w14:solidFill>
          </w14:textFill>
        </w:rPr>
        <w:t>从</w:t>
      </w:r>
      <w:r>
        <w:rPr>
          <w:rFonts w:hint="eastAsia" w:ascii="宋体" w:hAnsi="宋体" w:eastAsia="宋体" w:cs="宋体"/>
          <w:b/>
          <w:color w:val="000000" w:themeColor="text1"/>
          <w:szCs w:val="24"/>
          <w:highlight w:val="none"/>
          <w:u w:val="single"/>
          <w:lang w:val="zh-CN"/>
          <w14:textFill>
            <w14:solidFill>
              <w14:schemeClr w14:val="tx1"/>
            </w14:solidFill>
          </w14:textFill>
        </w:rPr>
        <w:t>多数的原则，获多数表决通过的投标人才有资格进入下一阶段的评审,否则将被认定为无效投标文件</w:t>
      </w:r>
      <w:r>
        <w:rPr>
          <w:rFonts w:hint="eastAsia" w:ascii="宋体" w:hAnsi="宋体" w:eastAsia="宋体" w:cs="宋体"/>
          <w:b/>
          <w:color w:val="000000" w:themeColor="text1"/>
          <w:szCs w:val="24"/>
          <w:highlight w:val="none"/>
          <w:lang w:val="zh-CN"/>
          <w14:textFill>
            <w14:solidFill>
              <w14:schemeClr w14:val="tx1"/>
            </w14:solidFill>
          </w14:textFill>
        </w:rPr>
        <w:t>。</w:t>
      </w:r>
    </w:p>
    <w:p w14:paraId="7DC531AD">
      <w:pPr>
        <w:autoSpaceDE w:val="0"/>
        <w:autoSpaceDN w:val="0"/>
        <w:adjustRightInd w:val="0"/>
        <w:spacing w:line="360" w:lineRule="auto"/>
        <w:outlineLvl w:val="9"/>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271BD18E">
      <w:pPr>
        <w:autoSpaceDE w:val="0"/>
        <w:autoSpaceDN w:val="0"/>
        <w:adjustRightInd w:val="0"/>
        <w:spacing w:line="360" w:lineRule="auto"/>
        <w:outlineLvl w:val="9"/>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 xml:space="preserve">7.1  </w:t>
      </w:r>
      <w:r>
        <w:rPr>
          <w:rFonts w:hint="eastAsia" w:ascii="宋体" w:hAnsi="宋体" w:eastAsia="宋体" w:cs="宋体"/>
          <w:b/>
          <w:bCs/>
          <w:color w:val="000000" w:themeColor="text1"/>
          <w:kern w:val="0"/>
          <w:szCs w:val="21"/>
          <w:highlight w:val="none"/>
          <w:u w:val="single"/>
          <w14:textFill>
            <w14:solidFill>
              <w14:schemeClr w14:val="tx1"/>
            </w14:solidFill>
          </w14:textFill>
        </w:rPr>
        <w:t>投标人未按招标文件要求交纳投标保证金的</w:t>
      </w:r>
      <w:r>
        <w:rPr>
          <w:rFonts w:hint="eastAsia" w:ascii="宋体" w:hAnsi="宋体" w:eastAsia="宋体" w:cs="宋体"/>
          <w:b/>
          <w:bCs/>
          <w:color w:val="000000" w:themeColor="text1"/>
          <w:kern w:val="0"/>
          <w:szCs w:val="21"/>
          <w:highlight w:val="none"/>
          <w14:textFill>
            <w14:solidFill>
              <w14:schemeClr w14:val="tx1"/>
            </w14:solidFill>
          </w14:textFill>
        </w:rPr>
        <w:t>；</w:t>
      </w:r>
    </w:p>
    <w:p w14:paraId="421397CF">
      <w:pPr>
        <w:tabs>
          <w:tab w:val="left" w:pos="567"/>
        </w:tabs>
        <w:spacing w:line="360" w:lineRule="auto"/>
        <w:ind w:left="632" w:hanging="632" w:hangingChars="300"/>
        <w:outlineLvl w:val="9"/>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7.2  </w:t>
      </w:r>
      <w:r>
        <w:rPr>
          <w:rFonts w:hint="eastAsia" w:ascii="宋体" w:hAnsi="宋体" w:eastAsia="宋体" w:cs="宋体"/>
          <w:b/>
          <w:color w:val="000000" w:themeColor="text1"/>
          <w:kern w:val="0"/>
          <w:szCs w:val="21"/>
          <w:highlight w:val="none"/>
          <w:u w:val="single"/>
          <w14:textFill>
            <w14:solidFill>
              <w14:schemeClr w14:val="tx1"/>
            </w14:solidFill>
          </w14:textFill>
        </w:rPr>
        <w:t>投标文件中的投标报价高于</w:t>
      </w:r>
      <w:r>
        <w:rPr>
          <w:rFonts w:hint="eastAsia" w:ascii="宋体" w:hAnsi="宋体" w:eastAsia="宋体" w:cs="宋体"/>
          <w:b/>
          <w:color w:val="000000" w:themeColor="text1"/>
          <w:kern w:val="0"/>
          <w:szCs w:val="21"/>
          <w:highlight w:val="none"/>
          <w:u w:val="single"/>
          <w:lang w:eastAsia="zh-CN"/>
          <w14:textFill>
            <w14:solidFill>
              <w14:schemeClr w14:val="tx1"/>
            </w14:solidFill>
          </w14:textFill>
        </w:rPr>
        <w:t>不含税</w:t>
      </w:r>
      <w:r>
        <w:rPr>
          <w:rFonts w:hint="eastAsia" w:ascii="宋体" w:hAnsi="宋体" w:eastAsia="宋体" w:cs="宋体"/>
          <w:b/>
          <w:color w:val="000000" w:themeColor="text1"/>
          <w:kern w:val="0"/>
          <w:szCs w:val="21"/>
          <w:highlight w:val="none"/>
          <w:u w:val="single"/>
          <w14:textFill>
            <w14:solidFill>
              <w14:schemeClr w14:val="tx1"/>
            </w14:solidFill>
          </w14:textFill>
        </w:rPr>
        <w:t>综合单价</w:t>
      </w:r>
      <w:r>
        <w:rPr>
          <w:rFonts w:hint="eastAsia" w:ascii="宋体" w:hAnsi="宋体" w:eastAsia="宋体" w:cs="宋体"/>
          <w:b/>
          <w:bCs/>
          <w:color w:val="000000" w:themeColor="text1"/>
          <w:kern w:val="0"/>
          <w:szCs w:val="24"/>
          <w:highlight w:val="none"/>
          <w:u w:val="single"/>
          <w14:textFill>
            <w14:solidFill>
              <w14:schemeClr w14:val="tx1"/>
            </w14:solidFill>
          </w14:textFill>
        </w:rPr>
        <w:t>最高投标限价</w:t>
      </w:r>
      <w:r>
        <w:rPr>
          <w:rFonts w:hint="eastAsia" w:ascii="宋体" w:hAnsi="宋体" w:eastAsia="宋体" w:cs="宋体"/>
          <w:b/>
          <w:color w:val="000000" w:themeColor="text1"/>
          <w:kern w:val="0"/>
          <w:szCs w:val="21"/>
          <w:highlight w:val="none"/>
          <w:u w:val="single"/>
          <w14:textFill>
            <w14:solidFill>
              <w14:schemeClr w14:val="tx1"/>
            </w14:solidFill>
          </w14:textFill>
        </w:rPr>
        <w:t>的</w:t>
      </w:r>
      <w:r>
        <w:rPr>
          <w:rFonts w:hint="eastAsia" w:ascii="宋体" w:hAnsi="宋体" w:eastAsia="宋体" w:cs="宋体"/>
          <w:b/>
          <w:bCs/>
          <w:color w:val="000000" w:themeColor="text1"/>
          <w:kern w:val="0"/>
          <w:szCs w:val="21"/>
          <w:highlight w:val="none"/>
          <w14:textFill>
            <w14:solidFill>
              <w14:schemeClr w14:val="tx1"/>
            </w14:solidFill>
          </w14:textFill>
        </w:rPr>
        <w:t>；</w:t>
      </w:r>
    </w:p>
    <w:p w14:paraId="72B000D8">
      <w:pPr>
        <w:tabs>
          <w:tab w:val="left" w:pos="567"/>
        </w:tabs>
        <w:spacing w:line="360" w:lineRule="auto"/>
        <w:ind w:left="632" w:hanging="632" w:hangingChars="300"/>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7.3  </w:t>
      </w:r>
      <w:r>
        <w:rPr>
          <w:rFonts w:hint="eastAsia" w:ascii="宋体" w:hAnsi="宋体" w:eastAsia="宋体" w:cs="宋体"/>
          <w:b/>
          <w:color w:val="000000" w:themeColor="text1"/>
          <w:kern w:val="0"/>
          <w:szCs w:val="21"/>
          <w:highlight w:val="none"/>
          <w:u w:val="single"/>
          <w14:textFill>
            <w14:solidFill>
              <w14:schemeClr w14:val="tx1"/>
            </w14:solidFill>
          </w14:textFill>
        </w:rPr>
        <w:t>投标人以低于企业成本价报价，且投标人不能合理说明或不能提供相关证明材料</w:t>
      </w:r>
      <w:r>
        <w:rPr>
          <w:rFonts w:hint="eastAsia" w:ascii="宋体" w:hAnsi="宋体" w:eastAsia="宋体" w:cs="宋体"/>
          <w:b/>
          <w:color w:val="000000" w:themeColor="text1"/>
          <w:kern w:val="0"/>
          <w:szCs w:val="21"/>
          <w:highlight w:val="none"/>
          <w14:textFill>
            <w14:solidFill>
              <w14:schemeClr w14:val="tx1"/>
            </w14:solidFill>
          </w14:textFill>
        </w:rPr>
        <w:t>；</w:t>
      </w:r>
    </w:p>
    <w:p w14:paraId="18764295">
      <w:pPr>
        <w:tabs>
          <w:tab w:val="left" w:pos="567"/>
        </w:tabs>
        <w:spacing w:line="360" w:lineRule="auto"/>
        <w:ind w:left="632" w:hanging="632" w:hangingChars="300"/>
        <w:outlineLvl w:val="9"/>
        <w:rPr>
          <w:rFonts w:hint="eastAsia" w:ascii="宋体" w:hAnsi="宋体" w:eastAsia="宋体" w:cs="宋体"/>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7.4  </w:t>
      </w:r>
      <w:r>
        <w:rPr>
          <w:rFonts w:hint="eastAsia" w:ascii="宋体" w:hAnsi="宋体" w:eastAsia="宋体" w:cs="宋体"/>
          <w:b/>
          <w:color w:val="000000" w:themeColor="text1"/>
          <w:kern w:val="0"/>
          <w:szCs w:val="21"/>
          <w:highlight w:val="none"/>
          <w:u w:val="single"/>
          <w14:textFill>
            <w14:solidFill>
              <w14:schemeClr w14:val="tx1"/>
            </w14:solidFill>
          </w14:textFill>
        </w:rPr>
        <w:t>投标人递交两份或多份内容不同的投标文件，或在一份投标文件中报有两个或多个报价，且</w:t>
      </w:r>
    </w:p>
    <w:p w14:paraId="318A4467">
      <w:pPr>
        <w:keepNext w:val="0"/>
        <w:keepLines w:val="0"/>
        <w:pageBreakBefore w:val="0"/>
        <w:widowControl w:val="0"/>
        <w:tabs>
          <w:tab w:val="left" w:pos="567"/>
        </w:tabs>
        <w:kinsoku/>
        <w:wordWrap/>
        <w:overflowPunct/>
        <w:topLinePunct w:val="0"/>
        <w:autoSpaceDE/>
        <w:autoSpaceDN/>
        <w:bidi w:val="0"/>
        <w:adjustRightInd/>
        <w:snapToGrid/>
        <w:spacing w:line="360" w:lineRule="auto"/>
        <w:ind w:left="525" w:leftChars="250"/>
        <w:textAlignment w:val="auto"/>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未书面声明哪一个有效</w:t>
      </w:r>
      <w:r>
        <w:rPr>
          <w:rFonts w:hint="eastAsia" w:ascii="宋体" w:hAnsi="宋体" w:eastAsia="宋体" w:cs="宋体"/>
          <w:b/>
          <w:color w:val="000000" w:themeColor="text1"/>
          <w:kern w:val="0"/>
          <w:szCs w:val="21"/>
          <w:highlight w:val="none"/>
          <w14:textFill>
            <w14:solidFill>
              <w14:schemeClr w14:val="tx1"/>
            </w14:solidFill>
          </w14:textFill>
        </w:rPr>
        <w:t>；</w:t>
      </w:r>
    </w:p>
    <w:p w14:paraId="0733A453">
      <w:pPr>
        <w:tabs>
          <w:tab w:val="left" w:pos="567"/>
        </w:tabs>
        <w:spacing w:line="360" w:lineRule="auto"/>
        <w:ind w:left="632" w:hanging="632" w:hangingChars="300"/>
        <w:outlineLvl w:val="9"/>
        <w:rPr>
          <w:rFonts w:hint="eastAsia" w:ascii="宋体" w:hAnsi="宋体" w:eastAsia="宋体" w:cs="宋体"/>
          <w:b/>
          <w:color w:val="000000" w:themeColor="text1"/>
          <w:kern w:val="0"/>
          <w:szCs w:val="21"/>
          <w:highlight w:val="none"/>
          <w:u w:val="singl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7.5  </w:t>
      </w:r>
      <w:r>
        <w:rPr>
          <w:rFonts w:hint="eastAsia" w:ascii="宋体" w:hAnsi="宋体" w:eastAsia="宋体" w:cs="宋体"/>
          <w:b/>
          <w:color w:val="000000" w:themeColor="text1"/>
          <w:kern w:val="0"/>
          <w:szCs w:val="21"/>
          <w:highlight w:val="none"/>
          <w:u w:val="single"/>
          <w14:textFill>
            <w14:solidFill>
              <w14:schemeClr w14:val="tx1"/>
            </w14:solidFill>
          </w14:textFill>
        </w:rPr>
        <w:t>投标人不符合合格投标人的基本条件[含未提供资格证明文件，或投标人（含其不具有独立法人资格的分</w:t>
      </w:r>
    </w:p>
    <w:p w14:paraId="6310C974">
      <w:pPr>
        <w:keepNext w:val="0"/>
        <w:keepLines w:val="0"/>
        <w:pageBreakBefore w:val="0"/>
        <w:widowControl w:val="0"/>
        <w:tabs>
          <w:tab w:val="left" w:pos="567"/>
        </w:tabs>
        <w:kinsoku/>
        <w:wordWrap/>
        <w:overflowPunct/>
        <w:topLinePunct w:val="0"/>
        <w:autoSpaceDE/>
        <w:autoSpaceDN/>
        <w:bidi w:val="0"/>
        <w:adjustRightInd/>
        <w:snapToGrid/>
        <w:spacing w:line="360" w:lineRule="auto"/>
        <w:ind w:left="525" w:leftChars="250"/>
        <w:textAlignment w:val="auto"/>
        <w:outlineLvl w:val="9"/>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支机构）被列入“信用中国”网站（www.creditchina.gov.cn）失信被执行人、重大税收违法失信主体、政府采购严重违法失信行为记录名单（处罚期限届满的除外）]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56E9AF1F">
      <w:pPr>
        <w:spacing w:line="360" w:lineRule="auto"/>
        <w:ind w:left="527" w:hanging="527" w:hangingChars="250"/>
        <w:outlineLvl w:val="9"/>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14:textFill>
            <w14:solidFill>
              <w14:schemeClr w14:val="tx1"/>
            </w14:solidFill>
          </w14:textFill>
        </w:rPr>
        <w:t>投标文件未按照招标文件规定要求密封；投标文件无法定代表人或其授权代表签字（或盖私章），或签字人无法定代表人有效授权的；签字盖章不符合招标文件要求的</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p>
    <w:p w14:paraId="1CAEEBEC">
      <w:pPr>
        <w:spacing w:line="360" w:lineRule="auto"/>
        <w:ind w:left="527" w:hanging="527" w:hangingChars="250"/>
        <w:outlineLvl w:val="9"/>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14:textFill>
            <w14:solidFill>
              <w14:schemeClr w14:val="tx1"/>
            </w14:solidFill>
          </w14:textFill>
        </w:rPr>
        <w:t>投标有效期限不符合要求</w:t>
      </w:r>
      <w:r>
        <w:rPr>
          <w:rFonts w:hint="eastAsia" w:ascii="宋体" w:hAnsi="宋体" w:eastAsia="宋体" w:cs="宋体"/>
          <w:b/>
          <w:bCs/>
          <w:color w:val="000000" w:themeColor="text1"/>
          <w:kern w:val="0"/>
          <w:szCs w:val="21"/>
          <w:highlight w:val="none"/>
          <w14:textFill>
            <w14:solidFill>
              <w14:schemeClr w14:val="tx1"/>
            </w14:solidFill>
          </w14:textFill>
        </w:rPr>
        <w:t>；</w:t>
      </w:r>
    </w:p>
    <w:p w14:paraId="4954D0B0">
      <w:pPr>
        <w:spacing w:line="360" w:lineRule="auto"/>
        <w:ind w:left="527" w:hanging="527" w:hangingChars="250"/>
        <w:outlineLvl w:val="9"/>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14:textFill>
            <w14:solidFill>
              <w14:schemeClr w14:val="tx1"/>
            </w14:solidFill>
          </w14:textFill>
        </w:rPr>
        <w:t>投标文件未对招标范围内的全部内容进行投标报价</w:t>
      </w:r>
      <w:r>
        <w:rPr>
          <w:rFonts w:hint="eastAsia" w:ascii="宋体" w:hAnsi="宋体" w:eastAsia="宋体" w:cs="宋体"/>
          <w:b/>
          <w:color w:val="000000" w:themeColor="text1"/>
          <w:kern w:val="0"/>
          <w:szCs w:val="21"/>
          <w:highlight w:val="none"/>
          <w:u w:val="singl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5A825A52">
      <w:pPr>
        <w:spacing w:line="360" w:lineRule="auto"/>
        <w:ind w:left="413" w:hanging="413" w:hangingChars="196"/>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宋体"/>
          <w:b/>
          <w:color w:val="000000" w:themeColor="text1"/>
          <w:kern w:val="0"/>
          <w:szCs w:val="21"/>
          <w:highlight w:val="none"/>
          <w:u w:val="single"/>
          <w14:textFill>
            <w14:solidFill>
              <w14:schemeClr w14:val="tx1"/>
            </w14:solidFill>
          </w14:textFill>
        </w:rPr>
        <w:t>未提供或虚假填写《合同条款偏离表》，或对《合同条款偏离表》有负偏离的</w:t>
      </w:r>
      <w:r>
        <w:rPr>
          <w:rFonts w:hint="eastAsia" w:ascii="宋体" w:hAnsi="宋体" w:eastAsia="宋体" w:cs="宋体"/>
          <w:b/>
          <w:color w:val="000000" w:themeColor="text1"/>
          <w:kern w:val="0"/>
          <w:szCs w:val="21"/>
          <w:highlight w:val="none"/>
          <w14:textFill>
            <w14:solidFill>
              <w14:schemeClr w14:val="tx1"/>
            </w14:solidFill>
          </w14:textFill>
        </w:rPr>
        <w:t>；</w:t>
      </w:r>
    </w:p>
    <w:p w14:paraId="4B5361D0">
      <w:pPr>
        <w:spacing w:line="360" w:lineRule="auto"/>
        <w:ind w:left="413" w:hanging="413" w:hangingChars="196"/>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7.1</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 xml:space="preserve">0  </w:t>
      </w:r>
      <w:r>
        <w:rPr>
          <w:rFonts w:hint="eastAsia" w:ascii="宋体" w:hAnsi="宋体" w:eastAsia="宋体" w:cs="宋体"/>
          <w:b/>
          <w:color w:val="000000" w:themeColor="text1"/>
          <w:kern w:val="0"/>
          <w:szCs w:val="21"/>
          <w:highlight w:val="none"/>
          <w:u w:val="single"/>
          <w14:textFill>
            <w14:solidFill>
              <w14:schemeClr w14:val="tx1"/>
            </w14:solidFill>
          </w14:textFill>
        </w:rPr>
        <w:t>未填写或虚假填写《用户需求偏离表》的</w:t>
      </w:r>
      <w:r>
        <w:rPr>
          <w:rFonts w:hint="eastAsia" w:ascii="宋体" w:hAnsi="宋体" w:eastAsia="宋体" w:cs="宋体"/>
          <w:b/>
          <w:color w:val="000000" w:themeColor="text1"/>
          <w:kern w:val="0"/>
          <w:szCs w:val="21"/>
          <w:highlight w:val="none"/>
          <w14:textFill>
            <w14:solidFill>
              <w14:schemeClr w14:val="tx1"/>
            </w14:solidFill>
          </w14:textFill>
        </w:rPr>
        <w:t>；</w:t>
      </w:r>
    </w:p>
    <w:p w14:paraId="5C3F4466">
      <w:pPr>
        <w:spacing w:line="360" w:lineRule="auto"/>
        <w:ind w:left="413" w:hanging="413" w:hangingChars="196"/>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7.1</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宋体"/>
          <w:b/>
          <w:color w:val="000000" w:themeColor="text1"/>
          <w:kern w:val="0"/>
          <w:szCs w:val="21"/>
          <w:highlight w:val="none"/>
          <w:u w:val="single"/>
          <w14:textFill>
            <w14:solidFill>
              <w14:schemeClr w14:val="tx1"/>
            </w14:solidFill>
          </w14:textFill>
        </w:rPr>
        <w:t>未响应招标文件提出的实质性要求和条件（标注★的条款）</w:t>
      </w:r>
      <w:r>
        <w:rPr>
          <w:rFonts w:hint="eastAsia" w:ascii="宋体" w:hAnsi="宋体" w:eastAsia="宋体" w:cs="宋体"/>
          <w:b/>
          <w:color w:val="000000" w:themeColor="text1"/>
          <w:kern w:val="0"/>
          <w:szCs w:val="21"/>
          <w:highlight w:val="none"/>
          <w14:textFill>
            <w14:solidFill>
              <w14:schemeClr w14:val="tx1"/>
            </w14:solidFill>
          </w14:textFill>
        </w:rPr>
        <w:t>。</w:t>
      </w:r>
    </w:p>
    <w:p w14:paraId="61D7B420">
      <w:pPr>
        <w:autoSpaceDE w:val="0"/>
        <w:autoSpaceDN w:val="0"/>
        <w:adjustRightInd w:val="0"/>
        <w:spacing w:line="360" w:lineRule="auto"/>
        <w:ind w:left="315" w:hanging="315" w:hangingChars="150"/>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2981E8D1">
      <w:pPr>
        <w:spacing w:line="360" w:lineRule="auto"/>
        <w:ind w:left="480"/>
        <w:outlineLvl w:val="9"/>
        <w:rPr>
          <w:rFonts w:hint="eastAsia" w:ascii="宋体" w:hAnsi="宋体" w:eastAsia="宋体" w:cs="宋体"/>
          <w:b/>
          <w:color w:val="000000" w:themeColor="text1"/>
          <w:kern w:val="0"/>
          <w:szCs w:val="21"/>
          <w:highlight w:val="none"/>
          <w14:textFill>
            <w14:solidFill>
              <w14:schemeClr w14:val="tx1"/>
            </w14:solidFill>
          </w14:textFill>
        </w:rPr>
      </w:pPr>
    </w:p>
    <w:p w14:paraId="38C1DFF3">
      <w:pPr>
        <w:tabs>
          <w:tab w:val="left" w:pos="1140"/>
        </w:tabs>
        <w:autoSpaceDE w:val="0"/>
        <w:autoSpaceDN w:val="0"/>
        <w:adjustRightInd w:val="0"/>
        <w:spacing w:line="360" w:lineRule="auto"/>
        <w:ind w:firstLine="3528" w:firstLineChars="1255"/>
        <w:jc w:val="left"/>
        <w:outlineLvl w:val="9"/>
        <w:rPr>
          <w:rFonts w:hint="eastAsia" w:ascii="宋体" w:hAnsi="宋体" w:eastAsia="宋体" w:cs="宋体"/>
          <w:b/>
          <w:bCs/>
          <w:color w:val="000000" w:themeColor="text1"/>
          <w:sz w:val="28"/>
          <w:szCs w:val="28"/>
          <w:highlight w:val="none"/>
          <w14:textFill>
            <w14:solidFill>
              <w14:schemeClr w14:val="tx1"/>
            </w14:solidFill>
          </w14:textFill>
        </w:rPr>
      </w:pPr>
      <w:bookmarkStart w:id="720"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720"/>
    </w:p>
    <w:p w14:paraId="4FE08943">
      <w:pPr>
        <w:autoSpaceDE w:val="0"/>
        <w:autoSpaceDN w:val="0"/>
        <w:adjustRightInd w:val="0"/>
        <w:spacing w:line="360" w:lineRule="auto"/>
        <w:ind w:left="315" w:hanging="315" w:hangingChars="15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777E8643">
      <w:pPr>
        <w:autoSpaceDE w:val="0"/>
        <w:autoSpaceDN w:val="0"/>
        <w:adjustRightInd w:val="0"/>
        <w:spacing w:line="360" w:lineRule="auto"/>
        <w:ind w:left="529" w:hanging="529" w:hangingChars="252"/>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7015F8A7">
      <w:pPr>
        <w:autoSpaceDE w:val="0"/>
        <w:autoSpaceDN w:val="0"/>
        <w:adjustRightInd w:val="0"/>
        <w:spacing w:line="360" w:lineRule="auto"/>
        <w:ind w:left="529" w:hanging="529" w:hangingChars="252"/>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341B9EF4">
      <w:pPr>
        <w:autoSpaceDE w:val="0"/>
        <w:autoSpaceDN w:val="0"/>
        <w:adjustRightInd w:val="0"/>
        <w:spacing w:line="360" w:lineRule="auto"/>
        <w:ind w:left="529" w:right="18" w:hanging="529" w:hangingChars="252"/>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2B5B5CA8">
      <w:pPr>
        <w:spacing w:line="360" w:lineRule="auto"/>
        <w:ind w:left="424" w:hanging="424" w:hangingChars="202"/>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  投标文件报价计算错误的修正</w:t>
      </w:r>
    </w:p>
    <w:p w14:paraId="1B1EB206">
      <w:pPr>
        <w:spacing w:line="360" w:lineRule="auto"/>
        <w:ind w:left="567" w:hanging="567" w:hangingChars="27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14:paraId="4302C459">
      <w:pPr>
        <w:autoSpaceDE/>
        <w:autoSpaceDN/>
        <w:adjustRightInd/>
        <w:spacing w:line="360" w:lineRule="auto"/>
        <w:ind w:left="598" w:leftChars="285" w:firstLine="0" w:firstLineChars="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当以数字表示的金额与以文字表示的金额不一致时，以文字表示的金额为准</w:t>
      </w:r>
      <w:r>
        <w:rPr>
          <w:rFonts w:hint="eastAsia" w:hAnsi="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经双方确认后，作为合同文件的组成部分。</w:t>
      </w:r>
    </w:p>
    <w:p w14:paraId="6C138828">
      <w:pPr>
        <w:spacing w:line="360" w:lineRule="auto"/>
        <w:ind w:left="567" w:hanging="567" w:hangingChars="270"/>
        <w:outlineLvl w:val="9"/>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337E6334">
      <w:pPr>
        <w:spacing w:line="360" w:lineRule="auto"/>
        <w:ind w:left="567" w:hanging="567" w:hangingChars="270"/>
        <w:outlineLvl w:val="9"/>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u w:val="single"/>
          <w:lang w:val="zh-CN"/>
          <w14:textFill>
            <w14:solidFill>
              <w14:schemeClr w14:val="tx1"/>
            </w14:solidFill>
          </w14:textFill>
        </w:rPr>
        <w:t>若投标人不能合理说明或不能提供相关证明材料的，评标委员会将认定其投标报价低于成本，同时否决其投标</w:t>
      </w:r>
      <w:r>
        <w:rPr>
          <w:rFonts w:hint="eastAsia" w:ascii="宋体" w:hAnsi="宋体" w:eastAsia="宋体" w:cs="宋体"/>
          <w:b/>
          <w:color w:val="000000" w:themeColor="text1"/>
          <w:szCs w:val="21"/>
          <w:highlight w:val="none"/>
          <w:lang w:val="zh-CN"/>
          <w14:textFill>
            <w14:solidFill>
              <w14:schemeClr w14:val="tx1"/>
            </w14:solidFill>
          </w14:textFill>
        </w:rPr>
        <w:t>。</w:t>
      </w:r>
    </w:p>
    <w:p w14:paraId="76C782F9">
      <w:pPr>
        <w:autoSpaceDE w:val="0"/>
        <w:autoSpaceDN w:val="0"/>
        <w:adjustRightInd w:val="0"/>
        <w:spacing w:line="360" w:lineRule="auto"/>
        <w:jc w:val="center"/>
        <w:outlineLvl w:val="9"/>
        <w:rPr>
          <w:rFonts w:hint="eastAsia" w:ascii="宋体" w:hAnsi="宋体" w:eastAsia="宋体" w:cs="宋体"/>
          <w:b/>
          <w:bCs/>
          <w:color w:val="000000" w:themeColor="text1"/>
          <w:sz w:val="28"/>
          <w:szCs w:val="28"/>
          <w:highlight w:val="none"/>
          <w:lang w:val="zh-CN"/>
          <w14:textFill>
            <w14:solidFill>
              <w14:schemeClr w14:val="tx1"/>
            </w14:solidFill>
          </w14:textFill>
        </w:rPr>
      </w:pPr>
      <w:bookmarkStart w:id="721" w:name="_Toc8518_WPSOffice_Level1"/>
    </w:p>
    <w:p w14:paraId="4AE34619">
      <w:pPr>
        <w:autoSpaceDE w:val="0"/>
        <w:autoSpaceDN w:val="0"/>
        <w:adjustRightInd w:val="0"/>
        <w:spacing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721"/>
    </w:p>
    <w:p w14:paraId="2DC42AAE">
      <w:pPr>
        <w:autoSpaceDE w:val="0"/>
        <w:autoSpaceDN w:val="0"/>
        <w:adjustRightInd w:val="0"/>
        <w:spacing w:line="360" w:lineRule="auto"/>
        <w:ind w:left="422" w:leftChars="1" w:hanging="420" w:hangingChars="2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7117FD6">
      <w:pPr>
        <w:autoSpaceDE w:val="0"/>
        <w:autoSpaceDN w:val="0"/>
        <w:adjustRightInd w:val="0"/>
        <w:spacing w:line="360" w:lineRule="auto"/>
        <w:ind w:left="422" w:leftChars="1" w:hanging="420" w:hangingChars="200"/>
        <w:outlineLvl w:val="9"/>
        <w:rPr>
          <w:rFonts w:hint="eastAsia" w:ascii="宋体" w:hAnsi="宋体" w:eastAsia="宋体" w:cs="宋体"/>
          <w:color w:val="000000" w:themeColor="text1"/>
          <w:szCs w:val="24"/>
          <w:highlight w:val="none"/>
          <w:lang w:val="zh-CN"/>
          <w14:textFill>
            <w14:solidFill>
              <w14:schemeClr w14:val="tx1"/>
            </w14:solidFill>
          </w14:textFill>
        </w:rPr>
      </w:pPr>
    </w:p>
    <w:p w14:paraId="7EE81F33">
      <w:pPr>
        <w:tabs>
          <w:tab w:val="left" w:pos="1701"/>
        </w:tabs>
        <w:autoSpaceDE w:val="0"/>
        <w:autoSpaceDN w:val="0"/>
        <w:adjustRightInd w:val="0"/>
        <w:spacing w:line="360" w:lineRule="auto"/>
        <w:outlineLvl w:val="9"/>
        <w:rPr>
          <w:rFonts w:hint="eastAsia"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370D4BBC">
      <w:pPr>
        <w:autoSpaceDE w:val="0"/>
        <w:autoSpaceDN w:val="0"/>
        <w:adjustRightInd w:val="0"/>
        <w:spacing w:line="360" w:lineRule="auto"/>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11.1 参加评分的评委应尽力体现客观、实事求是，避免学派偏见和个人偏好。</w:t>
      </w:r>
    </w:p>
    <w:p w14:paraId="6037B036">
      <w:pPr>
        <w:autoSpaceDE w:val="0"/>
        <w:autoSpaceDN w:val="0"/>
        <w:adjustRightInd w:val="0"/>
        <w:spacing w:line="360" w:lineRule="auto"/>
        <w:ind w:left="565" w:leftChars="-1" w:hanging="567" w:hangingChars="27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11.2 衡量、对比的依据，应以招标文件、投标文件、提供的正式试验数据、开标澄清中的文字为准，口头回答和收集的资料只作为参考。</w:t>
      </w:r>
    </w:p>
    <w:p w14:paraId="3145989B">
      <w:pPr>
        <w:autoSpaceDE w:val="0"/>
        <w:autoSpaceDN w:val="0"/>
        <w:adjustRightInd w:val="0"/>
        <w:spacing w:line="360" w:lineRule="auto"/>
        <w:ind w:left="565" w:leftChars="-1" w:hanging="567" w:hangingChars="270"/>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11.3 评分主要是为比较各投标人的商务、技术</w:t>
      </w:r>
      <w:r>
        <w:rPr>
          <w:rFonts w:hint="eastAsia" w:ascii="宋体" w:hAnsi="宋体" w:eastAsia="宋体" w:cs="宋体"/>
          <w:color w:val="000000" w:themeColor="text1"/>
          <w:szCs w:val="24"/>
          <w:highlight w:val="none"/>
          <w14:textFill>
            <w14:solidFill>
              <w14:schemeClr w14:val="tx1"/>
            </w14:solidFill>
          </w14:textFill>
        </w:rPr>
        <w:t>和</w:t>
      </w:r>
      <w:r>
        <w:rPr>
          <w:rFonts w:hint="eastAsia" w:ascii="宋体" w:hAnsi="宋体" w:eastAsia="宋体" w:cs="宋体"/>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14:paraId="70D8BEB4">
      <w:pPr>
        <w:autoSpaceDE w:val="0"/>
        <w:autoSpaceDN w:val="0"/>
        <w:adjustRightInd w:val="0"/>
        <w:spacing w:line="360" w:lineRule="auto"/>
        <w:ind w:left="565" w:leftChars="-1" w:hanging="567" w:hangingChars="270"/>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（1）评标委员会首先对商务标进行评审，按评标标准打分后，取所有评委评分的平均值得出该投标人的商务评分；</w:t>
      </w:r>
    </w:p>
    <w:p w14:paraId="3715F17A">
      <w:pPr>
        <w:autoSpaceDE w:val="0"/>
        <w:autoSpaceDN w:val="0"/>
        <w:adjustRightInd w:val="0"/>
        <w:spacing w:line="360" w:lineRule="auto"/>
        <w:ind w:left="565" w:leftChars="-1" w:hanging="567" w:hangingChars="27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（2）然后评标委员会对技术标进行评审，按评标标准打分后，</w:t>
      </w:r>
      <w:r>
        <w:rPr>
          <w:rFonts w:hint="eastAsia" w:ascii="宋体" w:hAnsi="宋体" w:eastAsia="宋体" w:cs="宋体"/>
          <w:color w:val="000000" w:themeColor="text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2F463487">
      <w:pPr>
        <w:autoSpaceDE w:val="0"/>
        <w:autoSpaceDN w:val="0"/>
        <w:adjustRightInd w:val="0"/>
        <w:spacing w:line="360" w:lineRule="auto"/>
        <w:ind w:left="565" w:leftChars="-1" w:hanging="567" w:hangingChars="27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（3）最后评标委员会对报价进行评审，按评标标准计算得出该投标人的报价评分。</w:t>
      </w:r>
    </w:p>
    <w:p w14:paraId="4E53DE71">
      <w:pPr>
        <w:tabs>
          <w:tab w:val="left" w:pos="600"/>
        </w:tabs>
        <w:autoSpaceDE w:val="0"/>
        <w:autoSpaceDN w:val="0"/>
        <w:adjustRightInd w:val="0"/>
        <w:spacing w:line="360" w:lineRule="auto"/>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11.4 评标委员会打分采取记名形式。</w:t>
      </w:r>
    </w:p>
    <w:p w14:paraId="5065360C">
      <w:pPr>
        <w:autoSpaceDE w:val="0"/>
        <w:autoSpaceDN w:val="0"/>
        <w:adjustRightInd w:val="0"/>
        <w:spacing w:line="360" w:lineRule="auto"/>
        <w:ind w:left="565" w:leftChars="-1" w:hanging="567" w:hangingChars="27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11.5 各评委根据秘书组提供的打分表严格按照评标大纲内的评分标准独立自主打分，任何人不得要求评委统一打分或统一确定等次顺序。</w:t>
      </w:r>
    </w:p>
    <w:p w14:paraId="6C583F3F">
      <w:pPr>
        <w:autoSpaceDE w:val="0"/>
        <w:autoSpaceDN w:val="0"/>
        <w:adjustRightInd w:val="0"/>
        <w:spacing w:line="360" w:lineRule="auto"/>
        <w:ind w:left="426" w:hanging="426"/>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11.6 对打分表中的每项条款，各评委应根据投标文件、澄清材料、招标文件要求，按满足的程度给投标人打分。</w:t>
      </w:r>
    </w:p>
    <w:p w14:paraId="7FA00B35">
      <w:pPr>
        <w:tabs>
          <w:tab w:val="left" w:pos="600"/>
        </w:tabs>
        <w:autoSpaceDE w:val="0"/>
        <w:autoSpaceDN w:val="0"/>
        <w:adjustRightInd w:val="0"/>
        <w:spacing w:line="360" w:lineRule="auto"/>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11.7 评分程序</w:t>
      </w:r>
    </w:p>
    <w:p w14:paraId="2B84FFBD">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（1）就投标人的投标文件对照整理出商务、技术评标因素对比表、偏差表，并在经过校核的基础上逐项打分。</w:t>
      </w:r>
    </w:p>
    <w:p w14:paraId="513EDE51">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（2）各评委独立完成打分后，将统计好的评分表交给招标代理机构秘书组复核。</w:t>
      </w:r>
    </w:p>
    <w:p w14:paraId="2A7FEC27">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（3）评分统计表中各投标人技术得分应为最终综合得分，商务和价格得分应为评委打分的算术平均值。</w:t>
      </w:r>
    </w:p>
    <w:p w14:paraId="3C96F3FB">
      <w:pPr>
        <w:autoSpaceDE w:val="0"/>
        <w:autoSpaceDN w:val="0"/>
        <w:adjustRightInd w:val="0"/>
        <w:spacing w:line="360" w:lineRule="auto"/>
        <w:outlineLvl w:val="9"/>
        <w:rPr>
          <w:rFonts w:hint="eastAsia" w:ascii="宋体" w:hAnsi="宋体" w:eastAsia="宋体" w:cs="宋体"/>
          <w:color w:val="000000" w:themeColor="text1"/>
          <w:szCs w:val="24"/>
          <w:highlight w:val="none"/>
          <w:lang w:val="zh-CN"/>
          <w14:textFill>
            <w14:solidFill>
              <w14:schemeClr w14:val="tx1"/>
            </w14:solidFill>
          </w14:textFill>
        </w:rPr>
      </w:pPr>
    </w:p>
    <w:p w14:paraId="53C73D0B">
      <w:pPr>
        <w:tabs>
          <w:tab w:val="left" w:pos="1701"/>
        </w:tabs>
        <w:autoSpaceDE w:val="0"/>
        <w:autoSpaceDN w:val="0"/>
        <w:adjustRightInd w:val="0"/>
        <w:spacing w:line="360" w:lineRule="auto"/>
        <w:outlineLvl w:val="9"/>
        <w:rPr>
          <w:rFonts w:hint="eastAsia"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1B9B8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3FAC134">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56A3E3E">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分值</w:t>
            </w:r>
          </w:p>
        </w:tc>
      </w:tr>
      <w:tr w14:paraId="3F1BD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3EF6AE2">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707AEBE7">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30分</w:t>
            </w:r>
          </w:p>
        </w:tc>
      </w:tr>
      <w:tr w14:paraId="7CB58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762BFAB">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4D4C67C">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20分</w:t>
            </w:r>
          </w:p>
        </w:tc>
      </w:tr>
      <w:tr w14:paraId="4308F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2A60310">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16DB0A6D">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50分</w:t>
            </w:r>
          </w:p>
        </w:tc>
      </w:tr>
    </w:tbl>
    <w:p w14:paraId="0CBC6093">
      <w:pPr>
        <w:tabs>
          <w:tab w:val="left" w:pos="585"/>
        </w:tabs>
        <w:autoSpaceDE w:val="0"/>
        <w:autoSpaceDN w:val="0"/>
        <w:adjustRightInd w:val="0"/>
        <w:snapToGrid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bookmarkStart w:id="722" w:name="_Toc18349_WPSOffice_Level2"/>
    </w:p>
    <w:p w14:paraId="7D77BBC7">
      <w:pPr>
        <w:tabs>
          <w:tab w:val="left" w:pos="585"/>
        </w:tabs>
        <w:autoSpaceDE w:val="0"/>
        <w:autoSpaceDN w:val="0"/>
        <w:adjustRightInd w:val="0"/>
        <w:snapToGrid w:val="0"/>
        <w:spacing w:line="360" w:lineRule="auto"/>
        <w:outlineLvl w:val="9"/>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w:t>
      </w:r>
      <w:bookmarkEnd w:id="722"/>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17"/>
        <w:gridCol w:w="8076"/>
        <w:gridCol w:w="757"/>
      </w:tblGrid>
      <w:tr w14:paraId="22C1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14:paraId="0EDAF25F">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 w:val="21"/>
                <w:szCs w:val="21"/>
                <w:highlight w:val="none"/>
                <w14:textFill>
                  <w14:solidFill>
                    <w14:schemeClr w14:val="tx1"/>
                  </w14:solidFill>
                </w14:textFill>
              </w:rPr>
            </w:pPr>
            <w:bookmarkStart w:id="723" w:name="_Toc11639_WPSOffice_Level2"/>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EB72772">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zh-CN"/>
                <w14:textFill>
                  <w14:solidFill>
                    <w14:schemeClr w14:val="tx1"/>
                  </w14:solidFill>
                </w14:textFill>
              </w:rPr>
              <w:t>评审内容</w:t>
            </w:r>
          </w:p>
        </w:tc>
        <w:tc>
          <w:tcPr>
            <w:tcW w:w="3894" w:type="pct"/>
            <w:tcBorders>
              <w:top w:val="single" w:color="auto" w:sz="4" w:space="0"/>
              <w:left w:val="single" w:color="auto" w:sz="4" w:space="0"/>
              <w:bottom w:val="single" w:color="auto" w:sz="4" w:space="0"/>
              <w:right w:val="single" w:color="auto" w:sz="4" w:space="0"/>
            </w:tcBorders>
            <w:noWrap w:val="0"/>
            <w:vAlign w:val="center"/>
          </w:tcPr>
          <w:p w14:paraId="28EE87CF">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评审细则</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34E822BA">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满分值</w:t>
            </w:r>
          </w:p>
        </w:tc>
      </w:tr>
      <w:tr w14:paraId="5C91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14:paraId="42B2CD60">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1D03C027">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财务状况</w:t>
            </w:r>
          </w:p>
        </w:tc>
        <w:tc>
          <w:tcPr>
            <w:tcW w:w="3894" w:type="pct"/>
            <w:tcBorders>
              <w:top w:val="single" w:color="auto" w:sz="4" w:space="0"/>
              <w:left w:val="single" w:color="auto" w:sz="4" w:space="0"/>
              <w:bottom w:val="single" w:color="auto" w:sz="4" w:space="0"/>
              <w:right w:val="single" w:color="auto" w:sz="4" w:space="0"/>
            </w:tcBorders>
            <w:noWrap w:val="0"/>
            <w:vAlign w:val="center"/>
          </w:tcPr>
          <w:p w14:paraId="6B6AE315">
            <w:pPr>
              <w:keepNext w:val="0"/>
              <w:keepLines w:val="0"/>
              <w:suppressLineNumbers w:val="0"/>
              <w:snapToGrid w:val="0"/>
              <w:spacing w:before="0" w:beforeAutospacing="0" w:after="0" w:afterAutospacing="0" w:line="240" w:lineRule="auto"/>
              <w:ind w:left="0" w:right="0"/>
              <w:jc w:val="both"/>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投标人202</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年-20</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年三个年度，每具有1个年度</w:t>
            </w:r>
            <w:r>
              <w:rPr>
                <w:rFonts w:hint="eastAsia" w:ascii="宋体" w:hAnsi="宋体" w:eastAsia="宋体" w:cs="宋体"/>
                <w:color w:val="000000" w:themeColor="text1"/>
                <w:sz w:val="21"/>
                <w:szCs w:val="21"/>
                <w:highlight w:val="none"/>
                <w:lang w:val="en-US" w:eastAsia="zh-CN"/>
                <w14:textFill>
                  <w14:solidFill>
                    <w14:schemeClr w14:val="tx1"/>
                  </w14:solidFill>
                </w14:textFill>
              </w:rPr>
              <w:t>盈利</w:t>
            </w:r>
            <w:r>
              <w:rPr>
                <w:rFonts w:hint="eastAsia" w:ascii="宋体" w:hAnsi="宋体" w:eastAsia="宋体" w:cs="宋体"/>
                <w:color w:val="000000" w:themeColor="text1"/>
                <w:sz w:val="21"/>
                <w:szCs w:val="21"/>
                <w:highlight w:val="none"/>
                <w:lang w:val="zh-CN"/>
                <w14:textFill>
                  <w14:solidFill>
                    <w14:schemeClr w14:val="tx1"/>
                  </w14:solidFill>
                </w14:textFill>
              </w:rPr>
              <w:t>的得</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分，满分</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2C7BAD17">
            <w:pPr>
              <w:keepNext w:val="0"/>
              <w:keepLines w:val="0"/>
              <w:suppressLineNumbers w:val="0"/>
              <w:snapToGrid w:val="0"/>
              <w:spacing w:before="0" w:beforeAutospacing="0" w:after="0" w:afterAutospacing="0" w:line="240" w:lineRule="auto"/>
              <w:ind w:left="0" w:right="0"/>
              <w:jc w:val="both"/>
              <w:outlineLvl w:val="9"/>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r>
              <w:rPr>
                <w:rFonts w:hint="eastAsia" w:ascii="宋体" w:hAnsi="宋体" w:eastAsia="宋体" w:cs="宋体"/>
                <w:b/>
                <w:color w:val="000000" w:themeColor="text1"/>
                <w:sz w:val="21"/>
                <w:szCs w:val="21"/>
                <w:highlight w:val="none"/>
                <w:lang w:val="zh-CN"/>
                <w14:textFill>
                  <w14:solidFill>
                    <w14:schemeClr w14:val="tx1"/>
                  </w14:solidFill>
                </w14:textFill>
              </w:rPr>
              <w:t>盈</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利指净利润为正数（非零、非负数），</w:t>
            </w:r>
            <w:r>
              <w:rPr>
                <w:rFonts w:hint="eastAsia" w:ascii="宋体" w:hAnsi="宋体" w:eastAsia="宋体" w:cs="宋体"/>
                <w:b/>
                <w:color w:val="000000" w:themeColor="text1"/>
                <w:sz w:val="21"/>
                <w:szCs w:val="21"/>
                <w:highlight w:val="none"/>
                <w14:textFill>
                  <w14:solidFill>
                    <w14:schemeClr w14:val="tx1"/>
                  </w14:solidFill>
                </w14:textFill>
              </w:rPr>
              <w:t>投标人应提供202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年、202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年、202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年三个年度的财务报表，</w:t>
            </w:r>
            <w:r>
              <w:rPr>
                <w:rFonts w:hint="eastAsia" w:ascii="宋体" w:hAnsi="宋体" w:eastAsia="宋体" w:cs="宋体"/>
                <w:b/>
                <w:color w:val="000000" w:themeColor="text1"/>
                <w:sz w:val="21"/>
                <w:szCs w:val="21"/>
                <w:highlight w:val="none"/>
                <w:lang w:val="zh-CN"/>
                <w14:textFill>
                  <w14:solidFill>
                    <w14:schemeClr w14:val="tx1"/>
                  </w14:solidFill>
                </w14:textFill>
              </w:rPr>
              <w:t>净利润以对应年度经审计的财务报表为准，应提供经独立会计师事务所审计过的有效的财务报表复印件；未提供前述财务报表或财务报表未能反映净利润的，不得分。</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1506ABAA">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r>
      <w:tr w14:paraId="5A3D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14:paraId="7E0B41AB">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01AAB8CA">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标准化程度</w:t>
            </w:r>
          </w:p>
        </w:tc>
        <w:tc>
          <w:tcPr>
            <w:tcW w:w="3894" w:type="pct"/>
            <w:tcBorders>
              <w:top w:val="single" w:color="auto" w:sz="4" w:space="0"/>
              <w:left w:val="single" w:color="auto" w:sz="4" w:space="0"/>
              <w:bottom w:val="single" w:color="auto" w:sz="4" w:space="0"/>
              <w:right w:val="single" w:color="auto" w:sz="4" w:space="0"/>
            </w:tcBorders>
            <w:noWrap w:val="0"/>
            <w:vAlign w:val="center"/>
          </w:tcPr>
          <w:p w14:paraId="45609619">
            <w:pPr>
              <w:keepNext w:val="0"/>
              <w:keepLines w:val="0"/>
              <w:suppressLineNumbers w:val="0"/>
              <w:tabs>
                <w:tab w:val="left" w:pos="134"/>
              </w:tabs>
              <w:snapToGrid w:val="0"/>
              <w:spacing w:before="0" w:beforeAutospacing="0" w:after="0" w:afterAutospacing="0" w:line="240" w:lineRule="auto"/>
              <w:ind w:left="0" w:right="0"/>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（1）投标人具有有效期内的ISO9001质量管理体系认证证书得1分；</w:t>
            </w:r>
          </w:p>
          <w:p w14:paraId="07517E40">
            <w:pPr>
              <w:keepNext w:val="0"/>
              <w:keepLines w:val="0"/>
              <w:suppressLineNumbers w:val="0"/>
              <w:tabs>
                <w:tab w:val="left" w:pos="134"/>
              </w:tabs>
              <w:snapToGrid w:val="0"/>
              <w:spacing w:before="0" w:beforeAutospacing="0" w:after="0" w:afterAutospacing="0" w:line="240" w:lineRule="auto"/>
              <w:ind w:left="0" w:right="0"/>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（2）投标人具有有效期内的ISO14001环境管理体系认证证书得1分；</w:t>
            </w:r>
          </w:p>
          <w:p w14:paraId="0C5B4F99">
            <w:pPr>
              <w:keepNext w:val="0"/>
              <w:keepLines w:val="0"/>
              <w:suppressLineNumbers w:val="0"/>
              <w:tabs>
                <w:tab w:val="left" w:pos="134"/>
              </w:tabs>
              <w:snapToGrid w:val="0"/>
              <w:spacing w:before="0" w:beforeAutospacing="0" w:after="0" w:afterAutospacing="0" w:line="240" w:lineRule="auto"/>
              <w:ind w:left="0" w:right="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（3）投标人具有有效期内的OHSAS18001（或GB/T</w:t>
            </w:r>
            <w:r>
              <w:rPr>
                <w:rFonts w:hint="eastAsia" w:ascii="宋体" w:hAnsi="宋体" w:eastAsia="宋体" w:cs="宋体"/>
                <w:color w:val="000000" w:themeColor="text1"/>
                <w:sz w:val="21"/>
                <w:szCs w:val="21"/>
                <w:highlight w:val="none"/>
                <w:lang w:val="en-US" w:eastAsia="zh-CN"/>
                <w14:textFill>
                  <w14:solidFill>
                    <w14:schemeClr w14:val="tx1"/>
                  </w14:solidFill>
                </w14:textFill>
              </w:rPr>
              <w:t>45001</w:t>
            </w:r>
            <w:r>
              <w:rPr>
                <w:rFonts w:hint="eastAsia" w:ascii="宋体" w:hAnsi="宋体" w:eastAsia="宋体" w:cs="宋体"/>
                <w:color w:val="000000" w:themeColor="text1"/>
                <w:sz w:val="21"/>
                <w:szCs w:val="21"/>
                <w:highlight w:val="none"/>
                <w:lang w:val="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zh-CN"/>
                <w14:textFill>
                  <w14:solidFill>
                    <w14:schemeClr w14:val="tx1"/>
                  </w14:solidFill>
                </w14:textFill>
              </w:rPr>
              <w:t>，或ISO45001）职业健康安全管理体系认证证书得1分。</w:t>
            </w:r>
          </w:p>
          <w:p w14:paraId="4325F0F5">
            <w:pPr>
              <w:keepNext w:val="0"/>
              <w:keepLines w:val="0"/>
              <w:suppressLineNumbers w:val="0"/>
              <w:snapToGrid w:val="0"/>
              <w:spacing w:before="0" w:beforeAutospacing="0" w:after="0" w:afterAutospacing="0" w:line="240" w:lineRule="auto"/>
              <w:ind w:left="0" w:right="0"/>
              <w:jc w:val="both"/>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290A4A4C">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r>
      <w:tr w14:paraId="386B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14:paraId="3DD2AFAB">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1E8964D2">
            <w:pPr>
              <w:keepNext w:val="0"/>
              <w:keepLines w:val="0"/>
              <w:suppressLineNumbers w:val="0"/>
              <w:spacing w:before="0" w:beforeAutospacing="0" w:after="0" w:afterAutospacing="0" w:line="240" w:lineRule="auto"/>
              <w:ind w:left="0" w:right="0"/>
              <w:jc w:val="center"/>
              <w:outlineLvl w:val="9"/>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企业资质</w:t>
            </w:r>
          </w:p>
        </w:tc>
        <w:tc>
          <w:tcPr>
            <w:tcW w:w="3894" w:type="pct"/>
            <w:tcBorders>
              <w:top w:val="single" w:color="auto" w:sz="4" w:space="0"/>
              <w:left w:val="single" w:color="auto" w:sz="4" w:space="0"/>
              <w:bottom w:val="single" w:color="auto" w:sz="4" w:space="0"/>
              <w:right w:val="single" w:color="auto" w:sz="4" w:space="0"/>
            </w:tcBorders>
            <w:noWrap w:val="0"/>
            <w:vAlign w:val="center"/>
          </w:tcPr>
          <w:p w14:paraId="41A3FA71">
            <w:pPr>
              <w:keepNext w:val="0"/>
              <w:keepLines w:val="0"/>
              <w:suppressLineNumbers w:val="0"/>
              <w:tabs>
                <w:tab w:val="left" w:pos="134"/>
              </w:tabs>
              <w:autoSpaceDE w:val="0"/>
              <w:autoSpaceDN w:val="0"/>
              <w:adjustRightInd w:val="0"/>
              <w:spacing w:before="0" w:beforeAutospacing="0" w:after="0" w:afterAutospacing="0" w:line="240" w:lineRule="auto"/>
              <w:ind w:left="0" w:right="0"/>
              <w:outlineLvl w:val="9"/>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b w:val="0"/>
                <w:bCs/>
                <w:color w:val="000000" w:themeColor="text1"/>
                <w:kern w:val="0"/>
                <w:sz w:val="21"/>
                <w:szCs w:val="21"/>
                <w:highlight w:val="none"/>
                <w:lang w:val="en-US" w:eastAsia="zh-CN"/>
                <w14:textFill>
                  <w14:solidFill>
                    <w14:schemeClr w14:val="tx1"/>
                  </w14:solidFill>
                </w14:textFill>
              </w:rPr>
              <w:t>投标人具备电力工程施工总承包</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乙</w:t>
            </w:r>
            <w:r>
              <w:rPr>
                <w:rFonts w:hint="default" w:ascii="宋体" w:hAnsi="宋体" w:eastAsia="宋体" w:cs="宋体"/>
                <w:b w:val="0"/>
                <w:bCs/>
                <w:color w:val="000000" w:themeColor="text1"/>
                <w:kern w:val="0"/>
                <w:sz w:val="21"/>
                <w:szCs w:val="21"/>
                <w:highlight w:val="none"/>
                <w:lang w:val="en-US" w:eastAsia="zh-CN"/>
                <w14:textFill>
                  <w14:solidFill>
                    <w14:schemeClr w14:val="tx1"/>
                  </w14:solidFill>
                </w14:textFill>
              </w:rPr>
              <w:t>级（或以上）资质【或更换资质证书前有效期内：电力工程施工总承包三级(或以上)资质】</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的，得1分。</w:t>
            </w:r>
          </w:p>
          <w:p w14:paraId="440FE4C6">
            <w:pPr>
              <w:keepNext w:val="0"/>
              <w:keepLines w:val="0"/>
              <w:suppressLineNumbers w:val="0"/>
              <w:tabs>
                <w:tab w:val="left" w:pos="134"/>
              </w:tabs>
              <w:autoSpaceDE w:val="0"/>
              <w:autoSpaceDN w:val="0"/>
              <w:adjustRightInd w:val="0"/>
              <w:spacing w:before="0" w:beforeAutospacing="0" w:after="0" w:afterAutospacing="0" w:line="240" w:lineRule="auto"/>
              <w:ind w:left="0" w:right="0"/>
              <w:outlineLvl w:val="9"/>
              <w:rPr>
                <w:rFonts w:hint="default" w:ascii="宋体" w:hAnsi="宋体" w:eastAsia="宋体" w:cs="宋体"/>
                <w:b w:val="0"/>
                <w:bCs/>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b/>
                <w:bCs w:val="0"/>
                <w:color w:val="000000" w:themeColor="text1"/>
                <w:kern w:val="0"/>
                <w:sz w:val="21"/>
                <w:szCs w:val="21"/>
                <w:highlight w:val="none"/>
                <w:lang w:val="en-US" w:eastAsia="zh-CN"/>
                <w14:textFill>
                  <w14:solidFill>
                    <w14:schemeClr w14:val="tx1"/>
                  </w14:solidFill>
                </w14:textFill>
              </w:rPr>
              <w:t>备注：投标人应提供上述有效证书复印件，否则不得分。</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3A52C3CA">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48C9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14:paraId="6A656908">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083466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业绩</w:t>
            </w:r>
          </w:p>
        </w:tc>
        <w:tc>
          <w:tcPr>
            <w:tcW w:w="3894" w:type="pct"/>
            <w:tcBorders>
              <w:top w:val="single" w:color="auto" w:sz="4" w:space="0"/>
              <w:left w:val="single" w:color="auto" w:sz="4" w:space="0"/>
              <w:bottom w:val="single" w:color="auto" w:sz="4" w:space="0"/>
              <w:right w:val="single" w:color="auto" w:sz="4" w:space="0"/>
            </w:tcBorders>
            <w:noWrap w:val="0"/>
            <w:vAlign w:val="center"/>
          </w:tcPr>
          <w:p w14:paraId="067A5D05">
            <w:pPr>
              <w:keepNext w:val="0"/>
              <w:keepLines w:val="0"/>
              <w:suppressLineNumbers w:val="0"/>
              <w:adjustRightInd/>
              <w:spacing w:before="0" w:beforeAutospacing="0" w:after="0" w:afterAutospacing="0" w:line="240" w:lineRule="auto"/>
              <w:ind w:left="0" w:right="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投标人20</w:t>
            </w: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年1月1日</w:t>
            </w:r>
            <w:r>
              <w:rPr>
                <w:rFonts w:hint="eastAsia" w:ascii="宋体" w:hAnsi="宋体" w:eastAsia="宋体" w:cs="宋体"/>
                <w:color w:val="000000" w:themeColor="text1"/>
                <w:sz w:val="21"/>
                <w:szCs w:val="21"/>
                <w:highlight w:val="none"/>
                <w:lang w:eastAsia="zh-CN"/>
                <w14:textFill>
                  <w14:solidFill>
                    <w14:schemeClr w14:val="tx1"/>
                  </w14:solidFill>
                </w14:textFill>
              </w:rPr>
              <w:t>以来</w:t>
            </w:r>
            <w:r>
              <w:rPr>
                <w:rFonts w:hint="eastAsia" w:ascii="宋体" w:hAnsi="宋体" w:eastAsia="宋体" w:cs="宋体"/>
                <w:color w:val="000000" w:themeColor="text1"/>
                <w:sz w:val="21"/>
                <w:szCs w:val="21"/>
                <w:highlight w:val="none"/>
                <w14:textFill>
                  <w14:solidFill>
                    <w14:schemeClr w14:val="tx1"/>
                  </w14:solidFill>
                </w14:textFill>
              </w:rPr>
              <w:t>在国内</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具有</w:t>
            </w:r>
            <w:r>
              <w:rPr>
                <w:rFonts w:hint="eastAsia" w:ascii="宋体" w:hAnsi="宋体" w:eastAsia="宋体" w:cs="宋体"/>
                <w:color w:val="000000" w:themeColor="text1"/>
                <w:sz w:val="21"/>
                <w:szCs w:val="21"/>
                <w:highlight w:val="none"/>
                <w14:textFill>
                  <w14:solidFill>
                    <w14:schemeClr w14:val="tx1"/>
                  </w14:solidFill>
                </w14:textFill>
              </w:rPr>
              <w:t>的分布式光伏发电</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投资项目</w:t>
            </w:r>
            <w:r>
              <w:rPr>
                <w:rFonts w:hint="eastAsia" w:ascii="宋体" w:hAnsi="宋体" w:eastAsia="宋体" w:cs="宋体"/>
                <w:color w:val="000000" w:themeColor="text1"/>
                <w:sz w:val="21"/>
                <w:szCs w:val="21"/>
                <w:highlight w:val="none"/>
                <w14:textFill>
                  <w14:solidFill>
                    <w14:schemeClr w14:val="tx1"/>
                  </w14:solidFill>
                </w14:textFill>
              </w:rPr>
              <w:t>的业绩</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合同签订日期为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2021年1月1日或以后，投标人为分布式光伏发电项目的投资方</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，按下列情况评分，本项业绩评审满分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分。</w:t>
            </w:r>
          </w:p>
          <w:p w14:paraId="68A22EBB">
            <w:pPr>
              <w:keepNext w:val="0"/>
              <w:keepLines w:val="0"/>
              <w:suppressLineNumbers w:val="0"/>
              <w:adjustRightInd/>
              <w:spacing w:before="0" w:beforeAutospacing="0" w:after="0" w:afterAutospacing="0" w:line="240" w:lineRule="auto"/>
              <w:ind w:left="0" w:right="0"/>
              <w:jc w:val="both"/>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w:t>
            </w:r>
            <w:r>
              <w:rPr>
                <w:rFonts w:hint="eastAsia" w:ascii="宋体" w:hAnsi="宋体" w:eastAsia="宋体" w:cs="宋体"/>
                <w:color w:val="000000" w:themeColor="text1"/>
                <w:sz w:val="21"/>
                <w:szCs w:val="21"/>
                <w:highlight w:val="none"/>
                <w:lang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合同光伏组件安装总容量</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MWp(或</w:t>
            </w:r>
            <w:r>
              <w:rPr>
                <w:rFonts w:hint="default"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MW或</w:t>
            </w:r>
            <w:r>
              <w:rPr>
                <w:rFonts w:hint="default"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00kW或</w:t>
            </w:r>
            <w:r>
              <w:rPr>
                <w:rFonts w:hint="default"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00kWp)(含)以上的每个业绩得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634CC38">
            <w:pPr>
              <w:keepNext w:val="0"/>
              <w:keepLines w:val="0"/>
              <w:suppressLineNumbers w:val="0"/>
              <w:adjustRightInd/>
              <w:spacing w:before="0" w:beforeAutospacing="0" w:after="0" w:afterAutospacing="0" w:line="240" w:lineRule="auto"/>
              <w:ind w:left="0" w:right="0"/>
              <w:jc w:val="both"/>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(2)单</w:t>
            </w:r>
            <w:r>
              <w:rPr>
                <w:rFonts w:hint="eastAsia" w:ascii="宋体" w:hAnsi="宋体" w:eastAsia="宋体" w:cs="宋体"/>
                <w:color w:val="000000" w:themeColor="text1"/>
                <w:sz w:val="21"/>
                <w:szCs w:val="21"/>
                <w:highlight w:val="none"/>
                <w:lang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合同光伏组件安装总容量</w:t>
            </w:r>
            <w:r>
              <w:rPr>
                <w:rFonts w:hint="default"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MWp(或</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MW或</w:t>
            </w:r>
            <w:r>
              <w:rPr>
                <w:rFonts w:hint="default"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00kW或</w:t>
            </w:r>
            <w:r>
              <w:rPr>
                <w:rFonts w:hint="default" w:ascii="宋体" w:hAnsi="宋体" w:eastAsia="宋体" w:cs="宋体"/>
                <w:color w:val="000000" w:themeColor="text1"/>
                <w:sz w:val="21"/>
                <w:szCs w:val="21"/>
                <w:highlight w:val="none"/>
                <w:lang w:val="en-US"/>
                <w14:textFill>
                  <w14:solidFill>
                    <w14:schemeClr w14:val="tx1"/>
                  </w14:solidFill>
                </w14:textFill>
              </w:rPr>
              <w:t>2</w:t>
            </w:r>
            <w:r>
              <w:rPr>
                <w:rFonts w:hint="default"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00kWp)(含)-</w:t>
            </w:r>
            <w:r>
              <w:rPr>
                <w:rFonts w:hint="default"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MWp(或</w:t>
            </w:r>
            <w:r>
              <w:rPr>
                <w:rFonts w:hint="default"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MW或</w:t>
            </w:r>
            <w:r>
              <w:rPr>
                <w:rFonts w:hint="default"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00kW或</w:t>
            </w:r>
            <w:r>
              <w:rPr>
                <w:rFonts w:hint="default"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00kWp)(不含)的每个业绩得1.5分，本小项最高</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10分；</w:t>
            </w:r>
          </w:p>
          <w:p w14:paraId="3433B197">
            <w:pPr>
              <w:keepNext w:val="0"/>
              <w:keepLines w:val="0"/>
              <w:suppressLineNumbers w:val="0"/>
              <w:adjustRightInd/>
              <w:spacing w:before="0" w:beforeAutospacing="0" w:after="0" w:afterAutospacing="0" w:line="240" w:lineRule="auto"/>
              <w:ind w:left="0" w:right="0"/>
              <w:jc w:val="both"/>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(3)单项合同光伏组件安装总容量2.5MWp(或2.5MW或2500kW或2500kWp)(不含)以下的每个业绩得1分，本小项最高得5分。</w:t>
            </w:r>
          </w:p>
          <w:p w14:paraId="2B7239DE">
            <w:pPr>
              <w:keepNext w:val="0"/>
              <w:keepLines w:val="0"/>
              <w:suppressLineNumbers w:val="0"/>
              <w:adjustRightInd/>
              <w:spacing w:before="0" w:beforeAutospacing="0" w:after="0" w:afterAutospacing="0" w:line="240" w:lineRule="auto"/>
              <w:ind w:left="0" w:right="0"/>
              <w:jc w:val="both"/>
              <w:outlineLvl w:val="9"/>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备注：</w:t>
            </w:r>
          </w:p>
          <w:p w14:paraId="263B5C75">
            <w:pPr>
              <w:keepNext w:val="0"/>
              <w:keepLines w:val="0"/>
              <w:suppressLineNumbers w:val="0"/>
              <w:adjustRightInd/>
              <w:spacing w:before="0" w:beforeAutospacing="0" w:after="0" w:afterAutospacing="0" w:line="240" w:lineRule="auto"/>
              <w:ind w:left="0" w:right="0"/>
              <w:jc w:val="both"/>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①</w:t>
            </w:r>
            <w:r>
              <w:rPr>
                <w:rFonts w:hint="eastAsia" w:ascii="宋体" w:hAnsi="宋体" w:eastAsia="宋体" w:cs="宋体"/>
                <w:b/>
                <w:color w:val="000000" w:themeColor="text1"/>
                <w:sz w:val="21"/>
                <w:szCs w:val="21"/>
                <w:highlight w:val="none"/>
                <w14:textFill>
                  <w14:solidFill>
                    <w14:schemeClr w14:val="tx1"/>
                  </w14:solidFill>
                </w14:textFill>
              </w:rPr>
              <w:t>业绩须附合同复印件</w:t>
            </w:r>
            <w:r>
              <w:rPr>
                <w:rFonts w:hint="eastAsia" w:ascii="宋体" w:hAnsi="宋体" w:eastAsia="宋体" w:cs="宋体"/>
                <w:b/>
                <w:color w:val="000000" w:themeColor="text1"/>
                <w:sz w:val="21"/>
                <w:szCs w:val="21"/>
                <w:highlight w:val="none"/>
                <w:lang w:eastAsia="zh-CN"/>
                <w14:textFill>
                  <w14:solidFill>
                    <w14:schemeClr w14:val="tx1"/>
                  </w14:solidFill>
                </w14:textFill>
              </w:rPr>
              <w:t>和并网证明文件复印件</w:t>
            </w:r>
            <w:r>
              <w:rPr>
                <w:rFonts w:hint="eastAsia" w:ascii="宋体" w:hAnsi="宋体" w:eastAsia="宋体" w:cs="宋体"/>
                <w:b/>
                <w:color w:val="000000" w:themeColor="text1"/>
                <w:sz w:val="21"/>
                <w:szCs w:val="21"/>
                <w:highlight w:val="none"/>
                <w14:textFill>
                  <w14:solidFill>
                    <w14:schemeClr w14:val="tx1"/>
                  </w14:solidFill>
                </w14:textFill>
              </w:rPr>
              <w:t>，否则不得分</w:t>
            </w:r>
            <w:r>
              <w:rPr>
                <w:rFonts w:hint="eastAsia" w:ascii="宋体" w:hAnsi="宋体" w:eastAsia="宋体" w:cs="宋体"/>
                <w:b/>
                <w:color w:val="000000" w:themeColor="text1"/>
                <w:sz w:val="21"/>
                <w:szCs w:val="21"/>
                <w:highlight w:val="none"/>
                <w:lang w:eastAsia="zh-CN"/>
                <w14:textFill>
                  <w14:solidFill>
                    <w14:schemeClr w14:val="tx1"/>
                  </w14:solidFill>
                </w14:textFill>
              </w:rPr>
              <w:t>。</w:t>
            </w:r>
          </w:p>
          <w:p w14:paraId="463DA7CF">
            <w:pPr>
              <w:keepNext w:val="0"/>
              <w:keepLines w:val="0"/>
              <w:suppressLineNumbers w:val="0"/>
              <w:adjustRightInd/>
              <w:spacing w:before="0" w:beforeAutospacing="0" w:after="0" w:afterAutospacing="0" w:line="240" w:lineRule="auto"/>
              <w:ind w:left="0" w:right="0"/>
              <w:jc w:val="both"/>
              <w:outlineLvl w:val="9"/>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②</w:t>
            </w:r>
            <w:r>
              <w:rPr>
                <w:rFonts w:hint="eastAsia" w:ascii="宋体" w:hAnsi="宋体" w:eastAsia="宋体" w:cs="宋体"/>
                <w:b/>
                <w:color w:val="000000" w:themeColor="text1"/>
                <w:sz w:val="21"/>
                <w:szCs w:val="21"/>
                <w:highlight w:val="none"/>
                <w14:textFill>
                  <w14:solidFill>
                    <w14:schemeClr w14:val="tx1"/>
                  </w14:solidFill>
                </w14:textFill>
              </w:rPr>
              <w:t>若合同无法反映评分条件</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合同签订日期为20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 w:val="21"/>
                <w:szCs w:val="21"/>
                <w:highlight w:val="none"/>
                <w14:textFill>
                  <w14:solidFill>
                    <w14:schemeClr w14:val="tx1"/>
                  </w14:solidFill>
                </w14:textFill>
              </w:rPr>
              <w:t>年1月1日或以后</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投标人为分布式光伏发电项目的投资方；3.安装总容量</w:t>
            </w:r>
            <w:r>
              <w:rPr>
                <w:rFonts w:hint="eastAsia" w:ascii="宋体" w:hAnsi="宋体" w:eastAsia="宋体" w:cs="宋体"/>
                <w:b/>
                <w:bCs/>
                <w:color w:val="000000" w:themeColor="text1"/>
                <w:sz w:val="21"/>
                <w:szCs w:val="21"/>
                <w:highlight w:val="none"/>
                <w14:textFill>
                  <w14:solidFill>
                    <w14:schemeClr w14:val="tx1"/>
                  </w14:solidFill>
                </w14:textFill>
              </w:rPr>
              <w:t>)，还需提供</w:t>
            </w:r>
            <w:r>
              <w:rPr>
                <w:rFonts w:hint="eastAsia" w:ascii="宋体" w:hAnsi="宋体" w:eastAsia="宋体" w:cs="宋体"/>
                <w:b/>
                <w:bCs/>
                <w:color w:val="000000" w:themeColor="text1"/>
                <w:sz w:val="21"/>
                <w:szCs w:val="21"/>
                <w:highlight w:val="none"/>
                <w:lang w:eastAsia="zh-CN"/>
                <w14:textFill>
                  <w14:solidFill>
                    <w14:schemeClr w14:val="tx1"/>
                  </w14:solidFill>
                </w14:textFill>
              </w:rPr>
              <w:t>合同服务购买方</w:t>
            </w:r>
            <w:r>
              <w:rPr>
                <w:rFonts w:hint="eastAsia" w:ascii="宋体" w:hAnsi="宋体" w:eastAsia="宋体" w:cs="宋体"/>
                <w:b/>
                <w:bCs/>
                <w:color w:val="000000" w:themeColor="text1"/>
                <w:sz w:val="21"/>
                <w:szCs w:val="21"/>
                <w:highlight w:val="none"/>
                <w14:textFill>
                  <w14:solidFill>
                    <w14:schemeClr w14:val="tx1"/>
                  </w14:solidFill>
                </w14:textFill>
              </w:rPr>
              <w:t>出具的书面补充说明文件复印件（书面补充说明文件复印件能显示合同服务购买方公章）或发改备案（核准）的证明文件复印件作为辅助证明</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3ADB3F82">
            <w:pPr>
              <w:keepNext w:val="0"/>
              <w:keepLines w:val="0"/>
              <w:suppressLineNumbers w:val="0"/>
              <w:tabs>
                <w:tab w:val="left" w:pos="134"/>
              </w:tabs>
              <w:autoSpaceDE w:val="0"/>
              <w:autoSpaceDN w:val="0"/>
              <w:adjustRightInd w:val="0"/>
              <w:spacing w:before="0" w:beforeAutospacing="0" w:after="0" w:afterAutospacing="0" w:line="240" w:lineRule="auto"/>
              <w:ind w:left="0" w:right="0"/>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
                <w14:textFill>
                  <w14:solidFill>
                    <w14:schemeClr w14:val="tx1"/>
                  </w14:solidFill>
                </w14:textFill>
              </w:rPr>
              <w:t>③</w:t>
            </w:r>
            <w:r>
              <w:rPr>
                <w:rFonts w:hint="eastAsia" w:ascii="宋体" w:hAnsi="宋体" w:eastAsia="宋体" w:cs="宋体"/>
                <w:b/>
                <w:color w:val="000000" w:themeColor="text1"/>
                <w:kern w:val="0"/>
                <w:sz w:val="21"/>
                <w:szCs w:val="21"/>
                <w:highlight w:val="none"/>
                <w14:textFill>
                  <w14:solidFill>
                    <w14:schemeClr w14:val="tx1"/>
                  </w14:solidFill>
                </w14:textFill>
              </w:rPr>
              <w:t>未按上述要求提供证明材料的业绩，或所附材料无法证明填报项目符合本项评分要求的业绩，在评标时将不予考虑。</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6F12CB1A">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23分</w:t>
            </w:r>
          </w:p>
        </w:tc>
      </w:tr>
    </w:tbl>
    <w:p w14:paraId="4EC386E8">
      <w:pPr>
        <w:keepNext w:val="0"/>
        <w:keepLines w:val="0"/>
        <w:pageBreakBefore w:val="0"/>
        <w:widowControl w:val="0"/>
        <w:tabs>
          <w:tab w:val="left" w:pos="585"/>
        </w:tabs>
        <w:kinsoku/>
        <w:wordWrap/>
        <w:overflowPunct/>
        <w:topLinePunct w:val="0"/>
        <w:autoSpaceDE w:val="0"/>
        <w:autoSpaceDN w:val="0"/>
        <w:bidi w:val="0"/>
        <w:adjustRightInd w:val="0"/>
        <w:snapToGrid w:val="0"/>
        <w:spacing w:before="164" w:beforeLines="50" w:line="360" w:lineRule="auto"/>
        <w:textAlignment w:val="auto"/>
        <w:outlineLvl w:val="9"/>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技术：</w:t>
      </w:r>
      <w:bookmarkEnd w:id="723"/>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913"/>
        <w:gridCol w:w="8087"/>
        <w:gridCol w:w="751"/>
      </w:tblGrid>
      <w:tr w14:paraId="2113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14:paraId="14CE1D31">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 w:val="21"/>
                <w:szCs w:val="21"/>
                <w:highlight w:val="none"/>
                <w14:textFill>
                  <w14:solidFill>
                    <w14:schemeClr w14:val="tx1"/>
                  </w14:solidFill>
                </w14:textFill>
              </w:rPr>
            </w:pPr>
            <w:bookmarkStart w:id="724" w:name="_Hlk104987779"/>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678284A1">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zh-CN"/>
                <w14:textFill>
                  <w14:solidFill>
                    <w14:schemeClr w14:val="tx1"/>
                  </w14:solidFill>
                </w14:textFill>
              </w:rPr>
              <w:t>评审内容</w:t>
            </w:r>
          </w:p>
        </w:tc>
        <w:tc>
          <w:tcPr>
            <w:tcW w:w="3899" w:type="pct"/>
            <w:tcBorders>
              <w:top w:val="single" w:color="auto" w:sz="4" w:space="0"/>
              <w:left w:val="single" w:color="auto" w:sz="4" w:space="0"/>
              <w:bottom w:val="single" w:color="auto" w:sz="4" w:space="0"/>
              <w:right w:val="single" w:color="auto" w:sz="4" w:space="0"/>
            </w:tcBorders>
            <w:noWrap w:val="0"/>
            <w:vAlign w:val="center"/>
          </w:tcPr>
          <w:p w14:paraId="1CB360C2">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评审细则</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120346C7">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满分值</w:t>
            </w:r>
          </w:p>
        </w:tc>
      </w:tr>
      <w:tr w14:paraId="495E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14:paraId="08A8BA6B">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60EDA53E">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用户需求响应程度</w:t>
            </w:r>
          </w:p>
        </w:tc>
        <w:tc>
          <w:tcPr>
            <w:tcW w:w="3899" w:type="pct"/>
            <w:tcBorders>
              <w:top w:val="single" w:color="auto" w:sz="4" w:space="0"/>
              <w:left w:val="single" w:color="auto" w:sz="4" w:space="0"/>
              <w:bottom w:val="single" w:color="auto" w:sz="4" w:space="0"/>
              <w:right w:val="single" w:color="auto" w:sz="4" w:space="0"/>
            </w:tcBorders>
            <w:noWrap w:val="0"/>
            <w:vAlign w:val="center"/>
          </w:tcPr>
          <w:p w14:paraId="3C3A98D4">
            <w:pPr>
              <w:keepNext w:val="0"/>
              <w:keepLines w:val="0"/>
              <w:suppressLineNumbers w:val="0"/>
              <w:spacing w:before="0" w:beforeAutospacing="0" w:after="0" w:afterAutospacing="0" w:line="240" w:lineRule="auto"/>
              <w:ind w:left="0" w:leftChars="0" w:right="0" w:firstLine="0" w:firstLineChars="0"/>
              <w:jc w:val="both"/>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根据用户需求偏离表的偏离情况进行评审计分，完全满足用户需求的要求得满分，每一处负偏离，扣</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分；同时参照其投标文件中技术资料的内容进行对比，每发现一处投标人填写为无偏离或正偏离，但评标委员会评审认定其为负偏离的，每处扣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分；本项最低分为0分。</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4475DD2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8分</w:t>
            </w:r>
          </w:p>
        </w:tc>
      </w:tr>
      <w:tr w14:paraId="1533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298" w:type="pct"/>
            <w:vMerge w:val="restart"/>
            <w:tcBorders>
              <w:top w:val="single" w:color="auto" w:sz="4" w:space="0"/>
              <w:left w:val="single" w:color="auto" w:sz="4" w:space="0"/>
              <w:right w:val="single" w:color="auto" w:sz="4" w:space="0"/>
            </w:tcBorders>
            <w:noWrap w:val="0"/>
            <w:vAlign w:val="center"/>
          </w:tcPr>
          <w:p w14:paraId="1F8268C1">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440" w:type="pct"/>
            <w:vMerge w:val="restart"/>
            <w:tcBorders>
              <w:top w:val="single" w:color="auto" w:sz="4" w:space="0"/>
              <w:left w:val="single" w:color="auto" w:sz="4" w:space="0"/>
              <w:right w:val="single" w:color="auto" w:sz="4" w:space="0"/>
            </w:tcBorders>
            <w:noWrap w:val="0"/>
            <w:vAlign w:val="center"/>
          </w:tcPr>
          <w:p w14:paraId="10BEF1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系统总体设计</w:t>
            </w:r>
          </w:p>
        </w:tc>
        <w:tc>
          <w:tcPr>
            <w:tcW w:w="3899" w:type="pct"/>
            <w:tcBorders>
              <w:top w:val="single" w:color="auto" w:sz="4" w:space="0"/>
              <w:left w:val="single" w:color="auto" w:sz="4" w:space="0"/>
              <w:right w:val="single" w:color="auto" w:sz="4" w:space="0"/>
            </w:tcBorders>
            <w:noWrap w:val="0"/>
            <w:vAlign w:val="center"/>
          </w:tcPr>
          <w:p w14:paraId="010C8D7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、光伏组件与压型金属板连接要充分考虑安全性、紧固性，上人运维性能优异、无电化学腐蚀风险进行综合评审：</w:t>
            </w:r>
          </w:p>
          <w:p w14:paraId="7E832F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优：</w:t>
            </w:r>
            <w:r>
              <w:rPr>
                <w:rFonts w:hint="eastAsia" w:ascii="宋体" w:hAnsi="宋体" w:eastAsia="宋体" w:cs="宋体"/>
                <w:color w:val="000000" w:themeColor="text1"/>
                <w:kern w:val="0"/>
                <w:sz w:val="21"/>
                <w:szCs w:val="21"/>
                <w:highlight w:val="none"/>
                <w14:textFill>
                  <w14:solidFill>
                    <w14:schemeClr w14:val="tx1"/>
                  </w14:solidFill>
                </w14:textFill>
              </w:rPr>
              <w:t>光伏组件与压型金属板连接紧密，安全性高、紧固性强，上人运维性能优、无电化学抗腐蚀风险强，得[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58E897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良：</w:t>
            </w:r>
            <w:r>
              <w:rPr>
                <w:rFonts w:hint="eastAsia" w:ascii="宋体" w:hAnsi="宋体" w:eastAsia="宋体" w:cs="宋体"/>
                <w:color w:val="000000" w:themeColor="text1"/>
                <w:kern w:val="0"/>
                <w:sz w:val="21"/>
                <w:szCs w:val="21"/>
                <w:highlight w:val="none"/>
                <w14:textFill>
                  <w14:solidFill>
                    <w14:schemeClr w14:val="tx1"/>
                  </w14:solidFill>
                </w14:textFill>
              </w:rPr>
              <w:t>光伏组件与压型金属板连接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较</w:t>
            </w:r>
            <w:r>
              <w:rPr>
                <w:rFonts w:hint="eastAsia" w:ascii="宋体" w:hAnsi="宋体" w:eastAsia="宋体" w:cs="宋体"/>
                <w:color w:val="000000" w:themeColor="text1"/>
                <w:kern w:val="0"/>
                <w:sz w:val="21"/>
                <w:szCs w:val="21"/>
                <w:highlight w:val="none"/>
                <w14:textFill>
                  <w14:solidFill>
                    <w14:schemeClr w14:val="tx1"/>
                  </w14:solidFill>
                </w14:textFill>
              </w:rPr>
              <w:t>紧密，安全性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较</w:t>
            </w:r>
            <w:r>
              <w:rPr>
                <w:rFonts w:hint="eastAsia" w:ascii="宋体" w:hAnsi="宋体" w:eastAsia="宋体" w:cs="宋体"/>
                <w:color w:val="000000" w:themeColor="text1"/>
                <w:kern w:val="0"/>
                <w:sz w:val="21"/>
                <w:szCs w:val="21"/>
                <w:highlight w:val="none"/>
                <w14:textFill>
                  <w14:solidFill>
                    <w14:schemeClr w14:val="tx1"/>
                  </w14:solidFill>
                </w14:textFill>
              </w:rPr>
              <w:t>高、紧固性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较</w:t>
            </w:r>
            <w:r>
              <w:rPr>
                <w:rFonts w:hint="eastAsia" w:ascii="宋体" w:hAnsi="宋体" w:eastAsia="宋体" w:cs="宋体"/>
                <w:color w:val="000000" w:themeColor="text1"/>
                <w:kern w:val="0"/>
                <w:sz w:val="21"/>
                <w:szCs w:val="21"/>
                <w:highlight w:val="none"/>
                <w14:textFill>
                  <w14:solidFill>
                    <w14:schemeClr w14:val="tx1"/>
                  </w14:solidFill>
                </w14:textFill>
              </w:rPr>
              <w:t>强，上人运维性能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较</w:t>
            </w:r>
            <w:r>
              <w:rPr>
                <w:rFonts w:hint="eastAsia" w:ascii="宋体" w:hAnsi="宋体" w:eastAsia="宋体" w:cs="宋体"/>
                <w:color w:val="000000" w:themeColor="text1"/>
                <w:kern w:val="0"/>
                <w:sz w:val="21"/>
                <w:szCs w:val="21"/>
                <w:highlight w:val="none"/>
                <w14:textFill>
                  <w14:solidFill>
                    <w14:schemeClr w14:val="tx1"/>
                  </w14:solidFill>
                </w14:textFill>
              </w:rPr>
              <w:t>优、无电化学抗腐蚀风险</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较</w:t>
            </w:r>
            <w:r>
              <w:rPr>
                <w:rFonts w:hint="eastAsia" w:ascii="宋体" w:hAnsi="宋体" w:eastAsia="宋体" w:cs="宋体"/>
                <w:color w:val="000000" w:themeColor="text1"/>
                <w:kern w:val="0"/>
                <w:sz w:val="21"/>
                <w:szCs w:val="21"/>
                <w:highlight w:val="none"/>
                <w14:textFill>
                  <w14:solidFill>
                    <w14:schemeClr w14:val="tx1"/>
                  </w14:solidFill>
                </w14:textFill>
              </w:rPr>
              <w:t>强，得（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7EF95CB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中：</w:t>
            </w:r>
            <w:r>
              <w:rPr>
                <w:rFonts w:hint="eastAsia" w:ascii="宋体" w:hAnsi="宋体" w:eastAsia="宋体" w:cs="宋体"/>
                <w:color w:val="000000" w:themeColor="text1"/>
                <w:kern w:val="0"/>
                <w:sz w:val="21"/>
                <w:szCs w:val="21"/>
                <w:highlight w:val="none"/>
                <w14:textFill>
                  <w14:solidFill>
                    <w14:schemeClr w14:val="tx1"/>
                  </w14:solidFill>
                </w14:textFill>
              </w:rPr>
              <w:t>光伏组件与压型金属板连接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14:textFill>
                  <w14:solidFill>
                    <w14:schemeClr w14:val="tx1"/>
                  </w14:solidFill>
                </w14:textFill>
              </w:rPr>
              <w:t>，安全性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14:textFill>
                  <w14:solidFill>
                    <w14:schemeClr w14:val="tx1"/>
                  </w14:solidFill>
                </w14:textFill>
              </w:rPr>
              <w:t>、紧固性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14:textFill>
                  <w14:solidFill>
                    <w14:schemeClr w14:val="tx1"/>
                  </w14:solidFill>
                </w14:textFill>
              </w:rPr>
              <w:t>，上人运维性能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14:textFill>
                  <w14:solidFill>
                    <w14:schemeClr w14:val="tx1"/>
                  </w14:solidFill>
                </w14:textFill>
              </w:rPr>
              <w:t>、无电化学抗腐蚀风险</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6FA6FA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差：</w:t>
            </w:r>
            <w:r>
              <w:rPr>
                <w:rFonts w:hint="eastAsia" w:ascii="宋体" w:hAnsi="宋体" w:eastAsia="宋体" w:cs="宋体"/>
                <w:color w:val="000000" w:themeColor="text1"/>
                <w:kern w:val="0"/>
                <w:sz w:val="21"/>
                <w:szCs w:val="21"/>
                <w:highlight w:val="none"/>
                <w14:textFill>
                  <w14:solidFill>
                    <w14:schemeClr w14:val="tx1"/>
                  </w14:solidFill>
                </w14:textFill>
              </w:rPr>
              <w:t>光伏组件与压型金属板连接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差</w:t>
            </w:r>
            <w:r>
              <w:rPr>
                <w:rFonts w:hint="eastAsia" w:ascii="宋体" w:hAnsi="宋体" w:eastAsia="宋体" w:cs="宋体"/>
                <w:color w:val="000000" w:themeColor="text1"/>
                <w:kern w:val="0"/>
                <w:sz w:val="21"/>
                <w:szCs w:val="21"/>
                <w:highlight w:val="none"/>
                <w14:textFill>
                  <w14:solidFill>
                    <w14:schemeClr w14:val="tx1"/>
                  </w14:solidFill>
                </w14:textFill>
              </w:rPr>
              <w:t>，安全性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差</w:t>
            </w:r>
            <w:r>
              <w:rPr>
                <w:rFonts w:hint="eastAsia" w:ascii="宋体" w:hAnsi="宋体" w:eastAsia="宋体" w:cs="宋体"/>
                <w:color w:val="000000" w:themeColor="text1"/>
                <w:kern w:val="0"/>
                <w:sz w:val="21"/>
                <w:szCs w:val="21"/>
                <w:highlight w:val="none"/>
                <w14:textFill>
                  <w14:solidFill>
                    <w14:schemeClr w14:val="tx1"/>
                  </w14:solidFill>
                </w14:textFill>
              </w:rPr>
              <w:t>、紧固性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差</w:t>
            </w:r>
            <w:r>
              <w:rPr>
                <w:rFonts w:hint="eastAsia" w:ascii="宋体" w:hAnsi="宋体" w:eastAsia="宋体" w:cs="宋体"/>
                <w:color w:val="000000" w:themeColor="text1"/>
                <w:kern w:val="0"/>
                <w:sz w:val="21"/>
                <w:szCs w:val="21"/>
                <w:highlight w:val="none"/>
                <w14:textFill>
                  <w14:solidFill>
                    <w14:schemeClr w14:val="tx1"/>
                  </w14:solidFill>
                </w14:textFill>
              </w:rPr>
              <w:t>，上人运维性能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差</w:t>
            </w:r>
            <w:r>
              <w:rPr>
                <w:rFonts w:hint="eastAsia" w:ascii="宋体" w:hAnsi="宋体" w:eastAsia="宋体" w:cs="宋体"/>
                <w:color w:val="000000" w:themeColor="text1"/>
                <w:kern w:val="0"/>
                <w:sz w:val="21"/>
                <w:szCs w:val="21"/>
                <w:highlight w:val="none"/>
                <w14:textFill>
                  <w14:solidFill>
                    <w14:schemeClr w14:val="tx1"/>
                  </w14:solidFill>
                </w14:textFill>
              </w:rPr>
              <w:t>、无电化学抗腐蚀风险</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弱</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0C3475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tc>
      </w:tr>
      <w:tr w14:paraId="621A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8" w:type="pct"/>
            <w:vMerge w:val="continue"/>
            <w:tcBorders>
              <w:left w:val="single" w:color="auto" w:sz="4" w:space="0"/>
              <w:right w:val="single" w:color="auto" w:sz="4" w:space="0"/>
            </w:tcBorders>
            <w:noWrap w:val="0"/>
            <w:vAlign w:val="center"/>
          </w:tcPr>
          <w:p w14:paraId="6BF51CF6">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40" w:type="pct"/>
            <w:vMerge w:val="continue"/>
            <w:tcBorders>
              <w:left w:val="single" w:color="auto" w:sz="4" w:space="0"/>
              <w:right w:val="single" w:color="auto" w:sz="4" w:space="0"/>
            </w:tcBorders>
            <w:noWrap w:val="0"/>
            <w:vAlign w:val="center"/>
          </w:tcPr>
          <w:p w14:paraId="4517FA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3899" w:type="pct"/>
            <w:tcBorders>
              <w:top w:val="single" w:color="auto" w:sz="4" w:space="0"/>
              <w:left w:val="single" w:color="auto" w:sz="4" w:space="0"/>
              <w:bottom w:val="single" w:color="auto" w:sz="4" w:space="0"/>
              <w:right w:val="single" w:color="auto" w:sz="4" w:space="0"/>
            </w:tcBorders>
            <w:noWrap w:val="0"/>
            <w:vAlign w:val="center"/>
          </w:tcPr>
          <w:p w14:paraId="1C6C2245">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整体系统具有可靠的防水</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、防火、抗风、抗震</w:t>
            </w:r>
            <w:r>
              <w:rPr>
                <w:rFonts w:hint="eastAsia" w:ascii="宋体" w:hAnsi="宋体" w:eastAsia="宋体" w:cs="宋体"/>
                <w:color w:val="000000" w:themeColor="text1"/>
                <w:kern w:val="0"/>
                <w:sz w:val="21"/>
                <w:szCs w:val="21"/>
                <w:highlight w:val="none"/>
                <w14:textFill>
                  <w14:solidFill>
                    <w14:schemeClr w14:val="tx1"/>
                  </w14:solidFill>
                </w14:textFill>
              </w:rPr>
              <w:t>性能，具有（屋脊部位、开洞部位、天沟部位）标准的构造设计和节点体系；按照节点体系的合理和可靠性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进行</w:t>
            </w:r>
            <w:r>
              <w:rPr>
                <w:rFonts w:hint="eastAsia" w:ascii="宋体" w:hAnsi="宋体" w:eastAsia="宋体" w:cs="宋体"/>
                <w:color w:val="000000" w:themeColor="text1"/>
                <w:kern w:val="0"/>
                <w:sz w:val="21"/>
                <w:szCs w:val="21"/>
                <w:highlight w:val="none"/>
                <w14:textFill>
                  <w14:solidFill>
                    <w14:schemeClr w14:val="tx1"/>
                  </w14:solidFill>
                </w14:textFill>
              </w:rPr>
              <w:t>综合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w:t>
            </w:r>
          </w:p>
          <w:p w14:paraId="65888059">
            <w:pPr>
              <w:keepNext w:val="0"/>
              <w:keepLines w:val="0"/>
              <w:widowControl w:val="0"/>
              <w:suppressLineNumbers w:val="0"/>
              <w:autoSpaceDE/>
              <w:autoSpaceDN/>
              <w:adjustRightInd/>
              <w:spacing w:before="0" w:beforeAutospacing="0" w:after="0" w:afterAutospacing="0" w:line="240" w:lineRule="auto"/>
              <w:ind w:left="0" w:right="0" w:firstLine="0" w:firstLine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优：</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防水、防火、抗风、抗震性能可靠，</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节点体系科学合理和可靠性强，得[2-1.5]分；</w:t>
            </w:r>
          </w:p>
          <w:p w14:paraId="0B1F6B83">
            <w:pPr>
              <w:keepNext w:val="0"/>
              <w:keepLines w:val="0"/>
              <w:widowControl w:val="0"/>
              <w:suppressLineNumbers w:val="0"/>
              <w:autoSpaceDE/>
              <w:autoSpaceDN/>
              <w:adjustRightInd/>
              <w:spacing w:before="0" w:beforeAutospacing="0" w:after="0" w:afterAutospacing="0" w:line="240" w:lineRule="auto"/>
              <w:ind w:left="0" w:right="0" w:firstLine="0" w:firstLine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良：</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防水、防火、抗风、抗震性能较可靠，</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节点体系较合理和可靠性较强，得（1.5-1]分；</w:t>
            </w:r>
          </w:p>
          <w:p w14:paraId="23777C96">
            <w:pPr>
              <w:keepNext w:val="0"/>
              <w:keepLines w:val="0"/>
              <w:widowControl w:val="0"/>
              <w:suppressLineNumbers w:val="0"/>
              <w:autoSpaceDE/>
              <w:autoSpaceDN/>
              <w:adjustRightInd/>
              <w:spacing w:before="0" w:beforeAutospacing="0" w:after="0" w:afterAutospacing="0" w:line="240" w:lineRule="auto"/>
              <w:ind w:left="0" w:right="0" w:firstLine="0" w:firstLine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中：</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防水、防火、抗风、抗震性能一般，</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节点体系合理性一般和可靠性一般，得（1-0.5]分；</w:t>
            </w:r>
          </w:p>
          <w:p w14:paraId="2C025929">
            <w:pPr>
              <w:keepNext w:val="0"/>
              <w:keepLines w:val="0"/>
              <w:widowControl w:val="0"/>
              <w:suppressLineNumbers w:val="0"/>
              <w:autoSpaceDE/>
              <w:autoSpaceDN/>
              <w:adjustRightInd/>
              <w:spacing w:before="0" w:beforeAutospacing="0" w:after="0" w:afterAutospacing="0" w:line="240" w:lineRule="auto"/>
              <w:ind w:left="0" w:right="0" w:firstLine="0" w:firstLine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差：</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防水、防火、抗风、抗震性能差，</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节点体系不合理和可靠性差，得（0.5-0]分。</w:t>
            </w:r>
          </w:p>
          <w:p w14:paraId="18FA65F5">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备注：</w:t>
            </w:r>
            <w:r>
              <w:rPr>
                <w:rFonts w:hint="eastAsia" w:ascii="宋体" w:hAnsi="宋体" w:eastAsia="宋体" w:cs="宋体"/>
                <w:b/>
                <w:bCs/>
                <w:color w:val="000000" w:themeColor="text1"/>
                <w:kern w:val="0"/>
                <w:sz w:val="21"/>
                <w:szCs w:val="21"/>
                <w:highlight w:val="none"/>
                <w14:textFill>
                  <w14:solidFill>
                    <w14:schemeClr w14:val="tx1"/>
                  </w14:solidFill>
                </w14:textFill>
              </w:rPr>
              <w:t>无相关节点图得0分。</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5B47380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tc>
      </w:tr>
      <w:tr w14:paraId="24EF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8" w:type="pct"/>
            <w:vMerge w:val="continue"/>
            <w:tcBorders>
              <w:left w:val="single" w:color="auto" w:sz="4" w:space="0"/>
              <w:bottom w:val="single" w:color="auto" w:sz="4" w:space="0"/>
              <w:right w:val="single" w:color="auto" w:sz="4" w:space="0"/>
            </w:tcBorders>
            <w:noWrap w:val="0"/>
            <w:vAlign w:val="center"/>
          </w:tcPr>
          <w:p w14:paraId="53DFBEA8">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40" w:type="pct"/>
            <w:vMerge w:val="continue"/>
            <w:tcBorders>
              <w:left w:val="single" w:color="auto" w:sz="4" w:space="0"/>
              <w:bottom w:val="single" w:color="auto" w:sz="4" w:space="0"/>
              <w:right w:val="single" w:color="auto" w:sz="4" w:space="0"/>
            </w:tcBorders>
            <w:noWrap w:val="0"/>
            <w:vAlign w:val="center"/>
          </w:tcPr>
          <w:p w14:paraId="5F27319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3899" w:type="pct"/>
            <w:tcBorders>
              <w:top w:val="single" w:color="auto" w:sz="4" w:space="0"/>
              <w:left w:val="single" w:color="auto" w:sz="4" w:space="0"/>
              <w:bottom w:val="single" w:color="auto" w:sz="4" w:space="0"/>
              <w:right w:val="single" w:color="auto" w:sz="4" w:space="0"/>
            </w:tcBorders>
            <w:noWrap w:val="0"/>
            <w:vAlign w:val="center"/>
          </w:tcPr>
          <w:p w14:paraId="1B9B150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根据各投标人的</w:t>
            </w:r>
            <w:r>
              <w:rPr>
                <w:rFonts w:hint="eastAsia" w:ascii="宋体" w:hAnsi="宋体" w:eastAsia="宋体" w:cs="宋体"/>
                <w:color w:val="000000" w:themeColor="text1"/>
                <w:kern w:val="0"/>
                <w:sz w:val="21"/>
                <w:szCs w:val="21"/>
                <w:highlight w:val="none"/>
                <w14:textFill>
                  <w14:solidFill>
                    <w14:schemeClr w14:val="tx1"/>
                  </w14:solidFill>
                </w14:textFill>
              </w:rPr>
              <w:t>运维清洗系统方案，清洗管道布置图，</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进行综合评审：</w:t>
            </w:r>
          </w:p>
          <w:p w14:paraId="682C8B9B">
            <w:pPr>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优：</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运维清洗系统方案详细合理，清洗管道布置图科学合理，得[2-1.5]分；</w:t>
            </w:r>
          </w:p>
          <w:p w14:paraId="53026E11">
            <w:pPr>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良：</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运维清洗系统方案较详细较合理，清洗管道布置图较科学较合理，得（1.5-1]分；</w:t>
            </w:r>
          </w:p>
          <w:p w14:paraId="75CADDDC">
            <w:pPr>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中：</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有基本的</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运维清洗系统方案，合理性一般，有基本的清洗管道布置图，合理性一般，得（1-0.5]分；</w:t>
            </w:r>
          </w:p>
          <w:p w14:paraId="1A185CC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差：</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运维清洗系统方案不全，清洗管道布置图简略，得（0.5-0]分。</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1056D73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tc>
      </w:tr>
      <w:tr w14:paraId="782F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14:paraId="5C6D142F">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2FC70D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总体施工方案</w:t>
            </w:r>
          </w:p>
        </w:tc>
        <w:tc>
          <w:tcPr>
            <w:tcW w:w="3899" w:type="pct"/>
            <w:tcBorders>
              <w:top w:val="single" w:color="auto" w:sz="4" w:space="0"/>
              <w:left w:val="single" w:color="auto" w:sz="4" w:space="0"/>
              <w:bottom w:val="single" w:color="auto" w:sz="4" w:space="0"/>
              <w:right w:val="single" w:color="auto" w:sz="4" w:space="0"/>
            </w:tcBorders>
            <w:noWrap w:val="0"/>
            <w:vAlign w:val="center"/>
          </w:tcPr>
          <w:p w14:paraId="3E1AE9D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根据各投标人的</w:t>
            </w:r>
            <w:r>
              <w:rPr>
                <w:rFonts w:hint="eastAsia" w:ascii="宋体" w:hAnsi="宋体" w:eastAsia="宋体" w:cs="宋体"/>
                <w:color w:val="000000" w:themeColor="text1"/>
                <w:kern w:val="0"/>
                <w:sz w:val="21"/>
                <w:szCs w:val="21"/>
                <w:highlight w:val="none"/>
                <w14:textFill>
                  <w14:solidFill>
                    <w14:schemeClr w14:val="tx1"/>
                  </w14:solidFill>
                </w14:textFill>
              </w:rPr>
              <w:t>施工安全、进度及计划管理、重点难点分析及服务响应情况、应急处理方案等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进行综合评审：</w:t>
            </w:r>
          </w:p>
          <w:p w14:paraId="3634289C">
            <w:pPr>
              <w:keepNext w:val="0"/>
              <w:keepLines w:val="0"/>
              <w:widowControl w:val="0"/>
              <w:suppressLineNumbers w:val="0"/>
              <w:autoSpaceDE w:val="0"/>
              <w:autoSpaceDN w:val="0"/>
              <w:adjustRightInd w:val="0"/>
              <w:spacing w:before="0" w:beforeAutospacing="0" w:after="0" w:afterAutospacing="0" w:line="240" w:lineRule="auto"/>
              <w:ind w:left="0" w:right="-28"/>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优：</w:t>
            </w: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非常详实完善、科学合理和保障及时充分，得[2-1.5]分；</w:t>
            </w:r>
          </w:p>
          <w:p w14:paraId="609959EA">
            <w:pPr>
              <w:keepNext w:val="0"/>
              <w:keepLines w:val="0"/>
              <w:widowControl w:val="0"/>
              <w:suppressLineNumbers w:val="0"/>
              <w:autoSpaceDE w:val="0"/>
              <w:autoSpaceDN w:val="0"/>
              <w:adjustRightInd w:val="0"/>
              <w:spacing w:before="0" w:beforeAutospacing="0" w:after="0" w:afterAutospacing="0" w:line="240" w:lineRule="auto"/>
              <w:ind w:left="0" w:right="-28"/>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良：</w:t>
            </w: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比较详实完善、可行性较好、保障性和及时性较佳，得（1.5-1]分；</w:t>
            </w:r>
          </w:p>
          <w:p w14:paraId="5EB1D110">
            <w:pPr>
              <w:keepNext w:val="0"/>
              <w:keepLines w:val="0"/>
              <w:widowControl w:val="0"/>
              <w:suppressLineNumbers w:val="0"/>
              <w:autoSpaceDE w:val="0"/>
              <w:autoSpaceDN w:val="0"/>
              <w:adjustRightInd w:val="0"/>
              <w:spacing w:before="0" w:beforeAutospacing="0" w:after="0" w:afterAutospacing="0" w:line="240" w:lineRule="auto"/>
              <w:ind w:left="0" w:right="-28"/>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中：</w:t>
            </w: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有基本内容、可行性一般、保障性和及时性一般，得（1-0.5]分；</w:t>
            </w:r>
          </w:p>
          <w:p w14:paraId="29E7703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差：</w:t>
            </w: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内容存在缺失、可行性较低、保障性和及时性较差，得（0.5-0]分。</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72DABE7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D01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298" w:type="pct"/>
            <w:vMerge w:val="restart"/>
            <w:tcBorders>
              <w:top w:val="single" w:color="auto" w:sz="4" w:space="0"/>
              <w:left w:val="single" w:color="auto" w:sz="4" w:space="0"/>
              <w:right w:val="single" w:color="auto" w:sz="4" w:space="0"/>
            </w:tcBorders>
            <w:noWrap w:val="0"/>
            <w:vAlign w:val="center"/>
          </w:tcPr>
          <w:p w14:paraId="0DE7422B">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440" w:type="pct"/>
            <w:vMerge w:val="restart"/>
            <w:tcBorders>
              <w:top w:val="single" w:color="auto" w:sz="4" w:space="0"/>
              <w:left w:val="single" w:color="auto" w:sz="4" w:space="0"/>
              <w:right w:val="single" w:color="auto" w:sz="4" w:space="0"/>
            </w:tcBorders>
            <w:noWrap w:val="0"/>
            <w:vAlign w:val="center"/>
          </w:tcPr>
          <w:p w14:paraId="0BC8DD6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后期运维方案</w:t>
            </w:r>
          </w:p>
        </w:tc>
        <w:tc>
          <w:tcPr>
            <w:tcW w:w="3899" w:type="pct"/>
            <w:tcBorders>
              <w:top w:val="single" w:color="auto" w:sz="4" w:space="0"/>
              <w:left w:val="single" w:color="auto" w:sz="4" w:space="0"/>
              <w:bottom w:val="single" w:color="auto" w:sz="4" w:space="0"/>
              <w:right w:val="single" w:color="auto" w:sz="4" w:space="0"/>
            </w:tcBorders>
            <w:noWrap w:val="0"/>
            <w:vAlign w:val="center"/>
          </w:tcPr>
          <w:p w14:paraId="1D2E30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28" w:rightChars="0" w:firstLine="0" w:firstLineChars="0"/>
              <w:jc w:val="left"/>
              <w:textAlignment w:val="auto"/>
              <w:outlineLvl w:val="9"/>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根据各投标人的后期运维方案（组织机构、周期人员安排、设备处理、应急抢修等）进行综合评审：</w:t>
            </w:r>
          </w:p>
          <w:p w14:paraId="36E970B7">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优：</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非常详实完善、科学合理、可行性非常强，得[2-1.5]分；</w:t>
            </w:r>
          </w:p>
          <w:p w14:paraId="0F164400">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良：</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比较详实完善、可行性较好，得（1.5-1]分；</w:t>
            </w:r>
          </w:p>
          <w:p w14:paraId="687EDAD0">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中：</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基本详实完善、基本可行，得（1-0.5]分；</w:t>
            </w:r>
          </w:p>
          <w:p w14:paraId="6F2B2AA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差：</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内容存在缺失、可行性较差，得（0.5-0]分。</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3A980CF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A1A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298" w:type="pct"/>
            <w:vMerge w:val="continue"/>
            <w:tcBorders>
              <w:left w:val="single" w:color="auto" w:sz="4" w:space="0"/>
              <w:bottom w:val="single" w:color="auto" w:sz="4" w:space="0"/>
              <w:right w:val="single" w:color="auto" w:sz="4" w:space="0"/>
            </w:tcBorders>
            <w:noWrap w:val="0"/>
            <w:vAlign w:val="center"/>
          </w:tcPr>
          <w:p w14:paraId="5ACC144A">
            <w:pPr>
              <w:keepNext w:val="0"/>
              <w:keepLines w:val="0"/>
              <w:suppressLineNumbers w:val="0"/>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40" w:type="pct"/>
            <w:vMerge w:val="continue"/>
            <w:tcBorders>
              <w:left w:val="single" w:color="auto" w:sz="4" w:space="0"/>
              <w:bottom w:val="single" w:color="auto" w:sz="4" w:space="0"/>
              <w:right w:val="single" w:color="auto" w:sz="4" w:space="0"/>
            </w:tcBorders>
            <w:noWrap w:val="0"/>
            <w:vAlign w:val="center"/>
          </w:tcPr>
          <w:p w14:paraId="64C0F5C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3899" w:type="pct"/>
            <w:tcBorders>
              <w:top w:val="single" w:color="auto" w:sz="4" w:space="0"/>
              <w:left w:val="single" w:color="auto" w:sz="4" w:space="0"/>
              <w:bottom w:val="single" w:color="auto" w:sz="4" w:space="0"/>
              <w:right w:val="single" w:color="auto" w:sz="4" w:space="0"/>
            </w:tcBorders>
            <w:noWrap w:val="0"/>
            <w:vAlign w:val="center"/>
          </w:tcPr>
          <w:p w14:paraId="1683562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2、根据投标人承诺的维修响应时间进行评审：</w:t>
            </w:r>
          </w:p>
          <w:p w14:paraId="4423B84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①在合同期限内，承诺在接到招标人的故障报告后3小时内响应，16小时内到达项目现场进行维修等服务的，得1分；</w:t>
            </w:r>
          </w:p>
          <w:p w14:paraId="590FAA5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②在合同期限内，承诺在接到招标人的故障报告后2小时内响应，8小时内到达项目现场进行维修等服务的，得2分。</w:t>
            </w:r>
          </w:p>
          <w:p w14:paraId="367BD7B2">
            <w:pPr>
              <w:keepNext w:val="0"/>
              <w:keepLines w:val="0"/>
              <w:widowControl w:val="0"/>
              <w:suppressLineNumbers w:val="0"/>
              <w:spacing w:before="0" w:beforeAutospacing="0" w:after="0" w:afterAutospacing="0" w:line="240" w:lineRule="auto"/>
              <w:ind w:left="0" w:right="0"/>
              <w:jc w:val="both"/>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备注：根据《维修响应时间承诺表》对应的内容进行评审。</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55DD268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tc>
      </w:tr>
      <w:bookmarkEnd w:id="724"/>
    </w:tbl>
    <w:p w14:paraId="24EE36FE">
      <w:pPr>
        <w:autoSpaceDE w:val="0"/>
        <w:autoSpaceDN w:val="0"/>
        <w:adjustRightInd w:val="0"/>
        <w:snapToGrid w:val="0"/>
        <w:spacing w:line="360" w:lineRule="auto"/>
        <w:ind w:left="420" w:leftChars="200" w:firstLine="420" w:firstLineChars="20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备注：</w:t>
      </w:r>
    </w:p>
    <w:p w14:paraId="3B7A60E5">
      <w:pPr>
        <w:autoSpaceDE w:val="0"/>
        <w:autoSpaceDN w:val="0"/>
        <w:adjustRightInd w:val="0"/>
        <w:spacing w:line="360" w:lineRule="auto"/>
        <w:ind w:left="420" w:leftChars="200" w:firstLine="420" w:firstLineChars="20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①表中“[”代表闭区间，“]”代表闭区间，如[0，1]代表该分数段范围为大于等于0且小于等于1。表中“（”代表开区间，“]”代表闭区间，如（1，2]代表该分数段范围为大于1且小于等于2。</w:t>
      </w:r>
    </w:p>
    <w:p w14:paraId="111241F7">
      <w:pPr>
        <w:autoSpaceDE w:val="0"/>
        <w:autoSpaceDN w:val="0"/>
        <w:adjustRightInd w:val="0"/>
        <w:spacing w:line="360" w:lineRule="auto"/>
        <w:ind w:left="420" w:leftChars="200" w:firstLine="420" w:firstLineChars="20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②分数出现小数点，保留小数点后2位，从小数点后第3位四舍五入。</w:t>
      </w:r>
    </w:p>
    <w:p w14:paraId="7890F4B8">
      <w:pPr>
        <w:autoSpaceDE w:val="0"/>
        <w:autoSpaceDN w:val="0"/>
        <w:adjustRightInd w:val="0"/>
        <w:spacing w:line="360" w:lineRule="auto"/>
        <w:ind w:left="420" w:leftChars="200" w:firstLine="422" w:firstLineChars="200"/>
        <w:outlineLvl w:val="9"/>
        <w:rPr>
          <w:rFonts w:hint="eastAsia"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③上述“评分项目”中按“优、良、中、差”区间</w:t>
      </w:r>
      <w:r>
        <w:rPr>
          <w:rFonts w:hint="eastAsia" w:ascii="宋体" w:hAnsi="宋体" w:eastAsia="宋体" w:cs="宋体"/>
          <w:b/>
          <w:color w:val="000000" w:themeColor="text1"/>
          <w:szCs w:val="24"/>
          <w:highlight w:val="none"/>
          <w:lang w:val="zh-CN"/>
          <w14:textFill>
            <w14:solidFill>
              <w14:schemeClr w14:val="tx1"/>
            </w14:solidFill>
          </w14:textFill>
        </w:rPr>
        <w:t>评审的，若低于该项满分分值60%时，评标专家需详细填写该项低分的充分理由，例如：该项目内容存在违反国家有关标准和规范或与项目实际不符等原则性问题。</w:t>
      </w:r>
    </w:p>
    <w:p w14:paraId="6E1310CC">
      <w:pPr>
        <w:autoSpaceDE w:val="0"/>
        <w:autoSpaceDN w:val="0"/>
        <w:adjustRightInd w:val="0"/>
        <w:spacing w:line="360" w:lineRule="auto"/>
        <w:ind w:left="420" w:leftChars="200" w:firstLine="422" w:firstLineChars="200"/>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④</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14:textFill>
            <w14:solidFill>
              <w14:schemeClr w14:val="tx1"/>
            </w14:solidFill>
          </w14:textFill>
        </w:rPr>
        <w:t>确定该项的评分。</w:t>
      </w:r>
    </w:p>
    <w:p w14:paraId="6C6EB500">
      <w:pPr>
        <w:tabs>
          <w:tab w:val="left" w:pos="1701"/>
        </w:tabs>
        <w:autoSpaceDE w:val="0"/>
        <w:autoSpaceDN w:val="0"/>
        <w:adjustRightInd w:val="0"/>
        <w:spacing w:line="360" w:lineRule="auto"/>
        <w:outlineLvl w:val="9"/>
        <w:rPr>
          <w:rFonts w:hint="eastAsia"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14:paraId="2BACA276">
      <w:pPr>
        <w:spacing w:line="360" w:lineRule="auto"/>
        <w:ind w:left="480" w:firstLine="211" w:firstLineChars="100"/>
        <w:outlineLvl w:val="9"/>
        <w:rPr>
          <w:rFonts w:hint="eastAsia"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14:paraId="7CBD3760">
      <w:pPr>
        <w:spacing w:line="360" w:lineRule="auto"/>
        <w:ind w:left="420" w:leftChars="200" w:firstLine="420" w:firstLineChars="200"/>
        <w:outlineLvl w:val="9"/>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75E9D754">
      <w:pPr>
        <w:autoSpaceDE w:val="0"/>
        <w:autoSpaceDN w:val="0"/>
        <w:adjustRightInd w:val="0"/>
        <w:spacing w:line="360" w:lineRule="auto"/>
        <w:ind w:left="420" w:leftChars="200" w:firstLine="420" w:firstLineChars="200"/>
        <w:outlineLvl w:val="9"/>
        <w:rPr>
          <w:rFonts w:hint="eastAsia"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w:t>
      </w:r>
      <w:bookmarkStart w:id="731" w:name="_GoBack"/>
      <w:bookmarkEnd w:id="731"/>
      <w:r>
        <w:rPr>
          <w:rFonts w:hint="eastAsia" w:ascii="宋体" w:hAnsi="宋体" w:eastAsia="宋体" w:cs="宋体"/>
          <w:color w:val="000000" w:themeColor="text1"/>
          <w:kern w:val="0"/>
          <w:szCs w:val="21"/>
          <w:highlight w:val="none"/>
          <w14:textFill>
            <w14:solidFill>
              <w14:schemeClr w14:val="tx1"/>
            </w14:solidFill>
          </w14:textFill>
        </w:rPr>
        <w:t>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p>
    <w:p w14:paraId="411CC7A7">
      <w:pPr>
        <w:spacing w:line="360" w:lineRule="auto"/>
        <w:ind w:left="420" w:leftChars="200" w:firstLine="422" w:firstLineChars="200"/>
        <w:outlineLvl w:val="9"/>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u w:val="singl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u w:val="single"/>
          <w14:textFill>
            <w14:solidFill>
              <w14:schemeClr w14:val="tx1"/>
            </w14:solidFill>
          </w14:textFill>
        </w:rPr>
        <w:t>从</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多数的原则，获多数表决通过的投标人才有资格进入下一阶段的评审,否则将按无效投标处理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03100731">
      <w:pPr>
        <w:spacing w:line="360" w:lineRule="auto"/>
        <w:ind w:left="480" w:firstLine="211" w:firstLineChars="100"/>
        <w:outlineLvl w:val="9"/>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50</w:t>
      </w:r>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14:paraId="6936EDF1">
      <w:pPr>
        <w:autoSpaceDN w:val="0"/>
        <w:adjustRightInd w:val="0"/>
        <w:snapToGrid w:val="0"/>
        <w:spacing w:line="360" w:lineRule="auto"/>
        <w:ind w:left="420" w:leftChars="100" w:hanging="210" w:hangingChars="100"/>
        <w:outlineLvl w:val="9"/>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A、根据有效投标人的投标报价，最低价作为基准价（Y）。投标人报价（X）等于基准价的得满分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50</w:t>
      </w:r>
      <w:r>
        <w:rPr>
          <w:rFonts w:hint="eastAsia" w:ascii="宋体" w:hAnsi="宋体" w:eastAsia="宋体" w:cs="宋体"/>
          <w:color w:val="000000" w:themeColor="text1"/>
          <w:kern w:val="0"/>
          <w:szCs w:val="21"/>
          <w:highlight w:val="none"/>
          <w14:textFill>
            <w14:solidFill>
              <w14:schemeClr w14:val="tx1"/>
            </w14:solidFill>
          </w14:textFill>
        </w:rPr>
        <w:t>分，其他投标人的价格得分统一按照下列公式计算：</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 xml:space="preserve">    价格得分=(基准价／投标报价)×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50</w:t>
      </w:r>
    </w:p>
    <w:p w14:paraId="4247FFCF">
      <w:pPr>
        <w:autoSpaceDN w:val="0"/>
        <w:adjustRightInd w:val="0"/>
        <w:snapToGrid w:val="0"/>
        <w:spacing w:line="360" w:lineRule="auto"/>
        <w:ind w:firstLine="210" w:firstLineChars="100"/>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B、分数出现小数点，保留小数点后2位，从小数点后第3位四舍五入。</w:t>
      </w:r>
    </w:p>
    <w:p w14:paraId="2A1C5B06">
      <w:pPr>
        <w:tabs>
          <w:tab w:val="left" w:pos="585"/>
        </w:tabs>
        <w:autoSpaceDE w:val="0"/>
        <w:autoSpaceDN w:val="0"/>
        <w:adjustRightInd w:val="0"/>
        <w:spacing w:line="400" w:lineRule="exact"/>
        <w:outlineLvl w:val="9"/>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14:paraId="2699F11A">
      <w:pPr>
        <w:spacing w:line="400" w:lineRule="exact"/>
        <w:ind w:firstLine="848" w:firstLineChars="404"/>
        <w:outlineLvl w:val="9"/>
        <w:rPr>
          <w:rFonts w:hint="eastAsia" w:ascii="宋体" w:hAnsi="宋体" w:eastAsia="宋体" w:cs="宋体"/>
          <w:color w:val="000000" w:themeColor="text1"/>
          <w:kern w:val="0"/>
          <w:szCs w:val="28"/>
          <w:highlight w:val="none"/>
          <w:lang w:val="zh-CN"/>
          <w14:textFill>
            <w14:solidFill>
              <w14:schemeClr w14:val="tx1"/>
            </w14:solidFill>
          </w14:textFill>
        </w:rPr>
      </w:pPr>
      <w:bookmarkStart w:id="725"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725"/>
    </w:p>
    <w:p w14:paraId="1F872346">
      <w:pPr>
        <w:widowControl/>
        <w:autoSpaceDE w:val="0"/>
        <w:autoSpaceDN w:val="0"/>
        <w:adjustRightInd w:val="0"/>
        <w:spacing w:line="400" w:lineRule="exact"/>
        <w:ind w:firstLine="840" w:firstLineChars="400"/>
        <w:jc w:val="left"/>
        <w:outlineLvl w:val="9"/>
        <w:rPr>
          <w:rFonts w:hint="eastAsia" w:ascii="宋体" w:hAnsi="宋体" w:eastAsia="宋体" w:cs="宋体"/>
          <w:color w:val="000000" w:themeColor="text1"/>
          <w:kern w:val="0"/>
          <w:szCs w:val="21"/>
          <w:highlight w:val="none"/>
          <w14:textFill>
            <w14:solidFill>
              <w14:schemeClr w14:val="tx1"/>
            </w14:solidFill>
          </w14:textFill>
        </w:rPr>
      </w:pPr>
      <w:bookmarkStart w:id="726"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726"/>
      <w:r>
        <w:rPr>
          <w:rFonts w:hint="eastAsia" w:ascii="宋体" w:hAnsi="宋体" w:eastAsia="宋体" w:cs="宋体"/>
          <w:color w:val="000000" w:themeColor="text1"/>
          <w:kern w:val="0"/>
          <w:szCs w:val="21"/>
          <w:highlight w:val="none"/>
          <w14:textFill>
            <w14:solidFill>
              <w14:schemeClr w14:val="tx1"/>
            </w14:solidFill>
          </w14:textFill>
        </w:rPr>
        <w:t>。</w:t>
      </w:r>
    </w:p>
    <w:p w14:paraId="3D9B7601">
      <w:pPr>
        <w:autoSpaceDE w:val="0"/>
        <w:autoSpaceDN w:val="0"/>
        <w:adjustRightInd w:val="0"/>
        <w:spacing w:line="360" w:lineRule="auto"/>
        <w:ind w:left="564" w:leftChars="1" w:hanging="562" w:hangingChars="200"/>
        <w:outlineLvl w:val="9"/>
        <w:rPr>
          <w:rFonts w:hint="eastAsia" w:ascii="宋体" w:hAnsi="宋体" w:eastAsia="宋体" w:cs="宋体"/>
          <w:b/>
          <w:bCs/>
          <w:color w:val="000000" w:themeColor="text1"/>
          <w:sz w:val="28"/>
          <w:szCs w:val="28"/>
          <w:highlight w:val="none"/>
          <w14:textFill>
            <w14:solidFill>
              <w14:schemeClr w14:val="tx1"/>
            </w14:solidFill>
          </w14:textFill>
        </w:rPr>
      </w:pPr>
    </w:p>
    <w:p w14:paraId="58436E95">
      <w:pPr>
        <w:autoSpaceDE w:val="0"/>
        <w:autoSpaceDN w:val="0"/>
        <w:adjustRightInd w:val="0"/>
        <w:spacing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bookmarkStart w:id="727"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727"/>
    </w:p>
    <w:p w14:paraId="47934995">
      <w:pPr>
        <w:autoSpaceDE w:val="0"/>
        <w:autoSpaceDN w:val="0"/>
        <w:adjustRightInd w:val="0"/>
        <w:spacing w:line="360" w:lineRule="auto"/>
        <w:ind w:left="420" w:hanging="420" w:hangingChars="20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040D4235">
      <w:pPr>
        <w:autoSpaceDE w:val="0"/>
        <w:autoSpaceDN w:val="0"/>
        <w:adjustRightInd w:val="0"/>
        <w:spacing w:line="360" w:lineRule="auto"/>
        <w:ind w:left="420" w:leftChars="200" w:firstLine="420" w:firstLineChars="200"/>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E889C40">
      <w:pPr>
        <w:widowControl/>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78924F7">
      <w:pPr>
        <w:autoSpaceDE w:val="0"/>
        <w:autoSpaceDN w:val="0"/>
        <w:adjustRightInd w:val="0"/>
        <w:spacing w:line="360" w:lineRule="auto"/>
        <w:ind w:left="185" w:leftChars="88" w:firstLine="3443" w:firstLineChars="1225"/>
        <w:outlineLvl w:val="9"/>
        <w:rPr>
          <w:rFonts w:hint="eastAsia" w:ascii="宋体" w:hAnsi="宋体" w:eastAsia="宋体" w:cs="宋体"/>
          <w:b/>
          <w:bCs/>
          <w:color w:val="000000" w:themeColor="text1"/>
          <w:sz w:val="28"/>
          <w:szCs w:val="28"/>
          <w:highlight w:val="none"/>
          <w:lang w:val="zh-CN"/>
          <w14:textFill>
            <w14:solidFill>
              <w14:schemeClr w14:val="tx1"/>
            </w14:solidFill>
          </w14:textFill>
        </w:rPr>
      </w:pPr>
      <w:bookmarkStart w:id="728"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728"/>
    </w:p>
    <w:p w14:paraId="7E457401">
      <w:pPr>
        <w:autoSpaceDE w:val="0"/>
        <w:autoSpaceDN w:val="0"/>
        <w:adjustRightInd w:val="0"/>
        <w:spacing w:line="360" w:lineRule="auto"/>
        <w:ind w:left="420" w:hanging="420" w:hangingChars="200"/>
        <w:jc w:val="left"/>
        <w:outlineLvl w:val="9"/>
        <w:rPr>
          <w:rFonts w:hint="eastAsia"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14、评标委员会根据评审结果撰写评标报告。评标报告是评标委员会根据全体评标委员会成员签字的原始评审记录和评审结果编写的报告，其主要内容包括：</w:t>
      </w:r>
    </w:p>
    <w:p w14:paraId="700A8B60">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009D9915">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6D51A1FB">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08492DE0">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2B5E341E">
      <w:pPr>
        <w:autoSpaceDE w:val="0"/>
        <w:autoSpaceDN w:val="0"/>
        <w:adjustRightInd w:val="0"/>
        <w:spacing w:line="360" w:lineRule="auto"/>
        <w:jc w:val="left"/>
        <w:outlineLvl w:val="9"/>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2F2B133D">
      <w:pPr>
        <w:autoSpaceDE w:val="0"/>
        <w:autoSpaceDN w:val="0"/>
        <w:adjustRightInd w:val="0"/>
        <w:spacing w:line="360" w:lineRule="auto"/>
        <w:jc w:val="left"/>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3DA6C542">
      <w:pPr>
        <w:autoSpaceDE w:val="0"/>
        <w:autoSpaceDN w:val="0"/>
        <w:adjustRightInd w:val="0"/>
        <w:spacing w:line="360" w:lineRule="auto"/>
        <w:jc w:val="center"/>
        <w:outlineLvl w:val="9"/>
        <w:rPr>
          <w:rFonts w:hint="eastAsia" w:ascii="宋体" w:hAnsi="宋体" w:eastAsia="宋体" w:cs="宋体"/>
          <w:b/>
          <w:bCs/>
          <w:color w:val="000000" w:themeColor="text1"/>
          <w:sz w:val="28"/>
          <w:szCs w:val="28"/>
          <w:highlight w:val="none"/>
          <w:lang w:val="zh-CN"/>
          <w14:textFill>
            <w14:solidFill>
              <w14:schemeClr w14:val="tx1"/>
            </w14:solidFill>
          </w14:textFill>
        </w:rPr>
      </w:pPr>
    </w:p>
    <w:p w14:paraId="1B3F625B">
      <w:pPr>
        <w:autoSpaceDE w:val="0"/>
        <w:autoSpaceDN w:val="0"/>
        <w:adjustRightInd w:val="0"/>
        <w:spacing w:line="360" w:lineRule="auto"/>
        <w:jc w:val="center"/>
        <w:outlineLvl w:val="9"/>
        <w:rPr>
          <w:rFonts w:hint="eastAsia" w:ascii="宋体" w:hAnsi="宋体" w:eastAsia="宋体" w:cs="宋体"/>
          <w:b/>
          <w:bCs/>
          <w:color w:val="000000" w:themeColor="text1"/>
          <w:sz w:val="30"/>
          <w:szCs w:val="30"/>
          <w:highlight w:val="none"/>
          <w:lang w:val="zh-CN"/>
          <w14:textFill>
            <w14:solidFill>
              <w14:schemeClr w14:val="tx1"/>
            </w14:solidFill>
          </w14:textFill>
        </w:rPr>
      </w:pPr>
      <w:bookmarkStart w:id="729"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729"/>
    </w:p>
    <w:p w14:paraId="59EF59A9">
      <w:pPr>
        <w:autoSpaceDE w:val="0"/>
        <w:autoSpaceDN w:val="0"/>
        <w:adjustRightInd w:val="0"/>
        <w:spacing w:line="360" w:lineRule="auto"/>
        <w:ind w:left="420" w:hanging="420" w:hangingChars="200"/>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15、为确保评审工作的顺利进行，防止因泄密或其它意外而造成的不良后果及影响，凡参加评审工作的人员都必须认真执行本规定：</w:t>
      </w:r>
    </w:p>
    <w:p w14:paraId="46B54352">
      <w:pPr>
        <w:autoSpaceDE w:val="0"/>
        <w:autoSpaceDN w:val="0"/>
        <w:adjustRightInd w:val="0"/>
        <w:spacing w:line="360" w:lineRule="auto"/>
        <w:ind w:left="436" w:leftChars="-59" w:hanging="560" w:hangingChars="2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2EF7DB2C">
      <w:pPr>
        <w:autoSpaceDE w:val="0"/>
        <w:autoSpaceDN w:val="0"/>
        <w:adjustRightInd w:val="0"/>
        <w:spacing w:line="360" w:lineRule="auto"/>
        <w:ind w:left="436" w:leftChars="-59" w:hanging="560" w:hangingChars="2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1AA60F1C">
      <w:pPr>
        <w:autoSpaceDE w:val="0"/>
        <w:autoSpaceDN w:val="0"/>
        <w:adjustRightInd w:val="0"/>
        <w:spacing w:line="360" w:lineRule="auto"/>
        <w:ind w:left="436" w:leftChars="-59" w:hanging="560" w:hangingChars="2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53A27ED8">
      <w:pPr>
        <w:autoSpaceDE w:val="0"/>
        <w:autoSpaceDN w:val="0"/>
        <w:adjustRightInd w:val="0"/>
        <w:spacing w:line="360" w:lineRule="auto"/>
        <w:ind w:left="436" w:leftChars="-59" w:hanging="560" w:hangingChars="267"/>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6279A913">
      <w:pPr>
        <w:widowControl/>
        <w:jc w:val="left"/>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bookmarkEnd w:id="683"/>
      <w:bookmarkEnd w:id="705"/>
      <w:bookmarkEnd w:id="706"/>
      <w:bookmarkEnd w:id="707"/>
    </w:p>
    <w:p w14:paraId="3D754D76">
      <w:pPr>
        <w:pStyle w:val="18"/>
        <w:rPr>
          <w:rFonts w:hint="eastAsia" w:ascii="宋体" w:hAnsi="宋体" w:eastAsia="宋体" w:cs="宋体"/>
          <w:color w:val="000000" w:themeColor="text1"/>
          <w:szCs w:val="24"/>
          <w:highlight w:val="none"/>
          <w:lang w:val="zh-CN"/>
          <w14:textFill>
            <w14:solidFill>
              <w14:schemeClr w14:val="tx1"/>
            </w14:solidFill>
          </w14:textFill>
        </w:rPr>
      </w:pPr>
    </w:p>
    <w:p w14:paraId="36835FEA">
      <w:pPr>
        <w:rPr>
          <w:rFonts w:hint="eastAsia" w:ascii="宋体" w:hAnsi="宋体" w:eastAsia="宋体" w:cs="宋体"/>
          <w:b/>
          <w:bCs/>
          <w:color w:val="000000" w:themeColor="text1"/>
          <w:kern w:val="44"/>
          <w:sz w:val="32"/>
          <w:szCs w:val="32"/>
          <w:highlight w:val="none"/>
          <w:lang w:val="zh-CN"/>
          <w14:textFill>
            <w14:solidFill>
              <w14:schemeClr w14:val="tx1"/>
            </w14:solidFill>
          </w14:textFill>
        </w:rPr>
      </w:pPr>
      <w:r>
        <w:rPr>
          <w:rFonts w:hint="eastAsia" w:ascii="宋体" w:hAnsi="宋体" w:eastAsia="宋体" w:cs="宋体"/>
          <w:b/>
          <w:bCs/>
          <w:color w:val="000000" w:themeColor="text1"/>
          <w:kern w:val="44"/>
          <w:sz w:val="32"/>
          <w:szCs w:val="32"/>
          <w:highlight w:val="none"/>
          <w:lang w:val="zh-CN"/>
          <w14:textFill>
            <w14:solidFill>
              <w14:schemeClr w14:val="tx1"/>
            </w14:solidFill>
          </w14:textFill>
        </w:rPr>
        <w:br w:type="page"/>
      </w:r>
    </w:p>
    <w:p w14:paraId="634D50F2">
      <w:pPr>
        <w:tabs>
          <w:tab w:val="left" w:pos="1080"/>
        </w:tabs>
        <w:autoSpaceDE w:val="0"/>
        <w:autoSpaceDN w:val="0"/>
        <w:adjustRightInd w:val="0"/>
        <w:spacing w:line="360" w:lineRule="auto"/>
        <w:jc w:val="left"/>
        <w:outlineLvl w:val="0"/>
        <w:rPr>
          <w:color w:val="000000" w:themeColor="text1"/>
          <w:highlight w:val="none"/>
          <w:lang w:val="zh-CN"/>
          <w14:textFill>
            <w14:solidFill>
              <w14:schemeClr w14:val="tx1"/>
            </w14:solidFill>
          </w14:textFill>
        </w:rPr>
      </w:pPr>
      <w:bookmarkStart w:id="730" w:name="_Toc9597"/>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附件二：光伏组件总平面布置图</w:t>
      </w:r>
      <w:bookmarkEnd w:id="730"/>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8337B6C-5303-43AC-83B6-46172A31E0A6}"/>
  </w:font>
  <w:font w:name="黑体">
    <w:panose1 w:val="02010609060101010101"/>
    <w:charset w:val="86"/>
    <w:family w:val="auto"/>
    <w:pitch w:val="default"/>
    <w:sig w:usb0="800002BF" w:usb1="38CF7CFA" w:usb2="00000016" w:usb3="00000000" w:csb0="00040001" w:csb1="00000000"/>
    <w:embedRegular r:id="rId2" w:fontKey="{C6138EF4-AE67-4300-9BA7-2588867BED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04142421-07CC-4E5C-B809-2CF9C16BECDC}"/>
  </w:font>
  <w:font w:name="仿宋">
    <w:panose1 w:val="02010609060101010101"/>
    <w:charset w:val="86"/>
    <w:family w:val="modern"/>
    <w:pitch w:val="default"/>
    <w:sig w:usb0="800002BF" w:usb1="38CF7CFA" w:usb2="00000016" w:usb3="00000000" w:csb0="00040001" w:csb1="00000000"/>
    <w:embedRegular r:id="rId4" w:fontKey="{BCBF520C-DB90-476C-9D42-2626593994ED}"/>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3356DC0F-5371-4532-B9AC-223EC37B0E9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DBCA">
    <w:pPr>
      <w:pStyle w:val="26"/>
      <w:jc w:val="center"/>
      <w:rPr>
        <w:rFonts w:ascii="宋体" w:hAnsi="宋体" w:eastAsia="宋体" w:cs="Times New Roman"/>
        <w:color w:val="000000"/>
        <w:kern w:val="0"/>
        <w:sz w:val="21"/>
        <w:szCs w:val="22"/>
        <w:lang w:val="en-US" w:eastAsia="en-US" w:bidi="ar-SA"/>
      </w:rP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6B73">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75DD0D8A">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F565">
    <w:pPr>
      <w:pStyle w:val="26"/>
      <w:jc w:val="center"/>
      <w:rPr>
        <w:rFonts w:ascii="宋体" w:hAnsi="宋体" w:eastAsia="宋体" w:cs="Times New Roman"/>
        <w:color w:val="000000"/>
        <w:kern w:val="0"/>
        <w:sz w:val="21"/>
        <w:szCs w:val="22"/>
        <w:lang w:val="en-US" w:eastAsia="en-US" w:bidi="ar-SA"/>
      </w:rP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33B82">
    <w:pPr>
      <w:widowControl w:val="0"/>
      <w:tabs>
        <w:tab w:val="center" w:pos="4153"/>
        <w:tab w:val="right" w:pos="8306"/>
      </w:tabs>
      <w:autoSpaceDE w:val="0"/>
      <w:autoSpaceDN w:val="0"/>
      <w:adjustRightInd w:val="0"/>
      <w:snapToGrid w:val="0"/>
      <w:ind w:firstLine="360"/>
      <w:jc w:val="center"/>
      <w:rPr>
        <w:rFonts w:ascii="宋体" w:hAnsi="等线" w:eastAsia="宋体" w:cs="Times New Roman"/>
        <w:kern w:val="2"/>
        <w:sz w:val="18"/>
        <w:szCs w:val="18"/>
        <w:lang w:val="en-US" w:eastAsia="zh-CN" w:bidi="ar-SA"/>
      </w:rPr>
    </w:pPr>
    <w:r>
      <w:rPr>
        <w:rFonts w:hint="eastAsia" w:ascii="宋体" w:hAnsi="等线" w:eastAsia="宋体" w:cs="Times New Roman"/>
        <w:kern w:val="2"/>
        <w:sz w:val="18"/>
        <w:szCs w:val="18"/>
        <w:lang w:val="en-US" w:eastAsia="zh-CN" w:bidi="ar-SA"/>
      </w:rPr>
      <w:t>第</w:t>
    </w:r>
    <w:r>
      <w:rPr>
        <w:rFonts w:ascii="宋体" w:hAnsi="等线" w:eastAsia="宋体" w:cs="Times New Roman"/>
        <w:bCs/>
        <w:kern w:val="2"/>
        <w:sz w:val="18"/>
        <w:szCs w:val="18"/>
        <w:lang w:val="en-US" w:eastAsia="zh-CN" w:bidi="ar-SA"/>
      </w:rPr>
      <w:fldChar w:fldCharType="begin"/>
    </w:r>
    <w:r>
      <w:rPr>
        <w:rFonts w:ascii="宋体" w:hAnsi="等线" w:eastAsia="宋体" w:cs="Times New Roman"/>
        <w:bCs/>
        <w:kern w:val="2"/>
        <w:sz w:val="18"/>
        <w:szCs w:val="18"/>
        <w:lang w:val="en-US" w:eastAsia="zh-CN" w:bidi="ar-SA"/>
      </w:rPr>
      <w:instrText xml:space="preserve">PAGE</w:instrText>
    </w:r>
    <w:r>
      <w:rPr>
        <w:rFonts w:ascii="宋体" w:hAnsi="等线" w:eastAsia="宋体" w:cs="Times New Roman"/>
        <w:bCs/>
        <w:kern w:val="2"/>
        <w:sz w:val="18"/>
        <w:szCs w:val="18"/>
        <w:lang w:val="en-US" w:eastAsia="zh-CN" w:bidi="ar-SA"/>
      </w:rPr>
      <w:fldChar w:fldCharType="separate"/>
    </w:r>
    <w:r>
      <w:rPr>
        <w:rFonts w:ascii="宋体" w:hAnsi="等线" w:eastAsia="宋体" w:cs="Times New Roman"/>
        <w:bCs/>
        <w:kern w:val="2"/>
        <w:sz w:val="18"/>
        <w:szCs w:val="18"/>
        <w:lang w:val="en-US" w:eastAsia="zh-CN" w:bidi="ar-SA"/>
      </w:rPr>
      <w:t>21</w:t>
    </w:r>
    <w:r>
      <w:rPr>
        <w:rFonts w:ascii="宋体" w:hAnsi="等线" w:eastAsia="宋体" w:cs="Times New Roman"/>
        <w:bCs/>
        <w:kern w:val="2"/>
        <w:sz w:val="18"/>
        <w:szCs w:val="18"/>
        <w:lang w:val="en-US" w:eastAsia="zh-CN" w:bidi="ar-SA"/>
      </w:rPr>
      <w:fldChar w:fldCharType="end"/>
    </w:r>
    <w:r>
      <w:rPr>
        <w:rFonts w:hint="eastAsia" w:ascii="宋体" w:hAnsi="等线" w:eastAsia="宋体" w:cs="Times New Roman"/>
        <w:kern w:val="2"/>
        <w:sz w:val="18"/>
        <w:szCs w:val="18"/>
        <w:lang w:val="zh-CN" w:eastAsia="zh-CN" w:bidi="ar-SA"/>
      </w:rPr>
      <w:t>页 共</w:t>
    </w:r>
    <w:r>
      <w:rPr>
        <w:rFonts w:ascii="宋体" w:hAnsi="等线" w:eastAsia="宋体" w:cs="Times New Roman"/>
        <w:bCs/>
        <w:kern w:val="2"/>
        <w:sz w:val="18"/>
        <w:szCs w:val="18"/>
        <w:lang w:val="en-US" w:eastAsia="zh-CN" w:bidi="ar-SA"/>
      </w:rPr>
      <w:fldChar w:fldCharType="begin"/>
    </w:r>
    <w:r>
      <w:rPr>
        <w:rFonts w:ascii="宋体" w:hAnsi="等线" w:eastAsia="宋体" w:cs="Times New Roman"/>
        <w:bCs/>
        <w:kern w:val="2"/>
        <w:sz w:val="18"/>
        <w:szCs w:val="18"/>
        <w:lang w:val="en-US" w:eastAsia="zh-CN" w:bidi="ar-SA"/>
      </w:rPr>
      <w:instrText xml:space="preserve">NUMPAGES</w:instrText>
    </w:r>
    <w:r>
      <w:rPr>
        <w:rFonts w:ascii="宋体" w:hAnsi="等线" w:eastAsia="宋体" w:cs="Times New Roman"/>
        <w:bCs/>
        <w:kern w:val="2"/>
        <w:sz w:val="18"/>
        <w:szCs w:val="18"/>
        <w:lang w:val="en-US" w:eastAsia="zh-CN" w:bidi="ar-SA"/>
      </w:rPr>
      <w:fldChar w:fldCharType="separate"/>
    </w:r>
    <w:r>
      <w:rPr>
        <w:rFonts w:ascii="宋体" w:hAnsi="等线" w:eastAsia="宋体" w:cs="Times New Roman"/>
        <w:bCs/>
        <w:kern w:val="2"/>
        <w:sz w:val="18"/>
        <w:szCs w:val="18"/>
        <w:lang w:val="en-US" w:eastAsia="zh-CN" w:bidi="ar-SA"/>
      </w:rPr>
      <w:t>138</w:t>
    </w:r>
    <w:r>
      <w:rPr>
        <w:rFonts w:ascii="宋体" w:hAnsi="等线" w:eastAsia="宋体" w:cs="Times New Roman"/>
        <w:bCs/>
        <w:kern w:val="2"/>
        <w:sz w:val="18"/>
        <w:szCs w:val="18"/>
        <w:lang w:val="en-US" w:eastAsia="zh-CN" w:bidi="ar-SA"/>
      </w:rPr>
      <w:fldChar w:fldCharType="end"/>
    </w:r>
    <w:r>
      <w:rPr>
        <w:rFonts w:hint="eastAsia" w:ascii="宋体" w:hAnsi="等线" w:eastAsia="宋体" w:cs="Times New Roman"/>
        <w:bCs/>
        <w:kern w:val="2"/>
        <w:sz w:val="18"/>
        <w:szCs w:val="18"/>
        <w:lang w:val="en-US" w:eastAsia="zh-CN" w:bidi="ar-S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6210">
    <w:pPr>
      <w:widowControl w:val="0"/>
      <w:tabs>
        <w:tab w:val="center" w:pos="4153"/>
        <w:tab w:val="right" w:pos="8306"/>
      </w:tabs>
      <w:autoSpaceDE w:val="0"/>
      <w:autoSpaceDN w:val="0"/>
      <w:adjustRightInd w:val="0"/>
      <w:snapToGrid w:val="0"/>
      <w:ind w:firstLine="360"/>
      <w:jc w:val="left"/>
      <w:rPr>
        <w:rFonts w:ascii="宋体" w:hAnsi="等线"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1A92D">
    <w:pPr>
      <w:widowControl w:val="0"/>
      <w:tabs>
        <w:tab w:val="center" w:pos="4153"/>
        <w:tab w:val="right" w:pos="8306"/>
      </w:tabs>
      <w:autoSpaceDE w:val="0"/>
      <w:autoSpaceDN w:val="0"/>
      <w:adjustRightInd w:val="0"/>
      <w:snapToGrid w:val="0"/>
      <w:ind w:firstLine="360"/>
      <w:jc w:val="center"/>
      <w:rPr>
        <w:rFonts w:ascii="宋体" w:hAnsi="等线" w:eastAsia="宋体" w:cs="Times New Roman"/>
        <w:kern w:val="2"/>
        <w:sz w:val="18"/>
        <w:szCs w:val="18"/>
        <w:lang w:val="en-US" w:eastAsia="zh-CN" w:bidi="ar-SA"/>
      </w:rPr>
    </w:pPr>
    <w:r>
      <w:rPr>
        <w:rFonts w:hint="eastAsia" w:ascii="宋体" w:hAnsi="等线" w:eastAsia="宋体" w:cs="Times New Roman"/>
        <w:kern w:val="2"/>
        <w:sz w:val="18"/>
        <w:szCs w:val="18"/>
        <w:lang w:val="en-US" w:eastAsia="zh-CN" w:bidi="ar-SA"/>
      </w:rPr>
      <w:t>第</w:t>
    </w:r>
    <w:r>
      <w:rPr>
        <w:rFonts w:ascii="宋体" w:hAnsi="等线" w:eastAsia="宋体" w:cs="Times New Roman"/>
        <w:bCs/>
        <w:kern w:val="2"/>
        <w:sz w:val="18"/>
        <w:szCs w:val="18"/>
        <w:lang w:val="en-US" w:eastAsia="zh-CN" w:bidi="ar-SA"/>
      </w:rPr>
      <w:fldChar w:fldCharType="begin"/>
    </w:r>
    <w:r>
      <w:rPr>
        <w:rFonts w:ascii="宋体" w:hAnsi="等线" w:eastAsia="宋体" w:cs="Times New Roman"/>
        <w:bCs/>
        <w:kern w:val="2"/>
        <w:sz w:val="18"/>
        <w:szCs w:val="18"/>
        <w:lang w:val="en-US" w:eastAsia="zh-CN" w:bidi="ar-SA"/>
      </w:rPr>
      <w:instrText xml:space="preserve">PAGE</w:instrText>
    </w:r>
    <w:r>
      <w:rPr>
        <w:rFonts w:ascii="宋体" w:hAnsi="等线" w:eastAsia="宋体" w:cs="Times New Roman"/>
        <w:bCs/>
        <w:kern w:val="2"/>
        <w:sz w:val="18"/>
        <w:szCs w:val="18"/>
        <w:lang w:val="en-US" w:eastAsia="zh-CN" w:bidi="ar-SA"/>
      </w:rPr>
      <w:fldChar w:fldCharType="separate"/>
    </w:r>
    <w:r>
      <w:rPr>
        <w:rFonts w:ascii="宋体" w:hAnsi="等线" w:eastAsia="宋体" w:cs="Times New Roman"/>
        <w:bCs/>
        <w:kern w:val="2"/>
        <w:sz w:val="18"/>
        <w:szCs w:val="18"/>
        <w:lang w:val="en-US" w:eastAsia="zh-CN" w:bidi="ar-SA"/>
      </w:rPr>
      <w:t>1</w:t>
    </w:r>
    <w:r>
      <w:rPr>
        <w:rFonts w:ascii="宋体" w:hAnsi="等线" w:eastAsia="宋体" w:cs="Times New Roman"/>
        <w:bCs/>
        <w:kern w:val="2"/>
        <w:sz w:val="18"/>
        <w:szCs w:val="18"/>
        <w:lang w:val="en-US" w:eastAsia="zh-CN" w:bidi="ar-SA"/>
      </w:rPr>
      <w:fldChar w:fldCharType="end"/>
    </w:r>
    <w:r>
      <w:rPr>
        <w:rFonts w:hint="eastAsia" w:ascii="宋体" w:hAnsi="等线" w:eastAsia="宋体" w:cs="Times New Roman"/>
        <w:kern w:val="2"/>
        <w:sz w:val="18"/>
        <w:szCs w:val="18"/>
        <w:lang w:val="zh-CN" w:eastAsia="zh-CN" w:bidi="ar-SA"/>
      </w:rPr>
      <w:t>页 共</w:t>
    </w:r>
    <w:r>
      <w:rPr>
        <w:rFonts w:ascii="宋体" w:hAnsi="等线" w:eastAsia="宋体" w:cs="Times New Roman"/>
        <w:bCs/>
        <w:kern w:val="2"/>
        <w:sz w:val="18"/>
        <w:szCs w:val="18"/>
        <w:lang w:val="en-US" w:eastAsia="zh-CN" w:bidi="ar-SA"/>
      </w:rPr>
      <w:fldChar w:fldCharType="begin"/>
    </w:r>
    <w:r>
      <w:rPr>
        <w:rFonts w:ascii="宋体" w:hAnsi="等线" w:eastAsia="宋体" w:cs="Times New Roman"/>
        <w:bCs/>
        <w:kern w:val="2"/>
        <w:sz w:val="18"/>
        <w:szCs w:val="18"/>
        <w:lang w:val="en-US" w:eastAsia="zh-CN" w:bidi="ar-SA"/>
      </w:rPr>
      <w:instrText xml:space="preserve">NUMPAGES</w:instrText>
    </w:r>
    <w:r>
      <w:rPr>
        <w:rFonts w:ascii="宋体" w:hAnsi="等线" w:eastAsia="宋体" w:cs="Times New Roman"/>
        <w:bCs/>
        <w:kern w:val="2"/>
        <w:sz w:val="18"/>
        <w:szCs w:val="18"/>
        <w:lang w:val="en-US" w:eastAsia="zh-CN" w:bidi="ar-SA"/>
      </w:rPr>
      <w:fldChar w:fldCharType="separate"/>
    </w:r>
    <w:r>
      <w:rPr>
        <w:rFonts w:ascii="宋体" w:hAnsi="等线" w:eastAsia="宋体" w:cs="Times New Roman"/>
        <w:bCs/>
        <w:kern w:val="2"/>
        <w:sz w:val="18"/>
        <w:szCs w:val="18"/>
        <w:lang w:val="en-US" w:eastAsia="zh-CN" w:bidi="ar-SA"/>
      </w:rPr>
      <w:t>138</w:t>
    </w:r>
    <w:r>
      <w:rPr>
        <w:rFonts w:ascii="宋体" w:hAnsi="等线" w:eastAsia="宋体" w:cs="Times New Roman"/>
        <w:bCs/>
        <w:kern w:val="2"/>
        <w:sz w:val="18"/>
        <w:szCs w:val="18"/>
        <w:lang w:val="en-US" w:eastAsia="zh-CN" w:bidi="ar-SA"/>
      </w:rPr>
      <w:fldChar w:fldCharType="end"/>
    </w:r>
    <w:r>
      <w:rPr>
        <w:rFonts w:hint="eastAsia" w:ascii="宋体" w:hAnsi="等线" w:eastAsia="宋体" w:cs="Times New Roman"/>
        <w:bCs/>
        <w:kern w:val="2"/>
        <w:sz w:val="18"/>
        <w:szCs w:val="18"/>
        <w:lang w:val="en-US" w:eastAsia="zh-CN" w:bidi="ar-SA"/>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D3E16">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3FB11">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3FE0">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F727">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FE4B">
    <w:pPr>
      <w:widowControl/>
      <w:tabs>
        <w:tab w:val="center" w:pos="4680"/>
        <w:tab w:val="right" w:pos="9360"/>
      </w:tabs>
      <w:jc w:val="left"/>
      <w:rPr>
        <w:rFonts w:ascii="宋体" w:hAnsi="宋体" w:eastAsia="宋体" w:cs="Times New Roman"/>
        <w:color w:val="000000"/>
        <w:kern w:val="0"/>
        <w:sz w:val="21"/>
        <w:szCs w:val="22"/>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7C54">
    <w:pPr>
      <w:widowControl w:val="0"/>
      <w:pBdr>
        <w:bottom w:val="single" w:color="auto" w:sz="6" w:space="1"/>
      </w:pBdr>
      <w:tabs>
        <w:tab w:val="center" w:pos="4153"/>
        <w:tab w:val="right" w:pos="8306"/>
      </w:tabs>
      <w:autoSpaceDE w:val="0"/>
      <w:autoSpaceDN w:val="0"/>
      <w:adjustRightInd w:val="0"/>
      <w:snapToGrid w:val="0"/>
      <w:ind w:firstLine="360"/>
      <w:jc w:val="center"/>
      <w:rPr>
        <w:rFonts w:ascii="宋体" w:hAnsi="等线"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8B7B">
    <w:pPr>
      <w:widowControl w:val="0"/>
      <w:pBdr>
        <w:bottom w:val="single" w:color="auto" w:sz="6" w:space="1"/>
      </w:pBdr>
      <w:tabs>
        <w:tab w:val="center" w:pos="4153"/>
        <w:tab w:val="right" w:pos="8306"/>
      </w:tabs>
      <w:autoSpaceDE w:val="0"/>
      <w:autoSpaceDN w:val="0"/>
      <w:adjustRightInd w:val="0"/>
      <w:snapToGrid w:val="0"/>
      <w:ind w:firstLine="360"/>
      <w:jc w:val="center"/>
      <w:rPr>
        <w:rFonts w:ascii="宋体" w:hAnsi="等线"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F9CF3">
    <w:pPr>
      <w:widowControl w:val="0"/>
      <w:pBdr>
        <w:bottom w:val="single" w:color="auto" w:sz="6" w:space="1"/>
      </w:pBdr>
      <w:tabs>
        <w:tab w:val="center" w:pos="4153"/>
        <w:tab w:val="right" w:pos="8306"/>
      </w:tabs>
      <w:autoSpaceDE w:val="0"/>
      <w:autoSpaceDN w:val="0"/>
      <w:adjustRightInd w:val="0"/>
      <w:snapToGrid w:val="0"/>
      <w:ind w:firstLine="360"/>
      <w:jc w:val="center"/>
      <w:rPr>
        <w:rFonts w:ascii="宋体" w:hAnsi="等线"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10D7">
    <w:pPr>
      <w:widowControl w:val="0"/>
      <w:pBdr>
        <w:bottom w:val="single" w:color="auto" w:sz="6" w:space="1"/>
      </w:pBdr>
      <w:tabs>
        <w:tab w:val="center" w:pos="4153"/>
        <w:tab w:val="right" w:pos="8306"/>
      </w:tabs>
      <w:autoSpaceDE w:val="0"/>
      <w:autoSpaceDN w:val="0"/>
      <w:adjustRightInd w:val="0"/>
      <w:snapToGrid w:val="0"/>
      <w:ind w:firstLine="360"/>
      <w:jc w:val="center"/>
      <w:rPr>
        <w:rFonts w:ascii="宋体" w:hAnsi="等线"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60A5">
    <w:pPr>
      <w:widowControl w:val="0"/>
      <w:pBdr>
        <w:bottom w:val="single" w:color="auto" w:sz="6" w:space="1"/>
      </w:pBdr>
      <w:tabs>
        <w:tab w:val="center" w:pos="4153"/>
        <w:tab w:val="right" w:pos="8306"/>
      </w:tabs>
      <w:autoSpaceDE w:val="0"/>
      <w:autoSpaceDN w:val="0"/>
      <w:adjustRightInd w:val="0"/>
      <w:snapToGrid w:val="0"/>
      <w:ind w:firstLine="360"/>
      <w:jc w:val="center"/>
      <w:rPr>
        <w:rFonts w:ascii="宋体" w:hAnsi="等线"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98A0">
    <w:pPr>
      <w:widowControl w:val="0"/>
      <w:pBdr>
        <w:bottom w:val="single" w:color="auto" w:sz="6" w:space="1"/>
      </w:pBdr>
      <w:tabs>
        <w:tab w:val="center" w:pos="4153"/>
        <w:tab w:val="right" w:pos="8306"/>
      </w:tabs>
      <w:autoSpaceDE w:val="0"/>
      <w:autoSpaceDN w:val="0"/>
      <w:adjustRightInd w:val="0"/>
      <w:snapToGrid w:val="0"/>
      <w:ind w:firstLine="360"/>
      <w:jc w:val="center"/>
      <w:rPr>
        <w:rFonts w:ascii="宋体" w:hAnsi="等线"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E87D3"/>
    <w:multiLevelType w:val="singleLevel"/>
    <w:tmpl w:val="92DE87D3"/>
    <w:lvl w:ilvl="0" w:tentative="0">
      <w:start w:val="1"/>
      <w:numFmt w:val="decimal"/>
      <w:suff w:val="space"/>
      <w:lvlText w:val="（%1）"/>
      <w:lvlJc w:val="left"/>
    </w:lvl>
  </w:abstractNum>
  <w:abstractNum w:abstractNumId="1">
    <w:nsid w:val="9B5B7947"/>
    <w:multiLevelType w:val="multilevel"/>
    <w:tmpl w:val="9B5B794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B7BF4C5F"/>
    <w:multiLevelType w:val="singleLevel"/>
    <w:tmpl w:val="B7BF4C5F"/>
    <w:lvl w:ilvl="0" w:tentative="0">
      <w:start w:val="1"/>
      <w:numFmt w:val="decimal"/>
      <w:suff w:val="nothing"/>
      <w:lvlText w:val="（%1）"/>
      <w:lvlJc w:val="left"/>
    </w:lvl>
  </w:abstractNum>
  <w:abstractNum w:abstractNumId="3">
    <w:nsid w:val="B8A6B952"/>
    <w:multiLevelType w:val="multilevel"/>
    <w:tmpl w:val="B8A6B95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BD95094C"/>
    <w:multiLevelType w:val="multilevel"/>
    <w:tmpl w:val="BD95094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C16B2A57"/>
    <w:multiLevelType w:val="singleLevel"/>
    <w:tmpl w:val="C16B2A57"/>
    <w:lvl w:ilvl="0" w:tentative="0">
      <w:start w:val="5"/>
      <w:numFmt w:val="decimal"/>
      <w:suff w:val="nothing"/>
      <w:lvlText w:val="%1、"/>
      <w:lvlJc w:val="left"/>
    </w:lvl>
  </w:abstractNum>
  <w:abstractNum w:abstractNumId="6">
    <w:nsid w:val="DDBFF3E2"/>
    <w:multiLevelType w:val="multilevel"/>
    <w:tmpl w:val="DDBFF3E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
      </w:pPr>
      <w:rPr>
        <w:rFonts w:hint="eastAsia" w:ascii="仿宋_GB2312" w:hAnsi="仿宋_GB2312" w:eastAsia="仿宋_GB2312" w:cs="仿宋_GB2312"/>
        <w:sz w:val="21"/>
        <w:szCs w:val="21"/>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E8686102"/>
    <w:multiLevelType w:val="multilevel"/>
    <w:tmpl w:val="E868610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FE9C5933"/>
    <w:multiLevelType w:val="multilevel"/>
    <w:tmpl w:val="FE9C593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9">
    <w:nsid w:val="00000011"/>
    <w:multiLevelType w:val="multilevel"/>
    <w:tmpl w:val="0000001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2C86B009"/>
    <w:multiLevelType w:val="singleLevel"/>
    <w:tmpl w:val="2C86B009"/>
    <w:lvl w:ilvl="0" w:tentative="0">
      <w:start w:val="1"/>
      <w:numFmt w:val="decimal"/>
      <w:suff w:val="space"/>
      <w:lvlText w:val="（%1）"/>
      <w:lvlJc w:val="left"/>
    </w:lvl>
  </w:abstractNum>
  <w:abstractNum w:abstractNumId="1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2">
    <w:nsid w:val="3B928198"/>
    <w:multiLevelType w:val="multilevel"/>
    <w:tmpl w:val="3B92819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3744C6"/>
    <w:multiLevelType w:val="multilevel"/>
    <w:tmpl w:val="593744C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59ECBB64"/>
    <w:multiLevelType w:val="multilevel"/>
    <w:tmpl w:val="59ECBB6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ECB10CC"/>
    <w:multiLevelType w:val="multilevel"/>
    <w:tmpl w:val="6ECB10C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ascii="仿宋_GB2312" w:hAnsi="仿宋_GB2312" w:eastAsia="仿宋_GB2312" w:cs="仿宋_GB2312"/>
        <w:sz w:val="21"/>
        <w:szCs w:val="21"/>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70A2A3E3"/>
    <w:multiLevelType w:val="multilevel"/>
    <w:tmpl w:val="70A2A3E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7B51782F"/>
    <w:multiLevelType w:val="multilevel"/>
    <w:tmpl w:val="7B51782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
      </w:pPr>
      <w:rPr>
        <w:rFonts w:hint="default" w:ascii="仿宋_GB2312" w:hAnsi="仿宋_GB2312" w:eastAsia="仿宋_GB2312" w:cs="仿宋_GB2312"/>
        <w:sz w:val="21"/>
        <w:szCs w:val="21"/>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3"/>
  </w:num>
  <w:num w:numId="2">
    <w:abstractNumId w:val="9"/>
  </w:num>
  <w:num w:numId="3">
    <w:abstractNumId w:val="14"/>
  </w:num>
  <w:num w:numId="4">
    <w:abstractNumId w:val="18"/>
  </w:num>
  <w:num w:numId="5">
    <w:abstractNumId w:val="15"/>
  </w:num>
  <w:num w:numId="6">
    <w:abstractNumId w:val="1"/>
  </w:num>
  <w:num w:numId="7">
    <w:abstractNumId w:val="8"/>
  </w:num>
  <w:num w:numId="8">
    <w:abstractNumId w:val="4"/>
  </w:num>
  <w:num w:numId="9">
    <w:abstractNumId w:val="12"/>
  </w:num>
  <w:num w:numId="10">
    <w:abstractNumId w:val="3"/>
  </w:num>
  <w:num w:numId="11">
    <w:abstractNumId w:val="17"/>
  </w:num>
  <w:num w:numId="12">
    <w:abstractNumId w:val="6"/>
  </w:num>
  <w:num w:numId="13">
    <w:abstractNumId w:val="16"/>
  </w:num>
  <w:num w:numId="14">
    <w:abstractNumId w:val="7"/>
  </w:num>
  <w:num w:numId="15">
    <w:abstractNumId w:val="0"/>
  </w:num>
  <w:num w:numId="16">
    <w:abstractNumId w:val="2"/>
  </w:num>
  <w:num w:numId="17">
    <w:abstractNumId w:val="10"/>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35352"/>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83631"/>
    <w:rsid w:val="0019682B"/>
    <w:rsid w:val="001A1FCB"/>
    <w:rsid w:val="001B74B3"/>
    <w:rsid w:val="001C2086"/>
    <w:rsid w:val="001C4AC2"/>
    <w:rsid w:val="001C6FAA"/>
    <w:rsid w:val="001C71A4"/>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409"/>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0B6A"/>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04A5"/>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34A"/>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6478"/>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B7B15"/>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3A3A"/>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3CEA"/>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BB1"/>
    <w:rsid w:val="00E44F84"/>
    <w:rsid w:val="00E463C6"/>
    <w:rsid w:val="00E52CAA"/>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D4380"/>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2D3D0B"/>
    <w:rsid w:val="01C23FB0"/>
    <w:rsid w:val="01FA5486"/>
    <w:rsid w:val="02285819"/>
    <w:rsid w:val="029740FD"/>
    <w:rsid w:val="02BB5914"/>
    <w:rsid w:val="02E251DD"/>
    <w:rsid w:val="02E623A1"/>
    <w:rsid w:val="034502D8"/>
    <w:rsid w:val="034D7BD5"/>
    <w:rsid w:val="03AC469E"/>
    <w:rsid w:val="03B845C0"/>
    <w:rsid w:val="03EE606B"/>
    <w:rsid w:val="04295290"/>
    <w:rsid w:val="04400B70"/>
    <w:rsid w:val="04F435C1"/>
    <w:rsid w:val="051848D1"/>
    <w:rsid w:val="05345ADE"/>
    <w:rsid w:val="058F7720"/>
    <w:rsid w:val="05D53BE9"/>
    <w:rsid w:val="05D95753"/>
    <w:rsid w:val="05FE5D43"/>
    <w:rsid w:val="06053772"/>
    <w:rsid w:val="060B2EE3"/>
    <w:rsid w:val="06252ED2"/>
    <w:rsid w:val="065D710A"/>
    <w:rsid w:val="06653A9A"/>
    <w:rsid w:val="067B750F"/>
    <w:rsid w:val="06A75D00"/>
    <w:rsid w:val="0707098D"/>
    <w:rsid w:val="07166B09"/>
    <w:rsid w:val="075F03DB"/>
    <w:rsid w:val="0808754A"/>
    <w:rsid w:val="08316AA1"/>
    <w:rsid w:val="08B618FF"/>
    <w:rsid w:val="0915112E"/>
    <w:rsid w:val="097E0BCB"/>
    <w:rsid w:val="09866D2A"/>
    <w:rsid w:val="09D72E9C"/>
    <w:rsid w:val="0A1854AD"/>
    <w:rsid w:val="0A7C0CE8"/>
    <w:rsid w:val="0AA07F0D"/>
    <w:rsid w:val="0AA23497"/>
    <w:rsid w:val="0AC339B1"/>
    <w:rsid w:val="0AC40FE3"/>
    <w:rsid w:val="0AC86323"/>
    <w:rsid w:val="0AF142C5"/>
    <w:rsid w:val="0AFB13CC"/>
    <w:rsid w:val="0AFE1482"/>
    <w:rsid w:val="0AFE5F8A"/>
    <w:rsid w:val="0B0758A7"/>
    <w:rsid w:val="0B186BFB"/>
    <w:rsid w:val="0B2000D7"/>
    <w:rsid w:val="0B2E4082"/>
    <w:rsid w:val="0B3C51E9"/>
    <w:rsid w:val="0B425FB4"/>
    <w:rsid w:val="0B9710D0"/>
    <w:rsid w:val="0C2A0E82"/>
    <w:rsid w:val="0C364685"/>
    <w:rsid w:val="0C3962D6"/>
    <w:rsid w:val="0C7308D5"/>
    <w:rsid w:val="0C922976"/>
    <w:rsid w:val="0D4C5AE1"/>
    <w:rsid w:val="0D5F353D"/>
    <w:rsid w:val="0E465AA4"/>
    <w:rsid w:val="0E78453C"/>
    <w:rsid w:val="0E7E40C2"/>
    <w:rsid w:val="0EB33AFE"/>
    <w:rsid w:val="0EC83FDA"/>
    <w:rsid w:val="0EEB5214"/>
    <w:rsid w:val="0EF16EC0"/>
    <w:rsid w:val="0EFF53BD"/>
    <w:rsid w:val="0F2240BA"/>
    <w:rsid w:val="0F241091"/>
    <w:rsid w:val="0F3B464F"/>
    <w:rsid w:val="0F4E7F38"/>
    <w:rsid w:val="0F576E62"/>
    <w:rsid w:val="0FEB2CE8"/>
    <w:rsid w:val="0FFF2C60"/>
    <w:rsid w:val="100C6D40"/>
    <w:rsid w:val="10170173"/>
    <w:rsid w:val="106711F7"/>
    <w:rsid w:val="1073716F"/>
    <w:rsid w:val="10BC03C7"/>
    <w:rsid w:val="10D80231"/>
    <w:rsid w:val="111C7A20"/>
    <w:rsid w:val="111D278B"/>
    <w:rsid w:val="11566EF4"/>
    <w:rsid w:val="115847B2"/>
    <w:rsid w:val="115E63DB"/>
    <w:rsid w:val="11A36CBD"/>
    <w:rsid w:val="11A95ADD"/>
    <w:rsid w:val="11B03235"/>
    <w:rsid w:val="11B45FCA"/>
    <w:rsid w:val="11F6741C"/>
    <w:rsid w:val="11F802F9"/>
    <w:rsid w:val="126A1D21"/>
    <w:rsid w:val="12712BCF"/>
    <w:rsid w:val="12904BCE"/>
    <w:rsid w:val="12CC7E55"/>
    <w:rsid w:val="12D327F2"/>
    <w:rsid w:val="130F4A87"/>
    <w:rsid w:val="132E4985"/>
    <w:rsid w:val="13D50C28"/>
    <w:rsid w:val="13D72787"/>
    <w:rsid w:val="1411107D"/>
    <w:rsid w:val="14237C67"/>
    <w:rsid w:val="142528B7"/>
    <w:rsid w:val="1454701A"/>
    <w:rsid w:val="145972DD"/>
    <w:rsid w:val="14AD3BD1"/>
    <w:rsid w:val="15202377"/>
    <w:rsid w:val="15A13C38"/>
    <w:rsid w:val="15AA4F31"/>
    <w:rsid w:val="15D11126"/>
    <w:rsid w:val="15E3700D"/>
    <w:rsid w:val="16B35D3A"/>
    <w:rsid w:val="16B60189"/>
    <w:rsid w:val="16DE7C37"/>
    <w:rsid w:val="170622D7"/>
    <w:rsid w:val="173E4713"/>
    <w:rsid w:val="175864B5"/>
    <w:rsid w:val="175C52C5"/>
    <w:rsid w:val="17627C25"/>
    <w:rsid w:val="183914A7"/>
    <w:rsid w:val="184129D1"/>
    <w:rsid w:val="185F452E"/>
    <w:rsid w:val="185F4F64"/>
    <w:rsid w:val="18631105"/>
    <w:rsid w:val="186F4AA4"/>
    <w:rsid w:val="189309CA"/>
    <w:rsid w:val="18EA3A28"/>
    <w:rsid w:val="19772C2F"/>
    <w:rsid w:val="1994072D"/>
    <w:rsid w:val="19C83DDC"/>
    <w:rsid w:val="1A2E38EF"/>
    <w:rsid w:val="1AD80FFE"/>
    <w:rsid w:val="1AD903AB"/>
    <w:rsid w:val="1AF96EB0"/>
    <w:rsid w:val="1B0661C3"/>
    <w:rsid w:val="1B0940FF"/>
    <w:rsid w:val="1B847D26"/>
    <w:rsid w:val="1B93106C"/>
    <w:rsid w:val="1BAE51D3"/>
    <w:rsid w:val="1BF65603"/>
    <w:rsid w:val="1C7F517D"/>
    <w:rsid w:val="1D1207F7"/>
    <w:rsid w:val="1D237621"/>
    <w:rsid w:val="1D365BAE"/>
    <w:rsid w:val="1D3900FE"/>
    <w:rsid w:val="1D4F1A4B"/>
    <w:rsid w:val="1D762D4C"/>
    <w:rsid w:val="1D823B78"/>
    <w:rsid w:val="1DF753B2"/>
    <w:rsid w:val="1E0A7720"/>
    <w:rsid w:val="1EC27751"/>
    <w:rsid w:val="1EC81F55"/>
    <w:rsid w:val="1F2D03C0"/>
    <w:rsid w:val="1F982288"/>
    <w:rsid w:val="1FD75D28"/>
    <w:rsid w:val="207A1985"/>
    <w:rsid w:val="20820C62"/>
    <w:rsid w:val="21993841"/>
    <w:rsid w:val="21C87148"/>
    <w:rsid w:val="2215292E"/>
    <w:rsid w:val="22691A8A"/>
    <w:rsid w:val="22C62CF4"/>
    <w:rsid w:val="22DB4B16"/>
    <w:rsid w:val="231E5FC9"/>
    <w:rsid w:val="233F256E"/>
    <w:rsid w:val="2393373D"/>
    <w:rsid w:val="23A06120"/>
    <w:rsid w:val="23D700A4"/>
    <w:rsid w:val="24191C47"/>
    <w:rsid w:val="24497247"/>
    <w:rsid w:val="24C2679D"/>
    <w:rsid w:val="24DA2039"/>
    <w:rsid w:val="24DE36B4"/>
    <w:rsid w:val="25050C30"/>
    <w:rsid w:val="25437E9F"/>
    <w:rsid w:val="25583467"/>
    <w:rsid w:val="258C1541"/>
    <w:rsid w:val="25983863"/>
    <w:rsid w:val="25C9789C"/>
    <w:rsid w:val="25DE64EE"/>
    <w:rsid w:val="25FE1963"/>
    <w:rsid w:val="26773095"/>
    <w:rsid w:val="26DD1445"/>
    <w:rsid w:val="2725419A"/>
    <w:rsid w:val="27DD7C53"/>
    <w:rsid w:val="281440CE"/>
    <w:rsid w:val="286E02B3"/>
    <w:rsid w:val="28702875"/>
    <w:rsid w:val="28A10C81"/>
    <w:rsid w:val="28AC24C6"/>
    <w:rsid w:val="28CD7B64"/>
    <w:rsid w:val="28DA73F5"/>
    <w:rsid w:val="28DF7C0F"/>
    <w:rsid w:val="29543F45"/>
    <w:rsid w:val="29AE6B2F"/>
    <w:rsid w:val="2A2D2277"/>
    <w:rsid w:val="2A5A6D09"/>
    <w:rsid w:val="2A5F4146"/>
    <w:rsid w:val="2A9E4307"/>
    <w:rsid w:val="2AB267FC"/>
    <w:rsid w:val="2AB54EB7"/>
    <w:rsid w:val="2AE16896"/>
    <w:rsid w:val="2B16350E"/>
    <w:rsid w:val="2B4775CD"/>
    <w:rsid w:val="2BB1742D"/>
    <w:rsid w:val="2BC16BFF"/>
    <w:rsid w:val="2BFE51FC"/>
    <w:rsid w:val="2C225404"/>
    <w:rsid w:val="2C9D5C03"/>
    <w:rsid w:val="2CB42BC8"/>
    <w:rsid w:val="2CC619F6"/>
    <w:rsid w:val="2CDF446E"/>
    <w:rsid w:val="2CEA0451"/>
    <w:rsid w:val="2CFC2BFE"/>
    <w:rsid w:val="2D030DB2"/>
    <w:rsid w:val="2D8B419E"/>
    <w:rsid w:val="2DB12284"/>
    <w:rsid w:val="2DE57862"/>
    <w:rsid w:val="2E3F3416"/>
    <w:rsid w:val="2E426ABC"/>
    <w:rsid w:val="2F5B3B98"/>
    <w:rsid w:val="2F8A2432"/>
    <w:rsid w:val="2FAD176D"/>
    <w:rsid w:val="30816493"/>
    <w:rsid w:val="30A458A3"/>
    <w:rsid w:val="30B27364"/>
    <w:rsid w:val="30CB0693"/>
    <w:rsid w:val="3103625E"/>
    <w:rsid w:val="31085103"/>
    <w:rsid w:val="312834D6"/>
    <w:rsid w:val="31466E58"/>
    <w:rsid w:val="314D028A"/>
    <w:rsid w:val="316F6573"/>
    <w:rsid w:val="31A3491D"/>
    <w:rsid w:val="31B76FBB"/>
    <w:rsid w:val="31D4120F"/>
    <w:rsid w:val="32427031"/>
    <w:rsid w:val="326669B4"/>
    <w:rsid w:val="330E01ED"/>
    <w:rsid w:val="33174AD7"/>
    <w:rsid w:val="332F7441"/>
    <w:rsid w:val="33CB74FA"/>
    <w:rsid w:val="340071A3"/>
    <w:rsid w:val="341D5818"/>
    <w:rsid w:val="344E5D74"/>
    <w:rsid w:val="34696356"/>
    <w:rsid w:val="34A64D70"/>
    <w:rsid w:val="34DD21A8"/>
    <w:rsid w:val="355530AA"/>
    <w:rsid w:val="357853FC"/>
    <w:rsid w:val="3583311D"/>
    <w:rsid w:val="358B6F41"/>
    <w:rsid w:val="35C56E9A"/>
    <w:rsid w:val="35D81884"/>
    <w:rsid w:val="35EB516A"/>
    <w:rsid w:val="36021E6F"/>
    <w:rsid w:val="36095B8C"/>
    <w:rsid w:val="364631D7"/>
    <w:rsid w:val="368928C2"/>
    <w:rsid w:val="36B572A3"/>
    <w:rsid w:val="36CC29E0"/>
    <w:rsid w:val="374008A0"/>
    <w:rsid w:val="37850378"/>
    <w:rsid w:val="37A708FF"/>
    <w:rsid w:val="38376B21"/>
    <w:rsid w:val="38757D0B"/>
    <w:rsid w:val="387D5A05"/>
    <w:rsid w:val="38EC7F09"/>
    <w:rsid w:val="38F00B77"/>
    <w:rsid w:val="3911245A"/>
    <w:rsid w:val="391B220A"/>
    <w:rsid w:val="394C439E"/>
    <w:rsid w:val="395E3DBA"/>
    <w:rsid w:val="39695BA8"/>
    <w:rsid w:val="39695F53"/>
    <w:rsid w:val="3974509E"/>
    <w:rsid w:val="397D4512"/>
    <w:rsid w:val="39A403EA"/>
    <w:rsid w:val="39AF6BE0"/>
    <w:rsid w:val="3A6F486B"/>
    <w:rsid w:val="3A7C154E"/>
    <w:rsid w:val="3A9A7513"/>
    <w:rsid w:val="3AA240A8"/>
    <w:rsid w:val="3AA461DA"/>
    <w:rsid w:val="3B190695"/>
    <w:rsid w:val="3B1F29B6"/>
    <w:rsid w:val="3B427AEA"/>
    <w:rsid w:val="3B555B68"/>
    <w:rsid w:val="3B7F3DAE"/>
    <w:rsid w:val="3BE0124A"/>
    <w:rsid w:val="3C1455AE"/>
    <w:rsid w:val="3C6E01AF"/>
    <w:rsid w:val="3CAB4BF1"/>
    <w:rsid w:val="3CEA72E5"/>
    <w:rsid w:val="3D520475"/>
    <w:rsid w:val="3D7B4503"/>
    <w:rsid w:val="3DC325B9"/>
    <w:rsid w:val="3DC61E13"/>
    <w:rsid w:val="3EB219E2"/>
    <w:rsid w:val="3EC96492"/>
    <w:rsid w:val="3F5B255F"/>
    <w:rsid w:val="3F673937"/>
    <w:rsid w:val="3F6A244B"/>
    <w:rsid w:val="3FF0302A"/>
    <w:rsid w:val="403F6569"/>
    <w:rsid w:val="40425CF1"/>
    <w:rsid w:val="4047002B"/>
    <w:rsid w:val="40706503"/>
    <w:rsid w:val="40904784"/>
    <w:rsid w:val="40DC5A18"/>
    <w:rsid w:val="40E069B6"/>
    <w:rsid w:val="40E93594"/>
    <w:rsid w:val="4119481B"/>
    <w:rsid w:val="418331C2"/>
    <w:rsid w:val="418C2076"/>
    <w:rsid w:val="41B45089"/>
    <w:rsid w:val="41D0269F"/>
    <w:rsid w:val="41D73B1D"/>
    <w:rsid w:val="42224789"/>
    <w:rsid w:val="423A7D24"/>
    <w:rsid w:val="425F3C2F"/>
    <w:rsid w:val="429016D9"/>
    <w:rsid w:val="42C17267"/>
    <w:rsid w:val="431D0041"/>
    <w:rsid w:val="439B040E"/>
    <w:rsid w:val="43A02AAE"/>
    <w:rsid w:val="43B50E83"/>
    <w:rsid w:val="43C408B1"/>
    <w:rsid w:val="43E57059"/>
    <w:rsid w:val="43EA1DDC"/>
    <w:rsid w:val="43F44D75"/>
    <w:rsid w:val="442E434C"/>
    <w:rsid w:val="445E2B4B"/>
    <w:rsid w:val="449B0822"/>
    <w:rsid w:val="45524172"/>
    <w:rsid w:val="4564123B"/>
    <w:rsid w:val="457E617A"/>
    <w:rsid w:val="458539AC"/>
    <w:rsid w:val="45AF4D6F"/>
    <w:rsid w:val="45C93A73"/>
    <w:rsid w:val="45DE3CAE"/>
    <w:rsid w:val="45E6306C"/>
    <w:rsid w:val="461F4B62"/>
    <w:rsid w:val="465359A4"/>
    <w:rsid w:val="46582022"/>
    <w:rsid w:val="46841704"/>
    <w:rsid w:val="46AB4CDC"/>
    <w:rsid w:val="46BA6B51"/>
    <w:rsid w:val="470C64DA"/>
    <w:rsid w:val="476924FD"/>
    <w:rsid w:val="47A63A41"/>
    <w:rsid w:val="47A860B2"/>
    <w:rsid w:val="47BB6B4C"/>
    <w:rsid w:val="47C02A7A"/>
    <w:rsid w:val="47F46F6C"/>
    <w:rsid w:val="487C260D"/>
    <w:rsid w:val="48AC5876"/>
    <w:rsid w:val="48D40488"/>
    <w:rsid w:val="490832CC"/>
    <w:rsid w:val="49227764"/>
    <w:rsid w:val="498E6BA8"/>
    <w:rsid w:val="49951CE4"/>
    <w:rsid w:val="49A11F60"/>
    <w:rsid w:val="49A42AAA"/>
    <w:rsid w:val="49C23333"/>
    <w:rsid w:val="49E1317B"/>
    <w:rsid w:val="4A024518"/>
    <w:rsid w:val="4AC32028"/>
    <w:rsid w:val="4AE042C4"/>
    <w:rsid w:val="4B010555"/>
    <w:rsid w:val="4B162573"/>
    <w:rsid w:val="4B2F65B2"/>
    <w:rsid w:val="4B695CD1"/>
    <w:rsid w:val="4B945463"/>
    <w:rsid w:val="4BC8467F"/>
    <w:rsid w:val="4C3343DB"/>
    <w:rsid w:val="4C5F55F7"/>
    <w:rsid w:val="4C8A18A8"/>
    <w:rsid w:val="4CAB1C5C"/>
    <w:rsid w:val="4CDD0CC3"/>
    <w:rsid w:val="4CFE53E3"/>
    <w:rsid w:val="4D680AF4"/>
    <w:rsid w:val="4D986E4C"/>
    <w:rsid w:val="4DF542F3"/>
    <w:rsid w:val="4E1F24DC"/>
    <w:rsid w:val="4E312709"/>
    <w:rsid w:val="4E4536DA"/>
    <w:rsid w:val="4E5A7C5E"/>
    <w:rsid w:val="4E892BE4"/>
    <w:rsid w:val="4EC37D11"/>
    <w:rsid w:val="4F0A4599"/>
    <w:rsid w:val="4F235340"/>
    <w:rsid w:val="4F3204D0"/>
    <w:rsid w:val="4F3F3670"/>
    <w:rsid w:val="4F7F690D"/>
    <w:rsid w:val="4FD224BE"/>
    <w:rsid w:val="4FE63648"/>
    <w:rsid w:val="500C57D8"/>
    <w:rsid w:val="50527431"/>
    <w:rsid w:val="50684866"/>
    <w:rsid w:val="51181ECB"/>
    <w:rsid w:val="5199326F"/>
    <w:rsid w:val="51F41765"/>
    <w:rsid w:val="521063FF"/>
    <w:rsid w:val="52866565"/>
    <w:rsid w:val="5311494E"/>
    <w:rsid w:val="532F42FB"/>
    <w:rsid w:val="53513016"/>
    <w:rsid w:val="53537381"/>
    <w:rsid w:val="536C0375"/>
    <w:rsid w:val="537868FE"/>
    <w:rsid w:val="53A32E43"/>
    <w:rsid w:val="53C51418"/>
    <w:rsid w:val="53C56CF7"/>
    <w:rsid w:val="53CF396B"/>
    <w:rsid w:val="53E56494"/>
    <w:rsid w:val="542D0C90"/>
    <w:rsid w:val="54D2624F"/>
    <w:rsid w:val="54F06565"/>
    <w:rsid w:val="557E07F3"/>
    <w:rsid w:val="55B706C3"/>
    <w:rsid w:val="55F83D27"/>
    <w:rsid w:val="56085E8D"/>
    <w:rsid w:val="561A32C6"/>
    <w:rsid w:val="56337C3A"/>
    <w:rsid w:val="568507F1"/>
    <w:rsid w:val="56B37004"/>
    <w:rsid w:val="57676DEE"/>
    <w:rsid w:val="585F15AF"/>
    <w:rsid w:val="588C69A8"/>
    <w:rsid w:val="58E608E9"/>
    <w:rsid w:val="59444F81"/>
    <w:rsid w:val="59633BAD"/>
    <w:rsid w:val="59C16833"/>
    <w:rsid w:val="59FB128F"/>
    <w:rsid w:val="5A1F445D"/>
    <w:rsid w:val="5A2F390A"/>
    <w:rsid w:val="5A320287"/>
    <w:rsid w:val="5A6510BF"/>
    <w:rsid w:val="5A6E45B7"/>
    <w:rsid w:val="5AAC0B4D"/>
    <w:rsid w:val="5AB10EDB"/>
    <w:rsid w:val="5B7D4169"/>
    <w:rsid w:val="5BA6708B"/>
    <w:rsid w:val="5BE12FA3"/>
    <w:rsid w:val="5C4642A0"/>
    <w:rsid w:val="5C473861"/>
    <w:rsid w:val="5C4D6613"/>
    <w:rsid w:val="5C9127DF"/>
    <w:rsid w:val="5C983922"/>
    <w:rsid w:val="5CB96087"/>
    <w:rsid w:val="5CF145E0"/>
    <w:rsid w:val="5D6D4FFA"/>
    <w:rsid w:val="5D746389"/>
    <w:rsid w:val="5D8866EC"/>
    <w:rsid w:val="5D911EF3"/>
    <w:rsid w:val="5D960F25"/>
    <w:rsid w:val="5DBB0F23"/>
    <w:rsid w:val="5DBE7604"/>
    <w:rsid w:val="5DC424F9"/>
    <w:rsid w:val="5E06377D"/>
    <w:rsid w:val="5E410A9C"/>
    <w:rsid w:val="5E8A14A9"/>
    <w:rsid w:val="5EBE3A36"/>
    <w:rsid w:val="5EBF421E"/>
    <w:rsid w:val="5ED35FCC"/>
    <w:rsid w:val="5EE252F5"/>
    <w:rsid w:val="5F0D3268"/>
    <w:rsid w:val="5F3B3930"/>
    <w:rsid w:val="5F69452F"/>
    <w:rsid w:val="5FA716AF"/>
    <w:rsid w:val="5FB32A6C"/>
    <w:rsid w:val="60412EE5"/>
    <w:rsid w:val="6048223B"/>
    <w:rsid w:val="60491ED1"/>
    <w:rsid w:val="604F1B60"/>
    <w:rsid w:val="60954F25"/>
    <w:rsid w:val="60AC7B6E"/>
    <w:rsid w:val="610A2B60"/>
    <w:rsid w:val="61296465"/>
    <w:rsid w:val="61502148"/>
    <w:rsid w:val="6151032E"/>
    <w:rsid w:val="6179021C"/>
    <w:rsid w:val="61A84CA6"/>
    <w:rsid w:val="61D218D0"/>
    <w:rsid w:val="61FE1535"/>
    <w:rsid w:val="62126170"/>
    <w:rsid w:val="622A02B9"/>
    <w:rsid w:val="623772E1"/>
    <w:rsid w:val="62514EEA"/>
    <w:rsid w:val="62787C7C"/>
    <w:rsid w:val="62834068"/>
    <w:rsid w:val="62B13874"/>
    <w:rsid w:val="63033BE2"/>
    <w:rsid w:val="633B43C6"/>
    <w:rsid w:val="63495BC1"/>
    <w:rsid w:val="635A43D2"/>
    <w:rsid w:val="63604CB9"/>
    <w:rsid w:val="63672753"/>
    <w:rsid w:val="63877558"/>
    <w:rsid w:val="63AD43A2"/>
    <w:rsid w:val="63B13F4A"/>
    <w:rsid w:val="63D22ED1"/>
    <w:rsid w:val="63D556A7"/>
    <w:rsid w:val="63F93FEA"/>
    <w:rsid w:val="640B3833"/>
    <w:rsid w:val="642103BE"/>
    <w:rsid w:val="64373C6C"/>
    <w:rsid w:val="64383555"/>
    <w:rsid w:val="64941E70"/>
    <w:rsid w:val="649760A1"/>
    <w:rsid w:val="651E7AED"/>
    <w:rsid w:val="6534499B"/>
    <w:rsid w:val="6558008C"/>
    <w:rsid w:val="656E6A84"/>
    <w:rsid w:val="65E62E7A"/>
    <w:rsid w:val="66012B56"/>
    <w:rsid w:val="66B660E5"/>
    <w:rsid w:val="66BC5FE0"/>
    <w:rsid w:val="66EC70A6"/>
    <w:rsid w:val="66EC7F6C"/>
    <w:rsid w:val="67267E81"/>
    <w:rsid w:val="672755CB"/>
    <w:rsid w:val="6780592A"/>
    <w:rsid w:val="67853F16"/>
    <w:rsid w:val="678C4828"/>
    <w:rsid w:val="67BB5990"/>
    <w:rsid w:val="67E63762"/>
    <w:rsid w:val="67E86F50"/>
    <w:rsid w:val="67F772A2"/>
    <w:rsid w:val="68375550"/>
    <w:rsid w:val="68816859"/>
    <w:rsid w:val="68AF0FDE"/>
    <w:rsid w:val="68D92A13"/>
    <w:rsid w:val="69335C12"/>
    <w:rsid w:val="6939281C"/>
    <w:rsid w:val="695D1917"/>
    <w:rsid w:val="69A379BA"/>
    <w:rsid w:val="69D15266"/>
    <w:rsid w:val="69F452BC"/>
    <w:rsid w:val="69FF4345"/>
    <w:rsid w:val="6A18009C"/>
    <w:rsid w:val="6A6E2E9F"/>
    <w:rsid w:val="6A9E5F94"/>
    <w:rsid w:val="6AAD178D"/>
    <w:rsid w:val="6AC55619"/>
    <w:rsid w:val="6B0E7DE3"/>
    <w:rsid w:val="6B403CD1"/>
    <w:rsid w:val="6B92134D"/>
    <w:rsid w:val="6BC8149F"/>
    <w:rsid w:val="6C14448C"/>
    <w:rsid w:val="6C733A62"/>
    <w:rsid w:val="6CB1422C"/>
    <w:rsid w:val="6CC649E7"/>
    <w:rsid w:val="6CCE32C8"/>
    <w:rsid w:val="6CF66DDB"/>
    <w:rsid w:val="6D002A16"/>
    <w:rsid w:val="6D5F59E8"/>
    <w:rsid w:val="6D691925"/>
    <w:rsid w:val="6D997ADE"/>
    <w:rsid w:val="6DDA5CDD"/>
    <w:rsid w:val="6E7968DA"/>
    <w:rsid w:val="6E7D1914"/>
    <w:rsid w:val="6EA41295"/>
    <w:rsid w:val="6EAD0474"/>
    <w:rsid w:val="6EC47CD5"/>
    <w:rsid w:val="6ED60908"/>
    <w:rsid w:val="6F1739BB"/>
    <w:rsid w:val="6F235519"/>
    <w:rsid w:val="6F2375E4"/>
    <w:rsid w:val="6F5D4BA9"/>
    <w:rsid w:val="6F5F71DE"/>
    <w:rsid w:val="6FA83BCE"/>
    <w:rsid w:val="6FE0358B"/>
    <w:rsid w:val="6FEB1FF9"/>
    <w:rsid w:val="6FFC108C"/>
    <w:rsid w:val="705F040F"/>
    <w:rsid w:val="712B6906"/>
    <w:rsid w:val="713B7101"/>
    <w:rsid w:val="71870F1D"/>
    <w:rsid w:val="71B31706"/>
    <w:rsid w:val="71BC7EA6"/>
    <w:rsid w:val="71D46429"/>
    <w:rsid w:val="71EA4DBB"/>
    <w:rsid w:val="71F4319C"/>
    <w:rsid w:val="72150592"/>
    <w:rsid w:val="72187574"/>
    <w:rsid w:val="726841CC"/>
    <w:rsid w:val="726C1A04"/>
    <w:rsid w:val="72DC3AFD"/>
    <w:rsid w:val="733703B0"/>
    <w:rsid w:val="73EC697D"/>
    <w:rsid w:val="747D152D"/>
    <w:rsid w:val="748934F1"/>
    <w:rsid w:val="74F170CA"/>
    <w:rsid w:val="74F35D48"/>
    <w:rsid w:val="751030A1"/>
    <w:rsid w:val="751D3132"/>
    <w:rsid w:val="75332D22"/>
    <w:rsid w:val="75923E46"/>
    <w:rsid w:val="75E72B90"/>
    <w:rsid w:val="75E91DC0"/>
    <w:rsid w:val="75F57C88"/>
    <w:rsid w:val="76215C31"/>
    <w:rsid w:val="76EE0228"/>
    <w:rsid w:val="76EE5395"/>
    <w:rsid w:val="77281627"/>
    <w:rsid w:val="77565E4C"/>
    <w:rsid w:val="77B10B6D"/>
    <w:rsid w:val="77D575CC"/>
    <w:rsid w:val="78074CD6"/>
    <w:rsid w:val="78393FFF"/>
    <w:rsid w:val="787664F8"/>
    <w:rsid w:val="78A21DCD"/>
    <w:rsid w:val="78F544AF"/>
    <w:rsid w:val="790D22C6"/>
    <w:rsid w:val="79310BE4"/>
    <w:rsid w:val="793A132F"/>
    <w:rsid w:val="79490272"/>
    <w:rsid w:val="79E95A6B"/>
    <w:rsid w:val="79FF63D9"/>
    <w:rsid w:val="7A3E6F9D"/>
    <w:rsid w:val="7AC06311"/>
    <w:rsid w:val="7AFB0B85"/>
    <w:rsid w:val="7B2B4663"/>
    <w:rsid w:val="7B782FF1"/>
    <w:rsid w:val="7C7E5665"/>
    <w:rsid w:val="7C9D516E"/>
    <w:rsid w:val="7CAD1B30"/>
    <w:rsid w:val="7CAE13CC"/>
    <w:rsid w:val="7CCD44B8"/>
    <w:rsid w:val="7CCE1B33"/>
    <w:rsid w:val="7CFE4B72"/>
    <w:rsid w:val="7D061935"/>
    <w:rsid w:val="7D25315D"/>
    <w:rsid w:val="7D31333E"/>
    <w:rsid w:val="7D412215"/>
    <w:rsid w:val="7D53050C"/>
    <w:rsid w:val="7D630A43"/>
    <w:rsid w:val="7D6457E7"/>
    <w:rsid w:val="7DAE012D"/>
    <w:rsid w:val="7DBC01D8"/>
    <w:rsid w:val="7DE658FD"/>
    <w:rsid w:val="7E5815CA"/>
    <w:rsid w:val="7EE850C8"/>
    <w:rsid w:val="7F507397"/>
    <w:rsid w:val="7FE3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unhideWhenUsed/>
    <w:qFormat/>
    <w:uiPriority w:val="99"/>
    <w:pPr>
      <w:jc w:val="left"/>
    </w:pPr>
  </w:style>
  <w:style w:type="paragraph" w:styleId="17">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8"/>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next w:val="1"/>
    <w:link w:val="92"/>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100"/>
    <w:qFormat/>
    <w:uiPriority w:val="0"/>
    <w:rPr>
      <w:rFonts w:ascii="宋体" w:hAnsi="Courier New" w:eastAsia="宋体"/>
    </w:rPr>
  </w:style>
  <w:style w:type="paragraph" w:styleId="23">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qFormat/>
    <w:uiPriority w:val="0"/>
    <w:rPr>
      <w:rFonts w:ascii="Times New Roman" w:hAnsi="Times New Roman" w:eastAsia="宋体" w:cs="Times New Roman"/>
      <w:sz w:val="18"/>
      <w:szCs w:val="18"/>
    </w:rPr>
  </w:style>
  <w:style w:type="paragraph" w:styleId="26">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semiHidden/>
    <w:unhideWhenUsed/>
    <w:qFormat/>
    <w:uiPriority w:val="39"/>
    <w:pPr>
      <w:ind w:left="420" w:leftChars="200"/>
    </w:pPr>
  </w:style>
  <w:style w:type="paragraph" w:styleId="32">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10"/>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样式 宋体 行距: 1.5 倍行距"/>
    <w:basedOn w:val="1"/>
    <w:qFormat/>
    <w:uiPriority w:val="0"/>
    <w:pPr>
      <w:jc w:val="center"/>
    </w:pPr>
    <w:rPr>
      <w:rFonts w:ascii="Times New Roman"/>
      <w:b/>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39"/>
    <w:qFormat/>
    <w:uiPriority w:val="0"/>
    <w:rPr>
      <w:b/>
      <w:bCs/>
      <w:kern w:val="44"/>
      <w:sz w:val="44"/>
      <w:szCs w:val="44"/>
    </w:rPr>
  </w:style>
  <w:style w:type="character" w:customStyle="1" w:styleId="48">
    <w:name w:val="标题 2 字符"/>
    <w:basedOn w:val="39"/>
    <w:link w:val="3"/>
    <w:qFormat/>
    <w:uiPriority w:val="0"/>
    <w:rPr>
      <w:rFonts w:ascii="宋体" w:hAnsi="Calibri" w:eastAsia="宋体" w:cs="Times New Roman"/>
      <w:kern w:val="0"/>
      <w:sz w:val="24"/>
      <w:szCs w:val="24"/>
    </w:rPr>
  </w:style>
  <w:style w:type="character" w:customStyle="1" w:styleId="49">
    <w:name w:val="标题 3 字符"/>
    <w:basedOn w:val="39"/>
    <w:qFormat/>
    <w:uiPriority w:val="0"/>
    <w:rPr>
      <w:b/>
      <w:bCs/>
      <w:sz w:val="32"/>
      <w:szCs w:val="32"/>
    </w:rPr>
  </w:style>
  <w:style w:type="character" w:customStyle="1" w:styleId="50">
    <w:name w:val="标题 4 字符"/>
    <w:basedOn w:val="39"/>
    <w:link w:val="5"/>
    <w:qFormat/>
    <w:uiPriority w:val="9"/>
    <w:rPr>
      <w:rFonts w:ascii="Arial" w:hAnsi="Arial" w:eastAsia="黑体" w:cs="Times New Roman"/>
      <w:b/>
      <w:bCs/>
      <w:kern w:val="0"/>
      <w:sz w:val="28"/>
      <w:szCs w:val="28"/>
    </w:rPr>
  </w:style>
  <w:style w:type="character" w:customStyle="1" w:styleId="51">
    <w:name w:val="标题 5 字符"/>
    <w:basedOn w:val="39"/>
    <w:qFormat/>
    <w:uiPriority w:val="9"/>
    <w:rPr>
      <w:b/>
      <w:bCs/>
      <w:sz w:val="28"/>
      <w:szCs w:val="28"/>
    </w:rPr>
  </w:style>
  <w:style w:type="character" w:customStyle="1" w:styleId="52">
    <w:name w:val="标题 6 字符"/>
    <w:basedOn w:val="39"/>
    <w:qFormat/>
    <w:uiPriority w:val="0"/>
    <w:rPr>
      <w:rFonts w:asciiTheme="majorHAnsi" w:hAnsiTheme="majorHAnsi" w:eastAsiaTheme="majorEastAsia" w:cstheme="majorBidi"/>
      <w:b/>
      <w:bCs/>
      <w:sz w:val="24"/>
      <w:szCs w:val="24"/>
    </w:rPr>
  </w:style>
  <w:style w:type="character" w:customStyle="1" w:styleId="53">
    <w:name w:val="标题 7 字符"/>
    <w:basedOn w:val="39"/>
    <w:link w:val="9"/>
    <w:qFormat/>
    <w:uiPriority w:val="9"/>
    <w:rPr>
      <w:rFonts w:ascii="Times New Roman" w:hAnsi="Calibri" w:eastAsia="黑体" w:cs="Times New Roman"/>
      <w:b/>
      <w:bCs/>
      <w:kern w:val="0"/>
      <w:sz w:val="28"/>
      <w:szCs w:val="24"/>
    </w:rPr>
  </w:style>
  <w:style w:type="character" w:customStyle="1" w:styleId="54">
    <w:name w:val="标题 8 字符"/>
    <w:basedOn w:val="39"/>
    <w:link w:val="10"/>
    <w:qFormat/>
    <w:uiPriority w:val="9"/>
    <w:rPr>
      <w:rFonts w:ascii="Times New Roman" w:hAnsi="Calibri" w:eastAsia="黑体" w:cs="Times New Roman"/>
      <w:b/>
      <w:kern w:val="0"/>
      <w:sz w:val="28"/>
      <w:szCs w:val="24"/>
    </w:rPr>
  </w:style>
  <w:style w:type="character" w:customStyle="1" w:styleId="55">
    <w:name w:val="标题 9 字符"/>
    <w:basedOn w:val="39"/>
    <w:link w:val="11"/>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字符1"/>
    <w:link w:val="35"/>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next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字符"/>
    <w:link w:val="25"/>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字符"/>
    <w:link w:val="26"/>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字符1"/>
    <w:link w:val="13"/>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字符"/>
    <w:link w:val="33"/>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4"/>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字符1"/>
    <w:link w:val="20"/>
    <w:qFormat/>
    <w:uiPriority w:val="0"/>
    <w:rPr>
      <w:rFonts w:ascii="Times New Roman" w:hAnsi="Times New Roman" w:eastAsia="宋体" w:cs="Times New Roman"/>
      <w:szCs w:val="20"/>
    </w:rPr>
  </w:style>
  <w:style w:type="character" w:customStyle="1" w:styleId="93">
    <w:name w:val="普通(网站) 字符2"/>
    <w:link w:val="34"/>
    <w:qFormat/>
    <w:locked/>
    <w:uiPriority w:val="0"/>
    <w:rPr>
      <w:rFonts w:ascii="宋体" w:hAnsi="宋体"/>
      <w:sz w:val="15"/>
      <w:szCs w:val="15"/>
    </w:rPr>
  </w:style>
  <w:style w:type="character" w:customStyle="1" w:styleId="94">
    <w:name w:val="模板正文 Char"/>
    <w:link w:val="8"/>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字符2"/>
    <w:link w:val="22"/>
    <w:qFormat/>
    <w:uiPriority w:val="0"/>
    <w:rPr>
      <w:rFonts w:ascii="宋体" w:hAnsi="Courier New" w:eastAsia="宋体"/>
    </w:rPr>
  </w:style>
  <w:style w:type="character" w:customStyle="1" w:styleId="101">
    <w:name w:val="正文文本缩进 2 字符"/>
    <w:link w:val="24"/>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字符"/>
    <w:link w:val="23"/>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字符"/>
    <w:link w:val="36"/>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字符"/>
    <w:link w:val="14"/>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字符2"/>
    <w:link w:val="18"/>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字符"/>
    <w:link w:val="27"/>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表段落 字符"/>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字符1"/>
    <w:link w:val="6"/>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字符1"/>
    <w:link w:val="7"/>
    <w:qFormat/>
    <w:uiPriority w:val="9"/>
    <w:rPr>
      <w:rFonts w:ascii="Times New Roman" w:hAnsi="Calibri" w:eastAsia="黑体" w:cs="Times New Roman"/>
      <w:b/>
      <w:bCs/>
      <w:kern w:val="0"/>
      <w:sz w:val="28"/>
      <w:szCs w:val="24"/>
    </w:rPr>
  </w:style>
  <w:style w:type="character" w:customStyle="1" w:styleId="143">
    <w:name w:val="正文文本 2 字符"/>
    <w:link w:val="32"/>
    <w:qFormat/>
    <w:uiPriority w:val="0"/>
    <w:rPr>
      <w:rFonts w:ascii="Arial" w:hAnsi="Arial" w:eastAsia="宋体" w:cs="Times New Roman"/>
      <w:color w:val="000000"/>
      <w:szCs w:val="24"/>
    </w:rPr>
  </w:style>
  <w:style w:type="character" w:customStyle="1" w:styleId="144">
    <w:name w:val="标题 3 字符1"/>
    <w:link w:val="4"/>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字符1"/>
    <w:link w:val="2"/>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字符"/>
    <w:link w:val="30"/>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字符"/>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字符4"/>
    <w:basedOn w:val="39"/>
    <w:link w:val="16"/>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39"/>
    <w:qFormat/>
    <w:uiPriority w:val="10"/>
    <w:rPr>
      <w:rFonts w:asciiTheme="majorHAnsi" w:hAnsiTheme="majorHAnsi" w:eastAsiaTheme="majorEastAsia" w:cstheme="majorBidi"/>
      <w:b/>
      <w:bCs/>
      <w:sz w:val="32"/>
      <w:szCs w:val="32"/>
    </w:rPr>
  </w:style>
  <w:style w:type="character" w:customStyle="1" w:styleId="166">
    <w:name w:val="正文文本缩进 字符3"/>
    <w:basedOn w:val="39"/>
    <w:semiHidden/>
    <w:qFormat/>
    <w:uiPriority w:val="99"/>
  </w:style>
  <w:style w:type="character" w:customStyle="1" w:styleId="167">
    <w:name w:val="正文文本 字符4"/>
    <w:basedOn w:val="39"/>
    <w:semiHidden/>
    <w:qFormat/>
    <w:uiPriority w:val="99"/>
  </w:style>
  <w:style w:type="character" w:customStyle="1" w:styleId="168">
    <w:name w:val="正文文本缩进 3 字符2"/>
    <w:basedOn w:val="39"/>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semiHidden/>
    <w:qFormat/>
    <w:uiPriority w:val="99"/>
    <w:rPr>
      <w:sz w:val="16"/>
      <w:szCs w:val="16"/>
    </w:rPr>
  </w:style>
  <w:style w:type="character" w:customStyle="1" w:styleId="175">
    <w:name w:val="正文文本 2 字符2"/>
    <w:basedOn w:val="39"/>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semiHidden/>
    <w:qFormat/>
    <w:uiPriority w:val="99"/>
    <w:rPr>
      <w:rFonts w:ascii="Microsoft YaHei UI" w:eastAsia="Microsoft YaHei UI"/>
      <w:sz w:val="18"/>
      <w:szCs w:val="18"/>
    </w:rPr>
  </w:style>
  <w:style w:type="character" w:customStyle="1" w:styleId="179">
    <w:name w:val="日期 字符2"/>
    <w:basedOn w:val="39"/>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文本首行缩进 字符"/>
    <w:basedOn w:val="118"/>
    <w:link w:val="19"/>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样式4"/>
    <w:basedOn w:val="1"/>
    <w:qFormat/>
    <w:uiPriority w:val="0"/>
    <w:pPr>
      <w:tabs>
        <w:tab w:val="left" w:pos="851"/>
        <w:tab w:val="left" w:pos="1984"/>
      </w:tabs>
      <w:autoSpaceDE/>
      <w:autoSpaceDN/>
      <w:adjustRightInd/>
      <w:ind w:left="851" w:hanging="851"/>
      <w:jc w:val="both"/>
    </w:pPr>
    <w:rPr>
      <w:rFonts w:ascii="Times New Roman"/>
      <w:kern w:val="2"/>
      <w:sz w:val="21"/>
    </w:rPr>
  </w:style>
  <w:style w:type="character" w:customStyle="1" w:styleId="204">
    <w:name w:val="15"/>
    <w:basedOn w:val="39"/>
    <w:qFormat/>
    <w:uiPriority w:val="0"/>
    <w:rPr>
      <w:rFonts w:hint="default" w:ascii="Calibri" w:hAnsi="Calibri" w:cs="Calibri"/>
      <w:color w:val="000000"/>
    </w:rPr>
  </w:style>
  <w:style w:type="character" w:customStyle="1" w:styleId="205">
    <w:name w:val="10"/>
    <w:basedOn w:val="39"/>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oleObject" Target="embeddings/oleObject2.bin"/><Relationship Id="rId22" Type="http://schemas.openxmlformats.org/officeDocument/2006/relationships/image" Target="media/image1.w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73380</Words>
  <Characters>77185</Characters>
  <Lines>1</Lines>
  <Paragraphs>1</Paragraphs>
  <TotalTime>17</TotalTime>
  <ScaleCrop>false</ScaleCrop>
  <LinksUpToDate>false</LinksUpToDate>
  <CharactersWithSpaces>79733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潘嘉威</cp:lastModifiedBy>
  <cp:lastPrinted>2024-09-25T09:43:00Z</cp:lastPrinted>
  <dcterms:modified xsi:type="dcterms:W3CDTF">2024-09-26T07:42:52Z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FBC48DEC268C45438CC5CA00EAED1745</vt:lpwstr>
  </property>
</Properties>
</file>