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DF4C19">
      <w:pPr>
        <w:autoSpaceDE w:val="0"/>
        <w:autoSpaceDN w:val="0"/>
        <w:adjustRightInd w:val="0"/>
        <w:spacing w:line="276" w:lineRule="auto"/>
        <w:ind w:left="357" w:leftChars="170" w:right="-23" w:rightChars="-11"/>
        <w:jc w:val="center"/>
        <w:rPr>
          <w:rFonts w:ascii="宋体" w:hAnsi="宋体" w:eastAsia="宋体" w:cs="宋体"/>
          <w:b/>
          <w:bCs/>
          <w:color w:val="auto"/>
          <w:kern w:val="0"/>
          <w:sz w:val="52"/>
          <w:szCs w:val="52"/>
          <w:highlight w:val="none"/>
          <w:lang w:val="zh-CN"/>
        </w:rPr>
      </w:pPr>
    </w:p>
    <w:p w14:paraId="6471A422">
      <w:pPr>
        <w:autoSpaceDE w:val="0"/>
        <w:autoSpaceDN w:val="0"/>
        <w:adjustRightInd w:val="0"/>
        <w:spacing w:line="276" w:lineRule="auto"/>
        <w:ind w:left="357" w:leftChars="170" w:right="-23" w:rightChars="-11"/>
        <w:jc w:val="center"/>
        <w:rPr>
          <w:rFonts w:ascii="宋体" w:hAnsi="宋体" w:eastAsia="宋体" w:cs="宋体"/>
          <w:b/>
          <w:bCs/>
          <w:color w:val="auto"/>
          <w:kern w:val="0"/>
          <w:sz w:val="60"/>
          <w:szCs w:val="60"/>
          <w:highlight w:val="none"/>
          <w:lang w:val="zh-CN"/>
        </w:rPr>
      </w:pPr>
      <w:r>
        <w:rPr>
          <w:rFonts w:hint="eastAsia" w:ascii="宋体" w:hAnsi="宋体" w:eastAsia="宋体" w:cs="宋体"/>
          <w:b/>
          <w:bCs/>
          <w:color w:val="auto"/>
          <w:kern w:val="0"/>
          <w:sz w:val="60"/>
          <w:szCs w:val="60"/>
          <w:highlight w:val="none"/>
          <w:lang w:val="zh-CN"/>
        </w:rPr>
        <w:t>东莞市樟村水质净化厂污泥处理处置服务项目（2025-2026年）</w:t>
      </w:r>
    </w:p>
    <w:p w14:paraId="31AD21EB">
      <w:pPr>
        <w:autoSpaceDE w:val="0"/>
        <w:autoSpaceDN w:val="0"/>
        <w:adjustRightInd w:val="0"/>
        <w:spacing w:line="276" w:lineRule="auto"/>
        <w:ind w:left="357" w:leftChars="170" w:right="-23" w:rightChars="-11"/>
        <w:jc w:val="center"/>
        <w:rPr>
          <w:rFonts w:ascii="宋体" w:hAnsi="宋体" w:eastAsia="宋体" w:cs="宋体"/>
          <w:b/>
          <w:bCs/>
          <w:color w:val="auto"/>
          <w:kern w:val="0"/>
          <w:sz w:val="44"/>
          <w:szCs w:val="44"/>
          <w:highlight w:val="none"/>
          <w:lang w:val="zh-CN"/>
        </w:rPr>
      </w:pPr>
    </w:p>
    <w:p w14:paraId="53AA4B74">
      <w:pPr>
        <w:autoSpaceDE w:val="0"/>
        <w:autoSpaceDN w:val="0"/>
        <w:adjustRightInd w:val="0"/>
        <w:ind w:right="-23" w:rightChars="-11"/>
        <w:jc w:val="left"/>
        <w:rPr>
          <w:rFonts w:ascii="宋体" w:hAnsi="宋体" w:eastAsia="宋体" w:cs="宋体"/>
          <w:b/>
          <w:bCs/>
          <w:color w:val="auto"/>
          <w:sz w:val="44"/>
          <w:szCs w:val="44"/>
          <w:highlight w:val="none"/>
          <w:lang w:val="zh-CN"/>
        </w:rPr>
      </w:pPr>
    </w:p>
    <w:p w14:paraId="757C256D">
      <w:pPr>
        <w:autoSpaceDE w:val="0"/>
        <w:autoSpaceDN w:val="0"/>
        <w:adjustRightInd w:val="0"/>
        <w:ind w:right="-23" w:rightChars="-11"/>
        <w:jc w:val="center"/>
        <w:rPr>
          <w:rFonts w:ascii="宋体" w:hAnsi="宋体" w:eastAsia="宋体" w:cs="Times New Roman"/>
          <w:b/>
          <w:bCs/>
          <w:color w:val="auto"/>
          <w:sz w:val="72"/>
          <w:szCs w:val="72"/>
          <w:highlight w:val="none"/>
          <w:lang w:val="zh-CN"/>
        </w:rPr>
      </w:pPr>
    </w:p>
    <w:p w14:paraId="6F813EC2">
      <w:pPr>
        <w:autoSpaceDE w:val="0"/>
        <w:autoSpaceDN w:val="0"/>
        <w:adjustRightInd w:val="0"/>
        <w:ind w:right="-23" w:rightChars="-11"/>
        <w:jc w:val="center"/>
        <w:rPr>
          <w:rFonts w:ascii="宋体" w:hAnsi="宋体" w:eastAsia="宋体" w:cs="Times New Roman"/>
          <w:b/>
          <w:bCs/>
          <w:color w:val="auto"/>
          <w:sz w:val="72"/>
          <w:szCs w:val="72"/>
          <w:highlight w:val="none"/>
          <w:lang w:val="zh-CN"/>
        </w:rPr>
      </w:pPr>
      <w:r>
        <w:rPr>
          <w:rFonts w:hint="eastAsia" w:ascii="宋体" w:hAnsi="宋体" w:eastAsia="宋体" w:cs="Times New Roman"/>
          <w:b/>
          <w:bCs/>
          <w:color w:val="auto"/>
          <w:sz w:val="72"/>
          <w:szCs w:val="72"/>
          <w:highlight w:val="none"/>
          <w:lang w:val="zh-CN"/>
        </w:rPr>
        <w:t>招</w:t>
      </w:r>
      <w:r>
        <w:rPr>
          <w:rFonts w:hint="eastAsia" w:ascii="宋体" w:hAnsi="宋体" w:eastAsia="宋体" w:cs="Times New Roman"/>
          <w:b/>
          <w:bCs/>
          <w:color w:val="auto"/>
          <w:sz w:val="72"/>
          <w:szCs w:val="72"/>
          <w:highlight w:val="none"/>
        </w:rPr>
        <w:t xml:space="preserve"> </w:t>
      </w:r>
      <w:r>
        <w:rPr>
          <w:rFonts w:hint="eastAsia" w:ascii="宋体" w:hAnsi="宋体" w:eastAsia="宋体" w:cs="Times New Roman"/>
          <w:b/>
          <w:bCs/>
          <w:color w:val="auto"/>
          <w:sz w:val="72"/>
          <w:szCs w:val="72"/>
          <w:highlight w:val="none"/>
          <w:lang w:val="zh-CN"/>
        </w:rPr>
        <w:t>标</w:t>
      </w:r>
      <w:r>
        <w:rPr>
          <w:rFonts w:hint="eastAsia" w:ascii="宋体" w:hAnsi="宋体" w:eastAsia="宋体" w:cs="Times New Roman"/>
          <w:b/>
          <w:bCs/>
          <w:color w:val="auto"/>
          <w:sz w:val="72"/>
          <w:szCs w:val="72"/>
          <w:highlight w:val="none"/>
        </w:rPr>
        <w:t xml:space="preserve"> </w:t>
      </w:r>
      <w:r>
        <w:rPr>
          <w:rFonts w:hint="eastAsia" w:ascii="宋体" w:hAnsi="宋体" w:eastAsia="宋体" w:cs="Times New Roman"/>
          <w:b/>
          <w:bCs/>
          <w:color w:val="auto"/>
          <w:sz w:val="72"/>
          <w:szCs w:val="72"/>
          <w:highlight w:val="none"/>
          <w:lang w:val="zh-CN"/>
        </w:rPr>
        <w:t>文</w:t>
      </w:r>
      <w:r>
        <w:rPr>
          <w:rFonts w:hint="eastAsia" w:ascii="宋体" w:hAnsi="宋体" w:eastAsia="宋体" w:cs="Times New Roman"/>
          <w:b/>
          <w:bCs/>
          <w:color w:val="auto"/>
          <w:sz w:val="72"/>
          <w:szCs w:val="72"/>
          <w:highlight w:val="none"/>
        </w:rPr>
        <w:t xml:space="preserve"> </w:t>
      </w:r>
      <w:r>
        <w:rPr>
          <w:rFonts w:hint="eastAsia" w:ascii="宋体" w:hAnsi="宋体" w:eastAsia="宋体" w:cs="Times New Roman"/>
          <w:b/>
          <w:bCs/>
          <w:color w:val="auto"/>
          <w:sz w:val="72"/>
          <w:szCs w:val="72"/>
          <w:highlight w:val="none"/>
          <w:lang w:val="zh-CN"/>
        </w:rPr>
        <w:t>件</w:t>
      </w:r>
    </w:p>
    <w:p w14:paraId="109BE1F4">
      <w:pPr>
        <w:autoSpaceDE w:val="0"/>
        <w:autoSpaceDN w:val="0"/>
        <w:adjustRightInd w:val="0"/>
        <w:ind w:right="-23" w:rightChars="-11"/>
        <w:jc w:val="center"/>
        <w:rPr>
          <w:rFonts w:ascii="宋体" w:hAnsi="宋体" w:eastAsia="宋体" w:cs="宋体"/>
          <w:b/>
          <w:bCs/>
          <w:color w:val="auto"/>
          <w:sz w:val="32"/>
          <w:szCs w:val="32"/>
          <w:highlight w:val="none"/>
          <w:lang w:val="zh-CN"/>
        </w:rPr>
      </w:pPr>
      <w:bookmarkStart w:id="1226" w:name="_GoBack"/>
      <w:bookmarkEnd w:id="1226"/>
    </w:p>
    <w:p w14:paraId="49136419">
      <w:pPr>
        <w:autoSpaceDE w:val="0"/>
        <w:autoSpaceDN w:val="0"/>
        <w:adjustRightInd w:val="0"/>
        <w:ind w:right="-23" w:rightChars="-11"/>
        <w:jc w:val="center"/>
        <w:rPr>
          <w:rFonts w:ascii="宋体" w:hAnsi="宋体" w:eastAsia="宋体" w:cs="宋体"/>
          <w:b/>
          <w:bCs/>
          <w:color w:val="auto"/>
          <w:sz w:val="44"/>
          <w:szCs w:val="44"/>
          <w:highlight w:val="none"/>
          <w:lang w:val="zh-CN"/>
        </w:rPr>
      </w:pPr>
    </w:p>
    <w:p w14:paraId="600F23D3">
      <w:pPr>
        <w:autoSpaceDE w:val="0"/>
        <w:autoSpaceDN w:val="0"/>
        <w:adjustRightInd w:val="0"/>
        <w:ind w:right="-23" w:rightChars="-11"/>
        <w:jc w:val="left"/>
        <w:rPr>
          <w:rFonts w:ascii="宋体" w:hAnsi="宋体" w:eastAsia="宋体" w:cs="宋体"/>
          <w:b/>
          <w:bCs/>
          <w:color w:val="auto"/>
          <w:sz w:val="32"/>
          <w:szCs w:val="32"/>
          <w:highlight w:val="none"/>
          <w:u w:val="single"/>
          <w:lang w:val="zh-CN"/>
        </w:rPr>
      </w:pPr>
    </w:p>
    <w:p w14:paraId="47321E4C">
      <w:pPr>
        <w:tabs>
          <w:tab w:val="left" w:pos="9240"/>
        </w:tabs>
        <w:autoSpaceDE w:val="0"/>
        <w:autoSpaceDN w:val="0"/>
        <w:adjustRightInd w:val="0"/>
        <w:spacing w:line="700" w:lineRule="exact"/>
        <w:ind w:right="-23" w:rightChars="-11"/>
        <w:jc w:val="left"/>
        <w:rPr>
          <w:rFonts w:ascii="宋体" w:hAnsi="宋体" w:eastAsia="宋体" w:cs="宋体"/>
          <w:b/>
          <w:bCs/>
          <w:color w:val="auto"/>
          <w:sz w:val="32"/>
          <w:szCs w:val="32"/>
          <w:highlight w:val="none"/>
          <w:lang w:val="zh-CN"/>
        </w:rPr>
      </w:pPr>
    </w:p>
    <w:p w14:paraId="720B7388">
      <w:pPr>
        <w:autoSpaceDE w:val="0"/>
        <w:autoSpaceDN w:val="0"/>
        <w:adjustRightInd w:val="0"/>
        <w:spacing w:line="480" w:lineRule="auto"/>
        <w:ind w:left="1842" w:leftChars="877" w:firstLine="19" w:firstLineChars="6"/>
        <w:jc w:val="left"/>
        <w:rPr>
          <w:rFonts w:ascii="宋体" w:hAnsi="宋体" w:eastAsia="宋体" w:cs="Times New Roman"/>
          <w:b/>
          <w:bCs/>
          <w:color w:val="auto"/>
          <w:sz w:val="32"/>
          <w:szCs w:val="32"/>
          <w:highlight w:val="none"/>
          <w:lang w:val="zh-CN"/>
        </w:rPr>
      </w:pPr>
      <w:r>
        <w:rPr>
          <w:rFonts w:hint="eastAsia" w:ascii="宋体" w:hAnsi="宋体" w:eastAsia="宋体" w:cs="Times New Roman"/>
          <w:b/>
          <w:bCs/>
          <w:color w:val="auto"/>
          <w:sz w:val="32"/>
          <w:szCs w:val="32"/>
          <w:highlight w:val="none"/>
          <w:lang w:val="zh-CN"/>
        </w:rPr>
        <w:t>招</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标</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编</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号：DGDS2025-013</w:t>
      </w:r>
    </w:p>
    <w:p w14:paraId="21BB3A2A">
      <w:pPr>
        <w:autoSpaceDE w:val="0"/>
        <w:autoSpaceDN w:val="0"/>
        <w:adjustRightInd w:val="0"/>
        <w:spacing w:line="480" w:lineRule="auto"/>
        <w:ind w:left="1842" w:leftChars="877" w:firstLine="19" w:firstLineChars="6"/>
        <w:jc w:val="left"/>
        <w:rPr>
          <w:rFonts w:ascii="宋体" w:hAnsi="宋体" w:eastAsia="宋体" w:cs="Times New Roman"/>
          <w:b/>
          <w:bCs/>
          <w:color w:val="auto"/>
          <w:sz w:val="32"/>
          <w:szCs w:val="32"/>
          <w:highlight w:val="none"/>
          <w:lang w:val="zh-CN"/>
        </w:rPr>
      </w:pPr>
      <w:r>
        <w:rPr>
          <w:rFonts w:hint="eastAsia" w:ascii="宋体" w:hAnsi="宋体" w:eastAsia="宋体" w:cs="Times New Roman"/>
          <w:b/>
          <w:bCs/>
          <w:color w:val="auto"/>
          <w:sz w:val="32"/>
          <w:szCs w:val="32"/>
          <w:highlight w:val="none"/>
          <w:lang w:val="zh-CN"/>
        </w:rPr>
        <w:t>招</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标</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人：东莞市</w:t>
      </w:r>
      <w:r>
        <w:rPr>
          <w:rFonts w:hint="eastAsia" w:ascii="宋体" w:hAnsi="宋体" w:eastAsia="宋体" w:cs="Times New Roman"/>
          <w:b/>
          <w:bCs/>
          <w:color w:val="auto"/>
          <w:sz w:val="32"/>
          <w:szCs w:val="32"/>
          <w:highlight w:val="none"/>
          <w:lang w:val="en-US" w:eastAsia="zh-CN"/>
        </w:rPr>
        <w:t>樟村水质净水</w:t>
      </w:r>
      <w:r>
        <w:rPr>
          <w:rFonts w:hint="eastAsia" w:ascii="宋体" w:hAnsi="宋体" w:eastAsia="宋体" w:cs="Times New Roman"/>
          <w:b/>
          <w:bCs/>
          <w:color w:val="auto"/>
          <w:sz w:val="32"/>
          <w:szCs w:val="32"/>
          <w:highlight w:val="none"/>
          <w:lang w:val="zh-CN"/>
        </w:rPr>
        <w:t>有限公司</w:t>
      </w:r>
    </w:p>
    <w:p w14:paraId="443E08ED">
      <w:pPr>
        <w:autoSpaceDE w:val="0"/>
        <w:autoSpaceDN w:val="0"/>
        <w:adjustRightInd w:val="0"/>
        <w:spacing w:line="480" w:lineRule="auto"/>
        <w:ind w:left="1842" w:leftChars="877" w:firstLine="19" w:firstLineChars="6"/>
        <w:jc w:val="left"/>
        <w:rPr>
          <w:rFonts w:ascii="宋体" w:hAnsi="宋体" w:eastAsia="宋体" w:cs="Times New Roman"/>
          <w:b/>
          <w:bCs/>
          <w:color w:val="auto"/>
          <w:sz w:val="32"/>
          <w:szCs w:val="32"/>
          <w:highlight w:val="none"/>
          <w:lang w:val="zh-CN"/>
        </w:rPr>
      </w:pPr>
      <w:r>
        <w:rPr>
          <w:rFonts w:hint="eastAsia" w:ascii="宋体" w:hAnsi="宋体" w:eastAsia="宋体" w:cs="Times New Roman"/>
          <w:b/>
          <w:bCs/>
          <w:color w:val="auto"/>
          <w:sz w:val="32"/>
          <w:szCs w:val="32"/>
          <w:highlight w:val="none"/>
          <w:lang w:val="zh-CN"/>
        </w:rPr>
        <w:t>招标代理机构：东莞市达盛招标代理有限公司</w:t>
      </w:r>
    </w:p>
    <w:p w14:paraId="3FE64802">
      <w:pPr>
        <w:autoSpaceDE w:val="0"/>
        <w:autoSpaceDN w:val="0"/>
        <w:adjustRightInd w:val="0"/>
        <w:ind w:right="-23" w:rightChars="-11"/>
        <w:jc w:val="left"/>
        <w:rPr>
          <w:rFonts w:ascii="宋体" w:hAnsi="宋体" w:eastAsia="宋体" w:cs="Times New Roman"/>
          <w:b/>
          <w:bCs/>
          <w:color w:val="auto"/>
          <w:kern w:val="0"/>
          <w:sz w:val="32"/>
          <w:szCs w:val="32"/>
          <w:highlight w:val="none"/>
          <w:lang w:val="zh-CN"/>
        </w:rPr>
      </w:pPr>
    </w:p>
    <w:p w14:paraId="33BBB876">
      <w:pPr>
        <w:autoSpaceDE w:val="0"/>
        <w:autoSpaceDN w:val="0"/>
        <w:adjustRightInd w:val="0"/>
        <w:ind w:right="-23" w:rightChars="-11"/>
        <w:jc w:val="center"/>
        <w:rPr>
          <w:rFonts w:ascii="宋体" w:hAnsi="宋体" w:eastAsia="宋体" w:cs="Times New Roman"/>
          <w:b/>
          <w:bCs/>
          <w:color w:val="auto"/>
          <w:kern w:val="0"/>
          <w:sz w:val="84"/>
          <w:szCs w:val="84"/>
          <w:highlight w:val="none"/>
          <w:lang w:val="zh-CN"/>
        </w:rPr>
      </w:pPr>
    </w:p>
    <w:p w14:paraId="18F65A33">
      <w:pPr>
        <w:autoSpaceDE w:val="0"/>
        <w:autoSpaceDN w:val="0"/>
        <w:adjustRightInd w:val="0"/>
        <w:spacing w:line="360" w:lineRule="auto"/>
        <w:ind w:left="357" w:leftChars="170" w:right="-23" w:rightChars="-11" w:firstLine="321" w:firstLineChars="100"/>
        <w:jc w:val="center"/>
        <w:rPr>
          <w:rFonts w:ascii="宋体" w:hAnsi="宋体" w:eastAsia="宋体" w:cs="宋体"/>
          <w:b/>
          <w:bCs/>
          <w:color w:val="auto"/>
          <w:kern w:val="0"/>
          <w:sz w:val="52"/>
          <w:szCs w:val="52"/>
          <w:highlight w:val="none"/>
        </w:rPr>
      </w:pPr>
      <w:r>
        <w:rPr>
          <w:rFonts w:hint="eastAsia" w:ascii="宋体" w:hAnsi="宋体" w:eastAsia="宋体" w:cs="宋体"/>
          <w:b/>
          <w:bCs/>
          <w:color w:val="auto"/>
          <w:sz w:val="32"/>
          <w:szCs w:val="32"/>
          <w:highlight w:val="none"/>
          <w:lang w:val="en-US" w:eastAsia="zh-CN"/>
        </w:rPr>
        <w:t xml:space="preserve">2025 </w:t>
      </w:r>
      <w:r>
        <w:rPr>
          <w:rFonts w:hint="eastAsia" w:ascii="宋体" w:hAnsi="宋体" w:eastAsia="宋体" w:cs="宋体"/>
          <w:b/>
          <w:bCs/>
          <w:color w:val="auto"/>
          <w:sz w:val="32"/>
          <w:szCs w:val="32"/>
          <w:highlight w:val="none"/>
          <w:lang w:val="zh-CN"/>
        </w:rPr>
        <w:t>年</w:t>
      </w:r>
      <w:r>
        <w:rPr>
          <w:rFonts w:hint="eastAsia" w:ascii="宋体" w:hAnsi="宋体" w:eastAsia="宋体" w:cs="宋体"/>
          <w:b/>
          <w:bCs/>
          <w:color w:val="auto"/>
          <w:sz w:val="32"/>
          <w:szCs w:val="32"/>
          <w:highlight w:val="none"/>
          <w:lang w:val="en-US" w:eastAsia="zh-CN"/>
        </w:rPr>
        <w:t xml:space="preserve"> 4 </w:t>
      </w:r>
      <w:r>
        <w:rPr>
          <w:rFonts w:hint="eastAsia" w:ascii="宋体" w:hAnsi="宋体" w:eastAsia="宋体" w:cs="宋体"/>
          <w:b/>
          <w:bCs/>
          <w:color w:val="auto"/>
          <w:sz w:val="32"/>
          <w:szCs w:val="32"/>
          <w:highlight w:val="none"/>
          <w:lang w:val="zh-CN"/>
        </w:rPr>
        <w:t>月</w:t>
      </w:r>
      <w:r>
        <w:rPr>
          <w:rFonts w:hint="eastAsia" w:ascii="宋体" w:hAnsi="宋体" w:eastAsia="宋体" w:cs="宋体"/>
          <w:b/>
          <w:bCs/>
          <w:color w:val="auto"/>
          <w:sz w:val="32"/>
          <w:szCs w:val="32"/>
          <w:highlight w:val="none"/>
          <w:lang w:val="en-US" w:eastAsia="zh-CN"/>
        </w:rPr>
        <w:t xml:space="preserve"> 9 </w:t>
      </w:r>
      <w:r>
        <w:rPr>
          <w:rFonts w:hint="eastAsia" w:ascii="宋体" w:hAnsi="宋体" w:eastAsia="宋体" w:cs="宋体"/>
          <w:b/>
          <w:bCs/>
          <w:color w:val="auto"/>
          <w:sz w:val="32"/>
          <w:szCs w:val="32"/>
          <w:highlight w:val="none"/>
          <w:lang w:val="zh-CN"/>
        </w:rPr>
        <w:t>日</w:t>
      </w:r>
    </w:p>
    <w:p w14:paraId="7E179CBC">
      <w:pPr>
        <w:tabs>
          <w:tab w:val="left" w:pos="9923"/>
          <w:tab w:val="left" w:pos="10206"/>
        </w:tabs>
        <w:autoSpaceDE w:val="0"/>
        <w:autoSpaceDN w:val="0"/>
        <w:adjustRightInd w:val="0"/>
        <w:spacing w:line="360" w:lineRule="auto"/>
        <w:jc w:val="center"/>
        <w:rPr>
          <w:rFonts w:ascii="宋体" w:hAnsi="宋体" w:eastAsia="宋体" w:cs="Times New Roman"/>
          <w:b/>
          <w:color w:val="auto"/>
          <w:kern w:val="0"/>
          <w:szCs w:val="21"/>
          <w:highlight w:val="none"/>
        </w:rPr>
      </w:pPr>
      <w:bookmarkStart w:id="0" w:name="_Toc29891_WPSOffice_Type3"/>
      <w:r>
        <w:rPr>
          <w:rFonts w:ascii="宋体" w:hAnsi="宋体" w:eastAsia="宋体" w:cs="Times New Roman"/>
          <w:b/>
          <w:color w:val="auto"/>
          <w:kern w:val="0"/>
          <w:szCs w:val="21"/>
          <w:highlight w:val="none"/>
        </w:rPr>
        <w:br w:type="page"/>
      </w:r>
      <w:r>
        <w:rPr>
          <w:rFonts w:ascii="宋体" w:hAnsi="宋体" w:eastAsia="宋体" w:cs="Times New Roman"/>
          <w:b/>
          <w:color w:val="auto"/>
          <w:kern w:val="0"/>
          <w:sz w:val="24"/>
          <w:szCs w:val="24"/>
          <w:highlight w:val="none"/>
        </w:rPr>
        <w:t>目</w:t>
      </w:r>
      <w:r>
        <w:rPr>
          <w:rFonts w:hint="eastAsia" w:ascii="宋体" w:hAnsi="宋体" w:eastAsia="宋体" w:cs="Times New Roman"/>
          <w:b/>
          <w:color w:val="auto"/>
          <w:kern w:val="0"/>
          <w:sz w:val="24"/>
          <w:szCs w:val="24"/>
          <w:highlight w:val="none"/>
          <w:lang w:val="en-US" w:eastAsia="zh-CN"/>
        </w:rPr>
        <w:t xml:space="preserve">  </w:t>
      </w:r>
      <w:r>
        <w:rPr>
          <w:rFonts w:ascii="宋体" w:hAnsi="宋体" w:eastAsia="宋体" w:cs="Times New Roman"/>
          <w:b/>
          <w:color w:val="auto"/>
          <w:kern w:val="0"/>
          <w:sz w:val="24"/>
          <w:szCs w:val="24"/>
          <w:highlight w:val="none"/>
        </w:rPr>
        <w:t>录</w:t>
      </w:r>
    </w:p>
    <w:p w14:paraId="5856EC9A">
      <w:pPr>
        <w:pStyle w:val="28"/>
        <w:tabs>
          <w:tab w:val="right" w:leader="dot" w:pos="10154"/>
        </w:tabs>
        <w:rPr>
          <w:color w:val="auto"/>
          <w:highlight w:val="none"/>
        </w:rPr>
      </w:pPr>
      <w:r>
        <w:rPr>
          <w:color w:val="auto"/>
          <w:highlight w:val="none"/>
        </w:rPr>
        <w:fldChar w:fldCharType="begin"/>
      </w:r>
      <w:r>
        <w:rPr>
          <w:color w:val="auto"/>
          <w:highlight w:val="none"/>
        </w:rPr>
        <w:instrText xml:space="preserve">TOC \o "1-3" \h \u </w:instrText>
      </w:r>
      <w:r>
        <w:rPr>
          <w:color w:val="auto"/>
          <w:highlight w:val="none"/>
        </w:rPr>
        <w:fldChar w:fldCharType="separate"/>
      </w:r>
      <w:r>
        <w:rPr>
          <w:color w:val="auto"/>
          <w:highlight w:val="none"/>
        </w:rPr>
        <w:fldChar w:fldCharType="begin"/>
      </w:r>
      <w:r>
        <w:rPr>
          <w:color w:val="auto"/>
          <w:highlight w:val="none"/>
        </w:rPr>
        <w:instrText xml:space="preserve"> HYPERLINK \l _Toc7405 </w:instrText>
      </w:r>
      <w:r>
        <w:rPr>
          <w:color w:val="auto"/>
          <w:highlight w:val="none"/>
        </w:rPr>
        <w:fldChar w:fldCharType="separate"/>
      </w:r>
      <w:r>
        <w:rPr>
          <w:rFonts w:ascii="宋体" w:hAnsi="宋体" w:eastAsia="宋体" w:cs="Times New Roman"/>
          <w:bCs/>
          <w:color w:val="auto"/>
          <w:kern w:val="44"/>
          <w:szCs w:val="32"/>
          <w:highlight w:val="none"/>
          <w:lang w:val="zh-CN"/>
        </w:rPr>
        <w:t>第一篇 招标公告</w:t>
      </w:r>
      <w:r>
        <w:rPr>
          <w:color w:val="auto"/>
          <w:highlight w:val="none"/>
        </w:rPr>
        <w:tab/>
      </w:r>
      <w:r>
        <w:rPr>
          <w:color w:val="auto"/>
          <w:highlight w:val="none"/>
        </w:rPr>
        <w:fldChar w:fldCharType="begin"/>
      </w:r>
      <w:r>
        <w:rPr>
          <w:color w:val="auto"/>
          <w:highlight w:val="none"/>
        </w:rPr>
        <w:instrText xml:space="preserve"> PAGEREF _Toc7405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14:paraId="070DE975">
      <w:pPr>
        <w:pStyle w:val="28"/>
        <w:tabs>
          <w:tab w:val="right" w:leader="dot" w:pos="10154"/>
        </w:tabs>
        <w:rPr>
          <w:color w:val="auto"/>
          <w:highlight w:val="none"/>
        </w:rPr>
      </w:pPr>
      <w:r>
        <w:rPr>
          <w:color w:val="auto"/>
          <w:highlight w:val="none"/>
        </w:rPr>
        <w:fldChar w:fldCharType="begin"/>
      </w:r>
      <w:r>
        <w:rPr>
          <w:color w:val="auto"/>
          <w:highlight w:val="none"/>
        </w:rPr>
        <w:instrText xml:space="preserve"> HYPERLINK \l _Toc7000 </w:instrText>
      </w:r>
      <w:r>
        <w:rPr>
          <w:color w:val="auto"/>
          <w:highlight w:val="none"/>
        </w:rPr>
        <w:fldChar w:fldCharType="separate"/>
      </w:r>
      <w:r>
        <w:rPr>
          <w:rFonts w:hint="eastAsia" w:ascii="宋体" w:hAnsi="宋体" w:eastAsia="宋体" w:cs="宋体"/>
          <w:bCs/>
          <w:color w:val="auto"/>
          <w:kern w:val="44"/>
          <w:szCs w:val="32"/>
          <w:highlight w:val="none"/>
          <w:lang w:val="zh-CN"/>
        </w:rPr>
        <w:t>第二篇</w:t>
      </w:r>
      <w:r>
        <w:rPr>
          <w:rFonts w:ascii="宋体" w:hAnsi="宋体" w:eastAsia="宋体" w:cs="宋体"/>
          <w:bCs/>
          <w:color w:val="auto"/>
          <w:kern w:val="44"/>
          <w:szCs w:val="32"/>
          <w:highlight w:val="none"/>
        </w:rPr>
        <w:t xml:space="preserve"> </w:t>
      </w:r>
      <w:r>
        <w:rPr>
          <w:rFonts w:hint="eastAsia" w:ascii="宋体" w:hAnsi="宋体" w:eastAsia="宋体" w:cs="宋体"/>
          <w:bCs/>
          <w:color w:val="auto"/>
          <w:kern w:val="44"/>
          <w:szCs w:val="32"/>
          <w:highlight w:val="none"/>
          <w:lang w:val="zh-CN"/>
        </w:rPr>
        <w:t>投标人须知</w:t>
      </w:r>
      <w:r>
        <w:rPr>
          <w:color w:val="auto"/>
          <w:highlight w:val="none"/>
        </w:rPr>
        <w:tab/>
      </w:r>
      <w:r>
        <w:rPr>
          <w:color w:val="auto"/>
          <w:highlight w:val="none"/>
        </w:rPr>
        <w:fldChar w:fldCharType="begin"/>
      </w:r>
      <w:r>
        <w:rPr>
          <w:color w:val="auto"/>
          <w:highlight w:val="none"/>
        </w:rPr>
        <w:instrText xml:space="preserve"> PAGEREF _Toc7000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7572DD87">
      <w:pPr>
        <w:pStyle w:val="28"/>
        <w:tabs>
          <w:tab w:val="right" w:leader="dot" w:pos="10154"/>
        </w:tabs>
        <w:rPr>
          <w:color w:val="auto"/>
          <w:highlight w:val="none"/>
        </w:rPr>
      </w:pPr>
      <w:r>
        <w:rPr>
          <w:color w:val="auto"/>
          <w:highlight w:val="none"/>
        </w:rPr>
        <w:fldChar w:fldCharType="begin"/>
      </w:r>
      <w:r>
        <w:rPr>
          <w:color w:val="auto"/>
          <w:highlight w:val="none"/>
        </w:rPr>
        <w:instrText xml:space="preserve"> HYPERLINK \l _Toc30245 </w:instrText>
      </w:r>
      <w:r>
        <w:rPr>
          <w:color w:val="auto"/>
          <w:highlight w:val="none"/>
        </w:rPr>
        <w:fldChar w:fldCharType="separate"/>
      </w:r>
      <w:r>
        <w:rPr>
          <w:rFonts w:hint="eastAsia" w:ascii="宋体" w:hAnsi="宋体" w:eastAsia="宋体" w:cs="宋体"/>
          <w:bCs/>
          <w:color w:val="auto"/>
          <w:kern w:val="44"/>
          <w:szCs w:val="21"/>
          <w:highlight w:val="none"/>
          <w:lang w:val="zh-CN"/>
        </w:rPr>
        <w:t>一、总则</w:t>
      </w:r>
      <w:r>
        <w:rPr>
          <w:color w:val="auto"/>
          <w:highlight w:val="none"/>
        </w:rPr>
        <w:tab/>
      </w:r>
      <w:r>
        <w:rPr>
          <w:color w:val="auto"/>
          <w:highlight w:val="none"/>
        </w:rPr>
        <w:fldChar w:fldCharType="begin"/>
      </w:r>
      <w:r>
        <w:rPr>
          <w:color w:val="auto"/>
          <w:highlight w:val="none"/>
        </w:rPr>
        <w:instrText xml:space="preserve"> PAGEREF _Toc30245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4A4B905C">
      <w:pPr>
        <w:pStyle w:val="21"/>
        <w:tabs>
          <w:tab w:val="right" w:leader="dot" w:pos="10154"/>
          <w:tab w:val="clear" w:pos="10144"/>
        </w:tabs>
        <w:rPr>
          <w:color w:val="auto"/>
          <w:highlight w:val="none"/>
        </w:rPr>
      </w:pPr>
      <w:r>
        <w:rPr>
          <w:color w:val="auto"/>
          <w:highlight w:val="none"/>
        </w:rPr>
        <w:fldChar w:fldCharType="begin"/>
      </w:r>
      <w:r>
        <w:rPr>
          <w:color w:val="auto"/>
          <w:highlight w:val="none"/>
        </w:rPr>
        <w:instrText xml:space="preserve"> HYPERLINK \l _Toc20421 </w:instrText>
      </w:r>
      <w:r>
        <w:rPr>
          <w:color w:val="auto"/>
          <w:highlight w:val="none"/>
        </w:rPr>
        <w:fldChar w:fldCharType="separate"/>
      </w:r>
      <w:r>
        <w:rPr>
          <w:rFonts w:hint="eastAsia" w:ascii="宋体" w:hAnsi="宋体" w:eastAsia="宋体" w:cs="宋体"/>
          <w:color w:val="auto"/>
          <w:szCs w:val="21"/>
          <w:highlight w:val="none"/>
          <w:lang w:val="zh-CN"/>
        </w:rPr>
        <w:t>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资金来源：企业自筹资金。</w:t>
      </w:r>
      <w:r>
        <w:rPr>
          <w:color w:val="auto"/>
          <w:highlight w:val="none"/>
        </w:rPr>
        <w:tab/>
      </w:r>
      <w:r>
        <w:rPr>
          <w:color w:val="auto"/>
          <w:highlight w:val="none"/>
        </w:rPr>
        <w:fldChar w:fldCharType="begin"/>
      </w:r>
      <w:r>
        <w:rPr>
          <w:color w:val="auto"/>
          <w:highlight w:val="none"/>
        </w:rPr>
        <w:instrText xml:space="preserve"> PAGEREF _Toc20421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1B5E79A1">
      <w:pPr>
        <w:pStyle w:val="21"/>
        <w:tabs>
          <w:tab w:val="right" w:leader="dot" w:pos="10154"/>
          <w:tab w:val="clear" w:pos="10144"/>
        </w:tabs>
        <w:rPr>
          <w:color w:val="auto"/>
          <w:highlight w:val="none"/>
        </w:rPr>
      </w:pPr>
      <w:r>
        <w:rPr>
          <w:color w:val="auto"/>
          <w:highlight w:val="none"/>
        </w:rPr>
        <w:fldChar w:fldCharType="begin"/>
      </w:r>
      <w:r>
        <w:rPr>
          <w:color w:val="auto"/>
          <w:highlight w:val="none"/>
        </w:rPr>
        <w:instrText xml:space="preserve"> HYPERLINK \l _Toc60 </w:instrText>
      </w:r>
      <w:r>
        <w:rPr>
          <w:color w:val="auto"/>
          <w:highlight w:val="none"/>
        </w:rPr>
        <w:fldChar w:fldCharType="separate"/>
      </w:r>
      <w:r>
        <w:rPr>
          <w:rFonts w:hint="eastAsia" w:ascii="宋体" w:hAnsi="宋体" w:eastAsia="宋体" w:cs="宋体"/>
          <w:color w:val="auto"/>
          <w:szCs w:val="21"/>
          <w:highlight w:val="none"/>
          <w:lang w:val="zh-CN"/>
        </w:rPr>
        <w:t>2</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合格的投标人</w:t>
      </w:r>
      <w:r>
        <w:rPr>
          <w:color w:val="auto"/>
          <w:highlight w:val="none"/>
        </w:rPr>
        <w:tab/>
      </w:r>
      <w:r>
        <w:rPr>
          <w:color w:val="auto"/>
          <w:highlight w:val="none"/>
        </w:rPr>
        <w:fldChar w:fldCharType="begin"/>
      </w:r>
      <w:r>
        <w:rPr>
          <w:color w:val="auto"/>
          <w:highlight w:val="none"/>
        </w:rPr>
        <w:instrText xml:space="preserve"> PAGEREF _Toc60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5354DBC1">
      <w:pPr>
        <w:pStyle w:val="21"/>
        <w:tabs>
          <w:tab w:val="right" w:leader="dot" w:pos="10154"/>
          <w:tab w:val="clear" w:pos="10144"/>
        </w:tabs>
        <w:rPr>
          <w:color w:val="auto"/>
          <w:highlight w:val="none"/>
        </w:rPr>
      </w:pPr>
      <w:r>
        <w:rPr>
          <w:color w:val="auto"/>
          <w:highlight w:val="none"/>
        </w:rPr>
        <w:fldChar w:fldCharType="begin"/>
      </w:r>
      <w:r>
        <w:rPr>
          <w:color w:val="auto"/>
          <w:highlight w:val="none"/>
        </w:rPr>
        <w:instrText xml:space="preserve"> HYPERLINK \l _Toc1152 </w:instrText>
      </w:r>
      <w:r>
        <w:rPr>
          <w:color w:val="auto"/>
          <w:highlight w:val="none"/>
        </w:rPr>
        <w:fldChar w:fldCharType="separate"/>
      </w:r>
      <w:r>
        <w:rPr>
          <w:rFonts w:hint="eastAsia" w:ascii="宋体" w:hAnsi="宋体" w:eastAsia="宋体" w:cs="宋体"/>
          <w:color w:val="auto"/>
          <w:szCs w:val="21"/>
          <w:highlight w:val="none"/>
          <w:lang w:val="zh-CN"/>
        </w:rPr>
        <w:t>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合格的</w:t>
      </w:r>
      <w:r>
        <w:rPr>
          <w:rFonts w:hint="eastAsia" w:ascii="宋体" w:hAnsi="宋体" w:eastAsia="宋体" w:cs="宋体"/>
          <w:color w:val="auto"/>
          <w:szCs w:val="21"/>
          <w:highlight w:val="none"/>
          <w:lang w:val="en-US" w:eastAsia="zh-CN"/>
        </w:rPr>
        <w:t>服务</w:t>
      </w:r>
      <w:r>
        <w:rPr>
          <w:color w:val="auto"/>
          <w:highlight w:val="none"/>
        </w:rPr>
        <w:tab/>
      </w:r>
      <w:r>
        <w:rPr>
          <w:color w:val="auto"/>
          <w:highlight w:val="none"/>
        </w:rPr>
        <w:fldChar w:fldCharType="begin"/>
      </w:r>
      <w:r>
        <w:rPr>
          <w:color w:val="auto"/>
          <w:highlight w:val="none"/>
        </w:rPr>
        <w:instrText xml:space="preserve"> PAGEREF _Toc1152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6EE24CEF">
      <w:pPr>
        <w:pStyle w:val="21"/>
        <w:tabs>
          <w:tab w:val="right" w:leader="dot" w:pos="10154"/>
          <w:tab w:val="clear" w:pos="10144"/>
        </w:tabs>
        <w:rPr>
          <w:color w:val="auto"/>
          <w:highlight w:val="none"/>
        </w:rPr>
      </w:pPr>
      <w:r>
        <w:rPr>
          <w:color w:val="auto"/>
          <w:highlight w:val="none"/>
        </w:rPr>
        <w:fldChar w:fldCharType="begin"/>
      </w:r>
      <w:r>
        <w:rPr>
          <w:color w:val="auto"/>
          <w:highlight w:val="none"/>
        </w:rPr>
        <w:instrText xml:space="preserve"> HYPERLINK \l _Toc3497 </w:instrText>
      </w:r>
      <w:r>
        <w:rPr>
          <w:color w:val="auto"/>
          <w:highlight w:val="none"/>
        </w:rPr>
        <w:fldChar w:fldCharType="separate"/>
      </w:r>
      <w:r>
        <w:rPr>
          <w:rFonts w:hint="eastAsia" w:ascii="宋体" w:hAnsi="宋体" w:eastAsia="宋体" w:cs="宋体"/>
          <w:color w:val="auto"/>
          <w:szCs w:val="21"/>
          <w:highlight w:val="none"/>
          <w:lang w:val="zh-CN"/>
        </w:rPr>
        <w:t>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其它说明</w:t>
      </w:r>
      <w:r>
        <w:rPr>
          <w:color w:val="auto"/>
          <w:highlight w:val="none"/>
        </w:rPr>
        <w:tab/>
      </w:r>
      <w:r>
        <w:rPr>
          <w:color w:val="auto"/>
          <w:highlight w:val="none"/>
        </w:rPr>
        <w:fldChar w:fldCharType="begin"/>
      </w:r>
      <w:r>
        <w:rPr>
          <w:color w:val="auto"/>
          <w:highlight w:val="none"/>
        </w:rPr>
        <w:instrText xml:space="preserve"> PAGEREF _Toc3497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19302853">
      <w:pPr>
        <w:pStyle w:val="28"/>
        <w:tabs>
          <w:tab w:val="right" w:leader="dot" w:pos="10154"/>
        </w:tabs>
        <w:rPr>
          <w:color w:val="auto"/>
          <w:highlight w:val="none"/>
        </w:rPr>
      </w:pPr>
      <w:r>
        <w:rPr>
          <w:color w:val="auto"/>
          <w:highlight w:val="none"/>
        </w:rPr>
        <w:fldChar w:fldCharType="begin"/>
      </w:r>
      <w:r>
        <w:rPr>
          <w:color w:val="auto"/>
          <w:highlight w:val="none"/>
        </w:rPr>
        <w:instrText xml:space="preserve"> HYPERLINK \l _Toc27519 </w:instrText>
      </w:r>
      <w:r>
        <w:rPr>
          <w:color w:val="auto"/>
          <w:highlight w:val="none"/>
        </w:rPr>
        <w:fldChar w:fldCharType="separate"/>
      </w:r>
      <w:r>
        <w:rPr>
          <w:rFonts w:hint="eastAsia" w:ascii="宋体" w:hAnsi="宋体" w:eastAsia="宋体" w:cs="宋体"/>
          <w:bCs/>
          <w:color w:val="auto"/>
          <w:kern w:val="44"/>
          <w:szCs w:val="21"/>
          <w:highlight w:val="none"/>
          <w:lang w:val="zh-CN"/>
        </w:rPr>
        <w:t>二、招标文件</w:t>
      </w:r>
      <w:r>
        <w:rPr>
          <w:color w:val="auto"/>
          <w:highlight w:val="none"/>
        </w:rPr>
        <w:tab/>
      </w:r>
      <w:r>
        <w:rPr>
          <w:color w:val="auto"/>
          <w:highlight w:val="none"/>
        </w:rPr>
        <w:fldChar w:fldCharType="begin"/>
      </w:r>
      <w:r>
        <w:rPr>
          <w:color w:val="auto"/>
          <w:highlight w:val="none"/>
        </w:rPr>
        <w:instrText xml:space="preserve"> PAGEREF _Toc27519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1204491E">
      <w:pPr>
        <w:pStyle w:val="21"/>
        <w:tabs>
          <w:tab w:val="right" w:leader="dot" w:pos="10154"/>
          <w:tab w:val="clear" w:pos="10144"/>
        </w:tabs>
        <w:rPr>
          <w:color w:val="auto"/>
          <w:highlight w:val="none"/>
        </w:rPr>
      </w:pPr>
      <w:r>
        <w:rPr>
          <w:color w:val="auto"/>
          <w:highlight w:val="none"/>
        </w:rPr>
        <w:fldChar w:fldCharType="begin"/>
      </w:r>
      <w:r>
        <w:rPr>
          <w:color w:val="auto"/>
          <w:highlight w:val="none"/>
        </w:rPr>
        <w:instrText xml:space="preserve"> HYPERLINK \l _Toc29819 </w:instrText>
      </w:r>
      <w:r>
        <w:rPr>
          <w:color w:val="auto"/>
          <w:highlight w:val="none"/>
        </w:rPr>
        <w:fldChar w:fldCharType="separate"/>
      </w:r>
      <w:r>
        <w:rPr>
          <w:rFonts w:hint="eastAsia" w:ascii="宋体" w:hAnsi="宋体" w:eastAsia="宋体" w:cs="宋体"/>
          <w:color w:val="auto"/>
          <w:szCs w:val="21"/>
          <w:highlight w:val="none"/>
          <w:lang w:val="zh-CN"/>
        </w:rPr>
        <w:t>5</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招标文件的构成</w:t>
      </w:r>
      <w:r>
        <w:rPr>
          <w:color w:val="auto"/>
          <w:highlight w:val="none"/>
        </w:rPr>
        <w:tab/>
      </w:r>
      <w:r>
        <w:rPr>
          <w:color w:val="auto"/>
          <w:highlight w:val="none"/>
        </w:rPr>
        <w:fldChar w:fldCharType="begin"/>
      </w:r>
      <w:r>
        <w:rPr>
          <w:color w:val="auto"/>
          <w:highlight w:val="none"/>
        </w:rPr>
        <w:instrText xml:space="preserve"> PAGEREF _Toc29819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443E6945">
      <w:pPr>
        <w:pStyle w:val="21"/>
        <w:tabs>
          <w:tab w:val="right" w:leader="dot" w:pos="10154"/>
          <w:tab w:val="clear" w:pos="10144"/>
        </w:tabs>
        <w:rPr>
          <w:color w:val="auto"/>
          <w:highlight w:val="none"/>
        </w:rPr>
      </w:pPr>
      <w:r>
        <w:rPr>
          <w:color w:val="auto"/>
          <w:highlight w:val="none"/>
        </w:rPr>
        <w:fldChar w:fldCharType="begin"/>
      </w:r>
      <w:r>
        <w:rPr>
          <w:color w:val="auto"/>
          <w:highlight w:val="none"/>
        </w:rPr>
        <w:instrText xml:space="preserve"> HYPERLINK \l _Toc1727 </w:instrText>
      </w:r>
      <w:r>
        <w:rPr>
          <w:color w:val="auto"/>
          <w:highlight w:val="none"/>
        </w:rPr>
        <w:fldChar w:fldCharType="separate"/>
      </w:r>
      <w:r>
        <w:rPr>
          <w:rFonts w:hint="eastAsia" w:ascii="宋体" w:hAnsi="宋体" w:eastAsia="宋体" w:cs="宋体"/>
          <w:color w:val="auto"/>
          <w:szCs w:val="21"/>
          <w:highlight w:val="none"/>
          <w:lang w:val="zh-CN"/>
        </w:rPr>
        <w:t>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招标文件的异议</w:t>
      </w:r>
      <w:r>
        <w:rPr>
          <w:color w:val="auto"/>
          <w:highlight w:val="none"/>
        </w:rPr>
        <w:tab/>
      </w:r>
      <w:r>
        <w:rPr>
          <w:color w:val="auto"/>
          <w:highlight w:val="none"/>
        </w:rPr>
        <w:fldChar w:fldCharType="begin"/>
      </w:r>
      <w:r>
        <w:rPr>
          <w:color w:val="auto"/>
          <w:highlight w:val="none"/>
        </w:rPr>
        <w:instrText xml:space="preserve"> PAGEREF _Toc1727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14:paraId="6E92303E">
      <w:pPr>
        <w:pStyle w:val="21"/>
        <w:tabs>
          <w:tab w:val="right" w:leader="dot" w:pos="10154"/>
          <w:tab w:val="clear" w:pos="10144"/>
        </w:tabs>
        <w:rPr>
          <w:color w:val="auto"/>
          <w:highlight w:val="none"/>
        </w:rPr>
      </w:pPr>
      <w:r>
        <w:rPr>
          <w:color w:val="auto"/>
          <w:highlight w:val="none"/>
        </w:rPr>
        <w:fldChar w:fldCharType="begin"/>
      </w:r>
      <w:r>
        <w:rPr>
          <w:color w:val="auto"/>
          <w:highlight w:val="none"/>
        </w:rPr>
        <w:instrText xml:space="preserve"> HYPERLINK \l _Toc19224 </w:instrText>
      </w:r>
      <w:r>
        <w:rPr>
          <w:color w:val="auto"/>
          <w:highlight w:val="none"/>
        </w:rPr>
        <w:fldChar w:fldCharType="separate"/>
      </w:r>
      <w:r>
        <w:rPr>
          <w:rFonts w:hint="eastAsia" w:ascii="宋体" w:hAnsi="宋体" w:eastAsia="宋体" w:cs="宋体"/>
          <w:color w:val="auto"/>
          <w:szCs w:val="21"/>
          <w:highlight w:val="none"/>
          <w:lang w:val="zh-CN"/>
        </w:rPr>
        <w:t>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招标文件的澄清及修改</w:t>
      </w:r>
      <w:r>
        <w:rPr>
          <w:color w:val="auto"/>
          <w:highlight w:val="none"/>
        </w:rPr>
        <w:tab/>
      </w:r>
      <w:r>
        <w:rPr>
          <w:color w:val="auto"/>
          <w:highlight w:val="none"/>
        </w:rPr>
        <w:fldChar w:fldCharType="begin"/>
      </w:r>
      <w:r>
        <w:rPr>
          <w:color w:val="auto"/>
          <w:highlight w:val="none"/>
        </w:rPr>
        <w:instrText xml:space="preserve"> PAGEREF _Toc19224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14:paraId="09148AF1">
      <w:pPr>
        <w:pStyle w:val="28"/>
        <w:tabs>
          <w:tab w:val="right" w:leader="dot" w:pos="10154"/>
        </w:tabs>
        <w:rPr>
          <w:color w:val="auto"/>
          <w:highlight w:val="none"/>
        </w:rPr>
      </w:pPr>
      <w:r>
        <w:rPr>
          <w:color w:val="auto"/>
          <w:highlight w:val="none"/>
        </w:rPr>
        <w:fldChar w:fldCharType="begin"/>
      </w:r>
      <w:r>
        <w:rPr>
          <w:color w:val="auto"/>
          <w:highlight w:val="none"/>
        </w:rPr>
        <w:instrText xml:space="preserve"> HYPERLINK \l _Toc30710 </w:instrText>
      </w:r>
      <w:r>
        <w:rPr>
          <w:color w:val="auto"/>
          <w:highlight w:val="none"/>
        </w:rPr>
        <w:fldChar w:fldCharType="separate"/>
      </w:r>
      <w:r>
        <w:rPr>
          <w:rFonts w:hint="eastAsia" w:ascii="宋体" w:hAnsi="宋体" w:eastAsia="宋体" w:cs="宋体"/>
          <w:bCs/>
          <w:color w:val="auto"/>
          <w:kern w:val="44"/>
          <w:szCs w:val="21"/>
          <w:highlight w:val="none"/>
          <w:lang w:val="zh-CN"/>
        </w:rPr>
        <w:t>三、投标文件的编制</w:t>
      </w:r>
      <w:r>
        <w:rPr>
          <w:color w:val="auto"/>
          <w:highlight w:val="none"/>
        </w:rPr>
        <w:tab/>
      </w:r>
      <w:r>
        <w:rPr>
          <w:color w:val="auto"/>
          <w:highlight w:val="none"/>
        </w:rPr>
        <w:fldChar w:fldCharType="begin"/>
      </w:r>
      <w:r>
        <w:rPr>
          <w:color w:val="auto"/>
          <w:highlight w:val="none"/>
        </w:rPr>
        <w:instrText xml:space="preserve"> PAGEREF _Toc30710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14:paraId="2736AF57">
      <w:pPr>
        <w:pStyle w:val="21"/>
        <w:tabs>
          <w:tab w:val="right" w:leader="dot" w:pos="10154"/>
          <w:tab w:val="clear" w:pos="10144"/>
        </w:tabs>
        <w:rPr>
          <w:color w:val="auto"/>
          <w:highlight w:val="none"/>
        </w:rPr>
      </w:pPr>
      <w:r>
        <w:rPr>
          <w:color w:val="auto"/>
          <w:highlight w:val="none"/>
        </w:rPr>
        <w:fldChar w:fldCharType="begin"/>
      </w:r>
      <w:r>
        <w:rPr>
          <w:color w:val="auto"/>
          <w:highlight w:val="none"/>
        </w:rPr>
        <w:instrText xml:space="preserve"> HYPERLINK \l _Toc28349 </w:instrText>
      </w:r>
      <w:r>
        <w:rPr>
          <w:color w:val="auto"/>
          <w:highlight w:val="none"/>
        </w:rPr>
        <w:fldChar w:fldCharType="separate"/>
      </w:r>
      <w:r>
        <w:rPr>
          <w:rFonts w:hint="eastAsia" w:ascii="宋体" w:hAnsi="宋体" w:eastAsia="宋体" w:cs="宋体"/>
          <w:color w:val="auto"/>
          <w:szCs w:val="21"/>
          <w:highlight w:val="none"/>
          <w:lang w:val="zh-CN"/>
        </w:rPr>
        <w:t>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投标使用的文字及度量衡单位</w:t>
      </w:r>
      <w:r>
        <w:rPr>
          <w:color w:val="auto"/>
          <w:highlight w:val="none"/>
        </w:rPr>
        <w:tab/>
      </w:r>
      <w:r>
        <w:rPr>
          <w:color w:val="auto"/>
          <w:highlight w:val="none"/>
        </w:rPr>
        <w:fldChar w:fldCharType="begin"/>
      </w:r>
      <w:r>
        <w:rPr>
          <w:color w:val="auto"/>
          <w:highlight w:val="none"/>
        </w:rPr>
        <w:instrText xml:space="preserve"> PAGEREF _Toc28349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14:paraId="7FA0B9F1">
      <w:pPr>
        <w:pStyle w:val="21"/>
        <w:tabs>
          <w:tab w:val="right" w:leader="dot" w:pos="10154"/>
          <w:tab w:val="clear" w:pos="10144"/>
        </w:tabs>
        <w:rPr>
          <w:color w:val="auto"/>
          <w:highlight w:val="none"/>
        </w:rPr>
      </w:pPr>
      <w:r>
        <w:rPr>
          <w:color w:val="auto"/>
          <w:highlight w:val="none"/>
        </w:rPr>
        <w:fldChar w:fldCharType="begin"/>
      </w:r>
      <w:r>
        <w:rPr>
          <w:color w:val="auto"/>
          <w:highlight w:val="none"/>
        </w:rPr>
        <w:instrText xml:space="preserve"> HYPERLINK \l _Toc12082 </w:instrText>
      </w:r>
      <w:r>
        <w:rPr>
          <w:color w:val="auto"/>
          <w:highlight w:val="none"/>
        </w:rPr>
        <w:fldChar w:fldCharType="separate"/>
      </w:r>
      <w:r>
        <w:rPr>
          <w:rFonts w:hint="eastAsia" w:ascii="宋体" w:hAnsi="宋体" w:eastAsia="宋体" w:cs="宋体"/>
          <w:color w:val="auto"/>
          <w:szCs w:val="21"/>
          <w:highlight w:val="none"/>
          <w:lang w:val="zh-CN"/>
        </w:rPr>
        <w:t>9</w:t>
      </w:r>
      <w:r>
        <w:rPr>
          <w:rFonts w:ascii="宋体" w:hAnsi="宋体" w:eastAsia="宋体" w:cs="宋体"/>
          <w:color w:val="auto"/>
          <w:szCs w:val="24"/>
          <w:highlight w:val="none"/>
          <w:lang w:val="zh-CN"/>
        </w:rPr>
        <w:t xml:space="preserve"> </w:t>
      </w:r>
      <w:r>
        <w:rPr>
          <w:rFonts w:hint="eastAsia" w:ascii="宋体" w:hAnsi="宋体" w:eastAsia="宋体" w:cs="宋体"/>
          <w:color w:val="auto"/>
          <w:szCs w:val="21"/>
          <w:highlight w:val="none"/>
          <w:lang w:val="zh-CN"/>
        </w:rPr>
        <w:t>投标文件的组成</w:t>
      </w:r>
      <w:r>
        <w:rPr>
          <w:color w:val="auto"/>
          <w:highlight w:val="none"/>
        </w:rPr>
        <w:tab/>
      </w:r>
      <w:r>
        <w:rPr>
          <w:color w:val="auto"/>
          <w:highlight w:val="none"/>
        </w:rPr>
        <w:fldChar w:fldCharType="begin"/>
      </w:r>
      <w:r>
        <w:rPr>
          <w:color w:val="auto"/>
          <w:highlight w:val="none"/>
        </w:rPr>
        <w:instrText xml:space="preserve"> PAGEREF _Toc12082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14:paraId="18587CFF">
      <w:pPr>
        <w:pStyle w:val="21"/>
        <w:tabs>
          <w:tab w:val="right" w:leader="dot" w:pos="10154"/>
          <w:tab w:val="clear" w:pos="10144"/>
        </w:tabs>
        <w:rPr>
          <w:color w:val="auto"/>
          <w:highlight w:val="none"/>
        </w:rPr>
      </w:pPr>
      <w:r>
        <w:rPr>
          <w:color w:val="auto"/>
          <w:highlight w:val="none"/>
        </w:rPr>
        <w:fldChar w:fldCharType="begin"/>
      </w:r>
      <w:r>
        <w:rPr>
          <w:color w:val="auto"/>
          <w:highlight w:val="none"/>
        </w:rPr>
        <w:instrText xml:space="preserve"> HYPERLINK \l _Toc26794 </w:instrText>
      </w:r>
      <w:r>
        <w:rPr>
          <w:color w:val="auto"/>
          <w:highlight w:val="none"/>
        </w:rPr>
        <w:fldChar w:fldCharType="separate"/>
      </w:r>
      <w:r>
        <w:rPr>
          <w:rFonts w:hint="eastAsia" w:ascii="宋体" w:hAnsi="宋体" w:eastAsia="宋体" w:cs="宋体"/>
          <w:color w:val="auto"/>
          <w:szCs w:val="21"/>
          <w:highlight w:val="none"/>
          <w:lang w:val="zh-CN"/>
        </w:rPr>
        <w:t>10</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投标函</w:t>
      </w:r>
      <w:r>
        <w:rPr>
          <w:color w:val="auto"/>
          <w:highlight w:val="none"/>
        </w:rPr>
        <w:tab/>
      </w:r>
      <w:r>
        <w:rPr>
          <w:color w:val="auto"/>
          <w:highlight w:val="none"/>
        </w:rPr>
        <w:fldChar w:fldCharType="begin"/>
      </w:r>
      <w:r>
        <w:rPr>
          <w:color w:val="auto"/>
          <w:highlight w:val="none"/>
        </w:rPr>
        <w:instrText xml:space="preserve"> PAGEREF _Toc26794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14:paraId="111079D5">
      <w:pPr>
        <w:pStyle w:val="21"/>
        <w:tabs>
          <w:tab w:val="right" w:leader="dot" w:pos="10154"/>
          <w:tab w:val="clear" w:pos="10144"/>
        </w:tabs>
        <w:rPr>
          <w:color w:val="auto"/>
          <w:highlight w:val="none"/>
        </w:rPr>
      </w:pPr>
      <w:r>
        <w:rPr>
          <w:color w:val="auto"/>
          <w:highlight w:val="none"/>
        </w:rPr>
        <w:fldChar w:fldCharType="begin"/>
      </w:r>
      <w:r>
        <w:rPr>
          <w:color w:val="auto"/>
          <w:highlight w:val="none"/>
        </w:rPr>
        <w:instrText xml:space="preserve"> HYPERLINK \l _Toc20526 </w:instrText>
      </w:r>
      <w:r>
        <w:rPr>
          <w:color w:val="auto"/>
          <w:highlight w:val="none"/>
        </w:rPr>
        <w:fldChar w:fldCharType="separate"/>
      </w:r>
      <w:r>
        <w:rPr>
          <w:rFonts w:hint="eastAsia" w:ascii="宋体" w:hAnsi="宋体" w:eastAsia="宋体" w:cs="宋体"/>
          <w:color w:val="auto"/>
          <w:szCs w:val="21"/>
          <w:highlight w:val="none"/>
          <w:lang w:val="zh-CN"/>
        </w:rPr>
        <w:t>11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投标报价</w:t>
      </w:r>
      <w:r>
        <w:rPr>
          <w:color w:val="auto"/>
          <w:highlight w:val="none"/>
        </w:rPr>
        <w:tab/>
      </w:r>
      <w:r>
        <w:rPr>
          <w:color w:val="auto"/>
          <w:highlight w:val="none"/>
        </w:rPr>
        <w:fldChar w:fldCharType="begin"/>
      </w:r>
      <w:r>
        <w:rPr>
          <w:color w:val="auto"/>
          <w:highlight w:val="none"/>
        </w:rPr>
        <w:instrText xml:space="preserve"> PAGEREF _Toc20526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14:paraId="4669E4DA">
      <w:pPr>
        <w:pStyle w:val="21"/>
        <w:tabs>
          <w:tab w:val="right" w:leader="dot" w:pos="10154"/>
          <w:tab w:val="clear" w:pos="10144"/>
        </w:tabs>
        <w:rPr>
          <w:color w:val="auto"/>
          <w:highlight w:val="none"/>
        </w:rPr>
      </w:pPr>
      <w:r>
        <w:rPr>
          <w:color w:val="auto"/>
          <w:highlight w:val="none"/>
        </w:rPr>
        <w:fldChar w:fldCharType="begin"/>
      </w:r>
      <w:r>
        <w:rPr>
          <w:color w:val="auto"/>
          <w:highlight w:val="none"/>
        </w:rPr>
        <w:instrText xml:space="preserve"> HYPERLINK \l _Toc4236 </w:instrText>
      </w:r>
      <w:r>
        <w:rPr>
          <w:color w:val="auto"/>
          <w:highlight w:val="none"/>
        </w:rPr>
        <w:fldChar w:fldCharType="separate"/>
      </w:r>
      <w:r>
        <w:rPr>
          <w:rFonts w:hint="eastAsia" w:ascii="宋体" w:hAnsi="宋体" w:eastAsia="宋体" w:cs="宋体"/>
          <w:color w:val="auto"/>
          <w:szCs w:val="21"/>
          <w:highlight w:val="none"/>
          <w:lang w:val="zh-CN"/>
        </w:rPr>
        <w:t>12</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投标报价货币</w:t>
      </w:r>
      <w:r>
        <w:rPr>
          <w:color w:val="auto"/>
          <w:highlight w:val="none"/>
        </w:rPr>
        <w:tab/>
      </w:r>
      <w:r>
        <w:rPr>
          <w:color w:val="auto"/>
          <w:highlight w:val="none"/>
        </w:rPr>
        <w:fldChar w:fldCharType="begin"/>
      </w:r>
      <w:r>
        <w:rPr>
          <w:color w:val="auto"/>
          <w:highlight w:val="none"/>
        </w:rPr>
        <w:instrText xml:space="preserve"> PAGEREF _Toc4236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14:paraId="0459561D">
      <w:pPr>
        <w:pStyle w:val="21"/>
        <w:tabs>
          <w:tab w:val="right" w:leader="dot" w:pos="10154"/>
          <w:tab w:val="clear" w:pos="10144"/>
        </w:tabs>
        <w:rPr>
          <w:color w:val="auto"/>
          <w:highlight w:val="none"/>
        </w:rPr>
      </w:pPr>
      <w:r>
        <w:rPr>
          <w:color w:val="auto"/>
          <w:highlight w:val="none"/>
        </w:rPr>
        <w:fldChar w:fldCharType="begin"/>
      </w:r>
      <w:r>
        <w:rPr>
          <w:color w:val="auto"/>
          <w:highlight w:val="none"/>
        </w:rPr>
        <w:instrText xml:space="preserve"> HYPERLINK \l _Toc4774 </w:instrText>
      </w:r>
      <w:r>
        <w:rPr>
          <w:color w:val="auto"/>
          <w:highlight w:val="none"/>
        </w:rPr>
        <w:fldChar w:fldCharType="separate"/>
      </w:r>
      <w:r>
        <w:rPr>
          <w:rFonts w:hint="eastAsia" w:ascii="宋体" w:hAnsi="宋体" w:eastAsia="宋体" w:cs="宋体"/>
          <w:color w:val="auto"/>
          <w:szCs w:val="21"/>
          <w:highlight w:val="none"/>
          <w:lang w:val="zh-CN"/>
        </w:rPr>
        <w:t>13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证明投标人的合格性和资格的声明文件</w:t>
      </w:r>
      <w:r>
        <w:rPr>
          <w:color w:val="auto"/>
          <w:highlight w:val="none"/>
        </w:rPr>
        <w:tab/>
      </w:r>
      <w:r>
        <w:rPr>
          <w:color w:val="auto"/>
          <w:highlight w:val="none"/>
        </w:rPr>
        <w:fldChar w:fldCharType="begin"/>
      </w:r>
      <w:r>
        <w:rPr>
          <w:color w:val="auto"/>
          <w:highlight w:val="none"/>
        </w:rPr>
        <w:instrText xml:space="preserve"> PAGEREF _Toc4774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14:paraId="4D00D33A">
      <w:pPr>
        <w:pStyle w:val="21"/>
        <w:tabs>
          <w:tab w:val="right" w:leader="dot" w:pos="10154"/>
          <w:tab w:val="clear" w:pos="10144"/>
        </w:tabs>
        <w:rPr>
          <w:color w:val="auto"/>
          <w:highlight w:val="none"/>
        </w:rPr>
      </w:pPr>
      <w:r>
        <w:rPr>
          <w:color w:val="auto"/>
          <w:highlight w:val="none"/>
        </w:rPr>
        <w:fldChar w:fldCharType="begin"/>
      </w:r>
      <w:r>
        <w:rPr>
          <w:color w:val="auto"/>
          <w:highlight w:val="none"/>
        </w:rPr>
        <w:instrText xml:space="preserve"> HYPERLINK \l _Toc2793 </w:instrText>
      </w:r>
      <w:r>
        <w:rPr>
          <w:color w:val="auto"/>
          <w:highlight w:val="none"/>
        </w:rPr>
        <w:fldChar w:fldCharType="separate"/>
      </w:r>
      <w:r>
        <w:rPr>
          <w:rFonts w:hint="eastAsia" w:ascii="宋体" w:hAnsi="宋体" w:eastAsia="宋体" w:cs="宋体"/>
          <w:color w:val="auto"/>
          <w:szCs w:val="21"/>
          <w:highlight w:val="none"/>
          <w:lang w:val="zh-CN"/>
        </w:rPr>
        <w:t>14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证明服务的合格性并符合招标文件规定的声明文件</w:t>
      </w:r>
      <w:r>
        <w:rPr>
          <w:color w:val="auto"/>
          <w:highlight w:val="none"/>
        </w:rPr>
        <w:tab/>
      </w:r>
      <w:r>
        <w:rPr>
          <w:color w:val="auto"/>
          <w:highlight w:val="none"/>
        </w:rPr>
        <w:fldChar w:fldCharType="begin"/>
      </w:r>
      <w:r>
        <w:rPr>
          <w:color w:val="auto"/>
          <w:highlight w:val="none"/>
        </w:rPr>
        <w:instrText xml:space="preserve"> PAGEREF _Toc2793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14:paraId="74726A54">
      <w:pPr>
        <w:pStyle w:val="21"/>
        <w:tabs>
          <w:tab w:val="right" w:leader="dot" w:pos="10154"/>
          <w:tab w:val="clear" w:pos="10144"/>
        </w:tabs>
        <w:rPr>
          <w:color w:val="auto"/>
          <w:highlight w:val="none"/>
        </w:rPr>
      </w:pPr>
      <w:r>
        <w:rPr>
          <w:color w:val="auto"/>
          <w:highlight w:val="none"/>
        </w:rPr>
        <w:fldChar w:fldCharType="begin"/>
      </w:r>
      <w:r>
        <w:rPr>
          <w:color w:val="auto"/>
          <w:highlight w:val="none"/>
        </w:rPr>
        <w:instrText xml:space="preserve"> HYPERLINK \l _Toc3545 </w:instrText>
      </w:r>
      <w:r>
        <w:rPr>
          <w:color w:val="auto"/>
          <w:highlight w:val="none"/>
        </w:rPr>
        <w:fldChar w:fldCharType="separate"/>
      </w:r>
      <w:r>
        <w:rPr>
          <w:rFonts w:hint="eastAsia" w:ascii="宋体" w:hAnsi="宋体" w:eastAsia="宋体" w:cs="宋体"/>
          <w:color w:val="auto"/>
          <w:szCs w:val="21"/>
          <w:highlight w:val="none"/>
          <w:lang w:val="zh-CN"/>
        </w:rPr>
        <w:t>15</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投标保证金</w:t>
      </w:r>
      <w:r>
        <w:rPr>
          <w:color w:val="auto"/>
          <w:highlight w:val="none"/>
        </w:rPr>
        <w:tab/>
      </w:r>
      <w:r>
        <w:rPr>
          <w:color w:val="auto"/>
          <w:highlight w:val="none"/>
        </w:rPr>
        <w:fldChar w:fldCharType="begin"/>
      </w:r>
      <w:r>
        <w:rPr>
          <w:color w:val="auto"/>
          <w:highlight w:val="none"/>
        </w:rPr>
        <w:instrText xml:space="preserve"> PAGEREF _Toc3545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14:paraId="53E43CAA">
      <w:pPr>
        <w:pStyle w:val="21"/>
        <w:tabs>
          <w:tab w:val="right" w:leader="dot" w:pos="10154"/>
          <w:tab w:val="clear" w:pos="10144"/>
        </w:tabs>
        <w:rPr>
          <w:color w:val="auto"/>
          <w:highlight w:val="none"/>
        </w:rPr>
      </w:pPr>
      <w:r>
        <w:rPr>
          <w:color w:val="auto"/>
          <w:highlight w:val="none"/>
        </w:rPr>
        <w:fldChar w:fldCharType="begin"/>
      </w:r>
      <w:r>
        <w:rPr>
          <w:color w:val="auto"/>
          <w:highlight w:val="none"/>
        </w:rPr>
        <w:instrText xml:space="preserve"> HYPERLINK \l _Toc19349 </w:instrText>
      </w:r>
      <w:r>
        <w:rPr>
          <w:color w:val="auto"/>
          <w:highlight w:val="none"/>
        </w:rPr>
        <w:fldChar w:fldCharType="separate"/>
      </w:r>
      <w:r>
        <w:rPr>
          <w:rFonts w:hint="eastAsia" w:ascii="宋体" w:hAnsi="宋体" w:eastAsia="宋体" w:cs="宋体"/>
          <w:color w:val="auto"/>
          <w:szCs w:val="21"/>
          <w:highlight w:val="none"/>
          <w:lang w:val="zh-CN"/>
        </w:rPr>
        <w:t>16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投标有效期</w:t>
      </w:r>
      <w:r>
        <w:rPr>
          <w:color w:val="auto"/>
          <w:highlight w:val="none"/>
        </w:rPr>
        <w:tab/>
      </w:r>
      <w:r>
        <w:rPr>
          <w:color w:val="auto"/>
          <w:highlight w:val="none"/>
        </w:rPr>
        <w:fldChar w:fldCharType="begin"/>
      </w:r>
      <w:r>
        <w:rPr>
          <w:color w:val="auto"/>
          <w:highlight w:val="none"/>
        </w:rPr>
        <w:instrText xml:space="preserve"> PAGEREF _Toc19349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14:paraId="21A4248A">
      <w:pPr>
        <w:pStyle w:val="21"/>
        <w:tabs>
          <w:tab w:val="right" w:leader="dot" w:pos="10154"/>
          <w:tab w:val="clear" w:pos="10144"/>
        </w:tabs>
        <w:rPr>
          <w:color w:val="auto"/>
          <w:highlight w:val="none"/>
        </w:rPr>
      </w:pPr>
      <w:r>
        <w:rPr>
          <w:color w:val="auto"/>
          <w:highlight w:val="none"/>
        </w:rPr>
        <w:fldChar w:fldCharType="begin"/>
      </w:r>
      <w:r>
        <w:rPr>
          <w:color w:val="auto"/>
          <w:highlight w:val="none"/>
        </w:rPr>
        <w:instrText xml:space="preserve"> HYPERLINK \l _Toc25004 </w:instrText>
      </w:r>
      <w:r>
        <w:rPr>
          <w:color w:val="auto"/>
          <w:highlight w:val="none"/>
        </w:rPr>
        <w:fldChar w:fldCharType="separate"/>
      </w: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投标文件的式样和签署</w:t>
      </w:r>
      <w:r>
        <w:rPr>
          <w:color w:val="auto"/>
          <w:highlight w:val="none"/>
        </w:rPr>
        <w:tab/>
      </w:r>
      <w:r>
        <w:rPr>
          <w:color w:val="auto"/>
          <w:highlight w:val="none"/>
        </w:rPr>
        <w:fldChar w:fldCharType="begin"/>
      </w:r>
      <w:r>
        <w:rPr>
          <w:color w:val="auto"/>
          <w:highlight w:val="none"/>
        </w:rPr>
        <w:instrText xml:space="preserve"> PAGEREF _Toc25004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14:paraId="3A951636">
      <w:pPr>
        <w:pStyle w:val="28"/>
        <w:tabs>
          <w:tab w:val="right" w:leader="dot" w:pos="10154"/>
        </w:tabs>
        <w:rPr>
          <w:color w:val="auto"/>
          <w:highlight w:val="none"/>
        </w:rPr>
      </w:pPr>
      <w:r>
        <w:rPr>
          <w:color w:val="auto"/>
          <w:highlight w:val="none"/>
        </w:rPr>
        <w:fldChar w:fldCharType="begin"/>
      </w:r>
      <w:r>
        <w:rPr>
          <w:color w:val="auto"/>
          <w:highlight w:val="none"/>
        </w:rPr>
        <w:instrText xml:space="preserve"> HYPERLINK \l _Toc2227 </w:instrText>
      </w:r>
      <w:r>
        <w:rPr>
          <w:color w:val="auto"/>
          <w:highlight w:val="none"/>
        </w:rPr>
        <w:fldChar w:fldCharType="separate"/>
      </w:r>
      <w:r>
        <w:rPr>
          <w:rFonts w:hint="eastAsia" w:ascii="宋体" w:hAnsi="宋体" w:eastAsia="宋体" w:cs="宋体"/>
          <w:bCs/>
          <w:color w:val="auto"/>
          <w:kern w:val="44"/>
          <w:szCs w:val="21"/>
          <w:highlight w:val="none"/>
          <w:lang w:val="zh-CN"/>
        </w:rPr>
        <w:t>四、投标文件的递交</w:t>
      </w:r>
      <w:r>
        <w:rPr>
          <w:color w:val="auto"/>
          <w:highlight w:val="none"/>
        </w:rPr>
        <w:tab/>
      </w:r>
      <w:r>
        <w:rPr>
          <w:color w:val="auto"/>
          <w:highlight w:val="none"/>
        </w:rPr>
        <w:fldChar w:fldCharType="begin"/>
      </w:r>
      <w:r>
        <w:rPr>
          <w:color w:val="auto"/>
          <w:highlight w:val="none"/>
        </w:rPr>
        <w:instrText xml:space="preserve"> PAGEREF _Toc2227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14:paraId="2C378AA4">
      <w:pPr>
        <w:pStyle w:val="21"/>
        <w:tabs>
          <w:tab w:val="right" w:leader="dot" w:pos="10154"/>
          <w:tab w:val="clear" w:pos="10144"/>
        </w:tabs>
        <w:rPr>
          <w:color w:val="auto"/>
          <w:highlight w:val="none"/>
        </w:rPr>
      </w:pPr>
      <w:r>
        <w:rPr>
          <w:color w:val="auto"/>
          <w:highlight w:val="none"/>
        </w:rPr>
        <w:fldChar w:fldCharType="begin"/>
      </w:r>
      <w:r>
        <w:rPr>
          <w:color w:val="auto"/>
          <w:highlight w:val="none"/>
        </w:rPr>
        <w:instrText xml:space="preserve"> HYPERLINK \l _Toc4649 </w:instrText>
      </w:r>
      <w:r>
        <w:rPr>
          <w:color w:val="auto"/>
          <w:highlight w:val="none"/>
        </w:rPr>
        <w:fldChar w:fldCharType="separate"/>
      </w:r>
      <w:r>
        <w:rPr>
          <w:rFonts w:hint="eastAsia" w:ascii="宋体" w:hAnsi="宋体" w:eastAsia="宋体" w:cs="宋体"/>
          <w:color w:val="auto"/>
          <w:szCs w:val="21"/>
          <w:highlight w:val="none"/>
          <w:lang w:val="zh-CN"/>
        </w:rPr>
        <w:t>18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投标文件的密封和标记</w:t>
      </w:r>
      <w:r>
        <w:rPr>
          <w:color w:val="auto"/>
          <w:highlight w:val="none"/>
        </w:rPr>
        <w:tab/>
      </w:r>
      <w:r>
        <w:rPr>
          <w:color w:val="auto"/>
          <w:highlight w:val="none"/>
        </w:rPr>
        <w:fldChar w:fldCharType="begin"/>
      </w:r>
      <w:r>
        <w:rPr>
          <w:color w:val="auto"/>
          <w:highlight w:val="none"/>
        </w:rPr>
        <w:instrText xml:space="preserve"> PAGEREF _Toc4649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14:paraId="2EB50ACE">
      <w:pPr>
        <w:pStyle w:val="21"/>
        <w:tabs>
          <w:tab w:val="right" w:leader="dot" w:pos="10154"/>
          <w:tab w:val="clear" w:pos="10144"/>
        </w:tabs>
        <w:rPr>
          <w:color w:val="auto"/>
          <w:highlight w:val="none"/>
        </w:rPr>
      </w:pPr>
      <w:r>
        <w:rPr>
          <w:color w:val="auto"/>
          <w:highlight w:val="none"/>
        </w:rPr>
        <w:fldChar w:fldCharType="begin"/>
      </w:r>
      <w:r>
        <w:rPr>
          <w:color w:val="auto"/>
          <w:highlight w:val="none"/>
        </w:rPr>
        <w:instrText xml:space="preserve"> HYPERLINK \l _Toc2770 </w:instrText>
      </w:r>
      <w:r>
        <w:rPr>
          <w:color w:val="auto"/>
          <w:highlight w:val="none"/>
        </w:rPr>
        <w:fldChar w:fldCharType="separate"/>
      </w:r>
      <w:r>
        <w:rPr>
          <w:rFonts w:hint="eastAsia" w:ascii="宋体" w:hAnsi="宋体" w:eastAsia="宋体" w:cs="宋体"/>
          <w:color w:val="auto"/>
          <w:szCs w:val="21"/>
          <w:highlight w:val="none"/>
          <w:lang w:val="zh-CN"/>
        </w:rPr>
        <w:t>19</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递交投标文件的截止日期</w:t>
      </w:r>
      <w:r>
        <w:rPr>
          <w:color w:val="auto"/>
          <w:highlight w:val="none"/>
        </w:rPr>
        <w:tab/>
      </w:r>
      <w:r>
        <w:rPr>
          <w:color w:val="auto"/>
          <w:highlight w:val="none"/>
        </w:rPr>
        <w:fldChar w:fldCharType="begin"/>
      </w:r>
      <w:r>
        <w:rPr>
          <w:color w:val="auto"/>
          <w:highlight w:val="none"/>
        </w:rPr>
        <w:instrText xml:space="preserve"> PAGEREF _Toc2770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14:paraId="577BAD9F">
      <w:pPr>
        <w:pStyle w:val="21"/>
        <w:tabs>
          <w:tab w:val="right" w:leader="dot" w:pos="10154"/>
          <w:tab w:val="clear" w:pos="10144"/>
        </w:tabs>
        <w:rPr>
          <w:color w:val="auto"/>
          <w:highlight w:val="none"/>
        </w:rPr>
      </w:pPr>
      <w:r>
        <w:rPr>
          <w:color w:val="auto"/>
          <w:highlight w:val="none"/>
        </w:rPr>
        <w:fldChar w:fldCharType="begin"/>
      </w:r>
      <w:r>
        <w:rPr>
          <w:color w:val="auto"/>
          <w:highlight w:val="none"/>
        </w:rPr>
        <w:instrText xml:space="preserve"> HYPERLINK \l _Toc28583 </w:instrText>
      </w:r>
      <w:r>
        <w:rPr>
          <w:color w:val="auto"/>
          <w:highlight w:val="none"/>
        </w:rPr>
        <w:fldChar w:fldCharType="separate"/>
      </w:r>
      <w:r>
        <w:rPr>
          <w:rFonts w:hint="eastAsia" w:ascii="宋体" w:hAnsi="宋体" w:eastAsia="宋体" w:cs="宋体"/>
          <w:color w:val="auto"/>
          <w:szCs w:val="21"/>
          <w:highlight w:val="none"/>
          <w:lang w:val="zh-CN"/>
        </w:rPr>
        <w:t>20 迟交的投标文件</w:t>
      </w:r>
      <w:r>
        <w:rPr>
          <w:color w:val="auto"/>
          <w:highlight w:val="none"/>
        </w:rPr>
        <w:tab/>
      </w:r>
      <w:r>
        <w:rPr>
          <w:color w:val="auto"/>
          <w:highlight w:val="none"/>
        </w:rPr>
        <w:fldChar w:fldCharType="begin"/>
      </w:r>
      <w:r>
        <w:rPr>
          <w:color w:val="auto"/>
          <w:highlight w:val="none"/>
        </w:rPr>
        <w:instrText xml:space="preserve"> PAGEREF _Toc28583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14:paraId="475AF654">
      <w:pPr>
        <w:pStyle w:val="21"/>
        <w:tabs>
          <w:tab w:val="right" w:leader="dot" w:pos="10154"/>
          <w:tab w:val="clear" w:pos="10144"/>
        </w:tabs>
        <w:rPr>
          <w:color w:val="auto"/>
          <w:highlight w:val="none"/>
        </w:rPr>
      </w:pPr>
      <w:r>
        <w:rPr>
          <w:color w:val="auto"/>
          <w:highlight w:val="none"/>
        </w:rPr>
        <w:fldChar w:fldCharType="begin"/>
      </w:r>
      <w:r>
        <w:rPr>
          <w:color w:val="auto"/>
          <w:highlight w:val="none"/>
        </w:rPr>
        <w:instrText xml:space="preserve"> HYPERLINK \l _Toc27369 </w:instrText>
      </w:r>
      <w:r>
        <w:rPr>
          <w:color w:val="auto"/>
          <w:highlight w:val="none"/>
        </w:rPr>
        <w:fldChar w:fldCharType="separate"/>
      </w:r>
      <w:r>
        <w:rPr>
          <w:rFonts w:hint="eastAsia" w:ascii="宋体" w:hAnsi="宋体" w:eastAsia="宋体" w:cs="宋体"/>
          <w:color w:val="auto"/>
          <w:szCs w:val="21"/>
          <w:highlight w:val="none"/>
          <w:lang w:val="zh-CN"/>
        </w:rPr>
        <w:t>21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投标文件的修改和撤回</w:t>
      </w:r>
      <w:r>
        <w:rPr>
          <w:color w:val="auto"/>
          <w:highlight w:val="none"/>
        </w:rPr>
        <w:tab/>
      </w:r>
      <w:r>
        <w:rPr>
          <w:color w:val="auto"/>
          <w:highlight w:val="none"/>
        </w:rPr>
        <w:fldChar w:fldCharType="begin"/>
      </w:r>
      <w:r>
        <w:rPr>
          <w:color w:val="auto"/>
          <w:highlight w:val="none"/>
        </w:rPr>
        <w:instrText xml:space="preserve"> PAGEREF _Toc27369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14:paraId="258FD281">
      <w:pPr>
        <w:pStyle w:val="28"/>
        <w:tabs>
          <w:tab w:val="right" w:leader="dot" w:pos="10154"/>
        </w:tabs>
        <w:rPr>
          <w:color w:val="auto"/>
          <w:highlight w:val="none"/>
        </w:rPr>
      </w:pPr>
      <w:r>
        <w:rPr>
          <w:color w:val="auto"/>
          <w:highlight w:val="none"/>
        </w:rPr>
        <w:fldChar w:fldCharType="begin"/>
      </w:r>
      <w:r>
        <w:rPr>
          <w:color w:val="auto"/>
          <w:highlight w:val="none"/>
        </w:rPr>
        <w:instrText xml:space="preserve"> HYPERLINK \l _Toc5438 </w:instrText>
      </w:r>
      <w:r>
        <w:rPr>
          <w:color w:val="auto"/>
          <w:highlight w:val="none"/>
        </w:rPr>
        <w:fldChar w:fldCharType="separate"/>
      </w:r>
      <w:r>
        <w:rPr>
          <w:rFonts w:hint="eastAsia" w:ascii="宋体" w:hAnsi="宋体" w:eastAsia="宋体" w:cs="宋体"/>
          <w:bCs/>
          <w:color w:val="auto"/>
          <w:kern w:val="44"/>
          <w:szCs w:val="21"/>
          <w:highlight w:val="none"/>
          <w:lang w:val="zh-CN"/>
        </w:rPr>
        <w:t>五、开标与评标</w:t>
      </w:r>
      <w:r>
        <w:rPr>
          <w:color w:val="auto"/>
          <w:highlight w:val="none"/>
        </w:rPr>
        <w:tab/>
      </w:r>
      <w:r>
        <w:rPr>
          <w:color w:val="auto"/>
          <w:highlight w:val="none"/>
        </w:rPr>
        <w:fldChar w:fldCharType="begin"/>
      </w:r>
      <w:r>
        <w:rPr>
          <w:color w:val="auto"/>
          <w:highlight w:val="none"/>
        </w:rPr>
        <w:instrText xml:space="preserve"> PAGEREF _Toc5438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14:paraId="1DCB5C0D">
      <w:pPr>
        <w:pStyle w:val="21"/>
        <w:tabs>
          <w:tab w:val="right" w:leader="dot" w:pos="10154"/>
          <w:tab w:val="clear" w:pos="10144"/>
        </w:tabs>
        <w:rPr>
          <w:color w:val="auto"/>
          <w:highlight w:val="none"/>
        </w:rPr>
      </w:pPr>
      <w:r>
        <w:rPr>
          <w:color w:val="auto"/>
          <w:highlight w:val="none"/>
        </w:rPr>
        <w:fldChar w:fldCharType="begin"/>
      </w:r>
      <w:r>
        <w:rPr>
          <w:color w:val="auto"/>
          <w:highlight w:val="none"/>
        </w:rPr>
        <w:instrText xml:space="preserve"> HYPERLINK \l _Toc21751 </w:instrText>
      </w:r>
      <w:r>
        <w:rPr>
          <w:color w:val="auto"/>
          <w:highlight w:val="none"/>
        </w:rPr>
        <w:fldChar w:fldCharType="separate"/>
      </w:r>
      <w:r>
        <w:rPr>
          <w:rFonts w:hint="eastAsia" w:ascii="宋体" w:hAnsi="宋体" w:eastAsia="宋体" w:cs="宋体"/>
          <w:color w:val="auto"/>
          <w:szCs w:val="21"/>
          <w:highlight w:val="none"/>
          <w:lang w:val="zh-CN"/>
        </w:rPr>
        <w:t>22</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开标</w:t>
      </w:r>
      <w:r>
        <w:rPr>
          <w:color w:val="auto"/>
          <w:highlight w:val="none"/>
        </w:rPr>
        <w:tab/>
      </w:r>
      <w:r>
        <w:rPr>
          <w:color w:val="auto"/>
          <w:highlight w:val="none"/>
        </w:rPr>
        <w:fldChar w:fldCharType="begin"/>
      </w:r>
      <w:r>
        <w:rPr>
          <w:color w:val="auto"/>
          <w:highlight w:val="none"/>
        </w:rPr>
        <w:instrText xml:space="preserve"> PAGEREF _Toc21751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14:paraId="71B034FA">
      <w:pPr>
        <w:pStyle w:val="21"/>
        <w:tabs>
          <w:tab w:val="right" w:leader="dot" w:pos="10154"/>
          <w:tab w:val="clear" w:pos="10144"/>
        </w:tabs>
        <w:rPr>
          <w:color w:val="auto"/>
          <w:highlight w:val="none"/>
        </w:rPr>
      </w:pPr>
      <w:r>
        <w:rPr>
          <w:color w:val="auto"/>
          <w:highlight w:val="none"/>
        </w:rPr>
        <w:fldChar w:fldCharType="begin"/>
      </w:r>
      <w:r>
        <w:rPr>
          <w:color w:val="auto"/>
          <w:highlight w:val="none"/>
        </w:rPr>
        <w:instrText xml:space="preserve"> HYPERLINK \l _Toc24702 </w:instrText>
      </w:r>
      <w:r>
        <w:rPr>
          <w:color w:val="auto"/>
          <w:highlight w:val="none"/>
        </w:rPr>
        <w:fldChar w:fldCharType="separate"/>
      </w:r>
      <w:r>
        <w:rPr>
          <w:rFonts w:hint="eastAsia" w:ascii="宋体" w:hAnsi="宋体" w:eastAsia="宋体" w:cs="宋体"/>
          <w:color w:val="auto"/>
          <w:szCs w:val="21"/>
          <w:highlight w:val="none"/>
          <w:lang w:val="zh-CN"/>
        </w:rPr>
        <w:t>23</w:t>
      </w:r>
      <w:r>
        <w:rPr>
          <w:rFonts w:ascii="宋体" w:hAnsi="宋体" w:eastAsia="宋体" w:cs="宋体"/>
          <w:color w:val="auto"/>
          <w:szCs w:val="21"/>
          <w:highlight w:val="none"/>
          <w:lang w:val="zh-CN"/>
        </w:rPr>
        <w:t xml:space="preserve"> </w:t>
      </w:r>
      <w:r>
        <w:rPr>
          <w:rFonts w:hint="eastAsia" w:ascii="宋体" w:hAnsi="宋体" w:eastAsia="宋体" w:cs="宋体"/>
          <w:color w:val="auto"/>
          <w:kern w:val="0"/>
          <w:szCs w:val="24"/>
          <w:highlight w:val="none"/>
        </w:rPr>
        <w:t>评标过程的保密性</w:t>
      </w:r>
      <w:r>
        <w:rPr>
          <w:color w:val="auto"/>
          <w:highlight w:val="none"/>
        </w:rPr>
        <w:tab/>
      </w:r>
      <w:r>
        <w:rPr>
          <w:color w:val="auto"/>
          <w:highlight w:val="none"/>
        </w:rPr>
        <w:fldChar w:fldCharType="begin"/>
      </w:r>
      <w:r>
        <w:rPr>
          <w:color w:val="auto"/>
          <w:highlight w:val="none"/>
        </w:rPr>
        <w:instrText xml:space="preserve"> PAGEREF _Toc24702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14:paraId="7F590076">
      <w:pPr>
        <w:pStyle w:val="21"/>
        <w:tabs>
          <w:tab w:val="right" w:leader="dot" w:pos="10154"/>
          <w:tab w:val="clear" w:pos="10144"/>
        </w:tabs>
        <w:rPr>
          <w:color w:val="auto"/>
          <w:highlight w:val="none"/>
        </w:rPr>
      </w:pPr>
      <w:r>
        <w:rPr>
          <w:color w:val="auto"/>
          <w:highlight w:val="none"/>
        </w:rPr>
        <w:fldChar w:fldCharType="begin"/>
      </w:r>
      <w:r>
        <w:rPr>
          <w:color w:val="auto"/>
          <w:highlight w:val="none"/>
        </w:rPr>
        <w:instrText xml:space="preserve"> HYPERLINK \l _Toc3654 </w:instrText>
      </w:r>
      <w:r>
        <w:rPr>
          <w:color w:val="auto"/>
          <w:highlight w:val="none"/>
        </w:rPr>
        <w:fldChar w:fldCharType="separate"/>
      </w:r>
      <w:r>
        <w:rPr>
          <w:rFonts w:hint="eastAsia" w:ascii="宋体" w:hAnsi="宋体" w:eastAsia="宋体" w:cs="宋体"/>
          <w:color w:val="auto"/>
          <w:szCs w:val="21"/>
          <w:highlight w:val="none"/>
          <w:lang w:val="zh-CN"/>
        </w:rPr>
        <w:t>24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评标委员会</w:t>
      </w:r>
      <w:r>
        <w:rPr>
          <w:color w:val="auto"/>
          <w:highlight w:val="none"/>
        </w:rPr>
        <w:tab/>
      </w:r>
      <w:r>
        <w:rPr>
          <w:color w:val="auto"/>
          <w:highlight w:val="none"/>
        </w:rPr>
        <w:fldChar w:fldCharType="begin"/>
      </w:r>
      <w:r>
        <w:rPr>
          <w:color w:val="auto"/>
          <w:highlight w:val="none"/>
        </w:rPr>
        <w:instrText xml:space="preserve"> PAGEREF _Toc3654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14:paraId="70E87343">
      <w:pPr>
        <w:pStyle w:val="21"/>
        <w:tabs>
          <w:tab w:val="right" w:leader="dot" w:pos="10154"/>
          <w:tab w:val="clear" w:pos="10144"/>
        </w:tabs>
        <w:rPr>
          <w:color w:val="auto"/>
          <w:highlight w:val="none"/>
        </w:rPr>
      </w:pPr>
      <w:r>
        <w:rPr>
          <w:color w:val="auto"/>
          <w:highlight w:val="none"/>
        </w:rPr>
        <w:fldChar w:fldCharType="begin"/>
      </w:r>
      <w:r>
        <w:rPr>
          <w:color w:val="auto"/>
          <w:highlight w:val="none"/>
        </w:rPr>
        <w:instrText xml:space="preserve"> HYPERLINK \l _Toc17034 </w:instrText>
      </w:r>
      <w:r>
        <w:rPr>
          <w:color w:val="auto"/>
          <w:highlight w:val="none"/>
        </w:rPr>
        <w:fldChar w:fldCharType="separate"/>
      </w:r>
      <w:r>
        <w:rPr>
          <w:rFonts w:hint="eastAsia" w:ascii="宋体" w:hAnsi="宋体" w:eastAsia="宋体" w:cs="宋体"/>
          <w:color w:val="auto"/>
          <w:szCs w:val="21"/>
          <w:highlight w:val="none"/>
          <w:lang w:val="zh-CN"/>
        </w:rPr>
        <w:t>25</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投标文件的初审</w:t>
      </w:r>
      <w:r>
        <w:rPr>
          <w:color w:val="auto"/>
          <w:highlight w:val="none"/>
        </w:rPr>
        <w:tab/>
      </w:r>
      <w:r>
        <w:rPr>
          <w:color w:val="auto"/>
          <w:highlight w:val="none"/>
        </w:rPr>
        <w:fldChar w:fldCharType="begin"/>
      </w:r>
      <w:r>
        <w:rPr>
          <w:color w:val="auto"/>
          <w:highlight w:val="none"/>
        </w:rPr>
        <w:instrText xml:space="preserve"> PAGEREF _Toc17034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14:paraId="5F41845F">
      <w:pPr>
        <w:pStyle w:val="21"/>
        <w:tabs>
          <w:tab w:val="right" w:leader="dot" w:pos="10154"/>
          <w:tab w:val="clear" w:pos="10144"/>
        </w:tabs>
        <w:rPr>
          <w:color w:val="auto"/>
          <w:highlight w:val="none"/>
        </w:rPr>
      </w:pPr>
      <w:r>
        <w:rPr>
          <w:color w:val="auto"/>
          <w:highlight w:val="none"/>
        </w:rPr>
        <w:fldChar w:fldCharType="begin"/>
      </w:r>
      <w:r>
        <w:rPr>
          <w:color w:val="auto"/>
          <w:highlight w:val="none"/>
        </w:rPr>
        <w:instrText xml:space="preserve"> HYPERLINK \l _Toc8408 </w:instrText>
      </w:r>
      <w:r>
        <w:rPr>
          <w:color w:val="auto"/>
          <w:highlight w:val="none"/>
        </w:rPr>
        <w:fldChar w:fldCharType="separate"/>
      </w:r>
      <w:r>
        <w:rPr>
          <w:rFonts w:hint="eastAsia" w:ascii="宋体" w:hAnsi="宋体" w:eastAsia="宋体" w:cs="宋体"/>
          <w:color w:val="auto"/>
          <w:szCs w:val="21"/>
          <w:highlight w:val="none"/>
          <w:lang w:val="zh-CN"/>
        </w:rPr>
        <w:t>26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投标文件的澄清</w:t>
      </w:r>
      <w:r>
        <w:rPr>
          <w:color w:val="auto"/>
          <w:highlight w:val="none"/>
        </w:rPr>
        <w:tab/>
      </w:r>
      <w:r>
        <w:rPr>
          <w:color w:val="auto"/>
          <w:highlight w:val="none"/>
        </w:rPr>
        <w:fldChar w:fldCharType="begin"/>
      </w:r>
      <w:r>
        <w:rPr>
          <w:color w:val="auto"/>
          <w:highlight w:val="none"/>
        </w:rPr>
        <w:instrText xml:space="preserve"> PAGEREF _Toc8408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14:paraId="153FC9B1">
      <w:pPr>
        <w:pStyle w:val="21"/>
        <w:tabs>
          <w:tab w:val="right" w:leader="dot" w:pos="10154"/>
          <w:tab w:val="clear" w:pos="10144"/>
        </w:tabs>
        <w:rPr>
          <w:color w:val="auto"/>
          <w:highlight w:val="none"/>
        </w:rPr>
      </w:pPr>
      <w:r>
        <w:rPr>
          <w:color w:val="auto"/>
          <w:highlight w:val="none"/>
        </w:rPr>
        <w:fldChar w:fldCharType="begin"/>
      </w:r>
      <w:r>
        <w:rPr>
          <w:color w:val="auto"/>
          <w:highlight w:val="none"/>
        </w:rPr>
        <w:instrText xml:space="preserve"> HYPERLINK \l _Toc14541 </w:instrText>
      </w:r>
      <w:r>
        <w:rPr>
          <w:color w:val="auto"/>
          <w:highlight w:val="none"/>
        </w:rPr>
        <w:fldChar w:fldCharType="separate"/>
      </w:r>
      <w:r>
        <w:rPr>
          <w:rFonts w:hint="eastAsia" w:ascii="宋体" w:hAnsi="宋体" w:eastAsia="宋体" w:cs="宋体"/>
          <w:color w:val="auto"/>
          <w:szCs w:val="21"/>
          <w:highlight w:val="none"/>
          <w:lang w:val="zh-CN"/>
        </w:rPr>
        <w:t>27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对投标文件的比较和评价</w:t>
      </w:r>
      <w:r>
        <w:rPr>
          <w:color w:val="auto"/>
          <w:highlight w:val="none"/>
        </w:rPr>
        <w:tab/>
      </w:r>
      <w:r>
        <w:rPr>
          <w:color w:val="auto"/>
          <w:highlight w:val="none"/>
        </w:rPr>
        <w:fldChar w:fldCharType="begin"/>
      </w:r>
      <w:r>
        <w:rPr>
          <w:color w:val="auto"/>
          <w:highlight w:val="none"/>
        </w:rPr>
        <w:instrText xml:space="preserve"> PAGEREF _Toc14541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6A592352">
      <w:pPr>
        <w:pStyle w:val="21"/>
        <w:tabs>
          <w:tab w:val="right" w:leader="dot" w:pos="10154"/>
          <w:tab w:val="clear" w:pos="10144"/>
        </w:tabs>
        <w:rPr>
          <w:color w:val="auto"/>
          <w:highlight w:val="none"/>
        </w:rPr>
      </w:pPr>
      <w:r>
        <w:rPr>
          <w:color w:val="auto"/>
          <w:highlight w:val="none"/>
        </w:rPr>
        <w:fldChar w:fldCharType="begin"/>
      </w:r>
      <w:r>
        <w:rPr>
          <w:color w:val="auto"/>
          <w:highlight w:val="none"/>
        </w:rPr>
        <w:instrText xml:space="preserve"> HYPERLINK \l _Toc11202 </w:instrText>
      </w:r>
      <w:r>
        <w:rPr>
          <w:color w:val="auto"/>
          <w:highlight w:val="none"/>
        </w:rPr>
        <w:fldChar w:fldCharType="separate"/>
      </w:r>
      <w:r>
        <w:rPr>
          <w:rFonts w:hint="eastAsia" w:ascii="宋体" w:hAnsi="宋体" w:eastAsia="宋体" w:cs="宋体"/>
          <w:color w:val="auto"/>
          <w:szCs w:val="21"/>
          <w:highlight w:val="none"/>
          <w:lang w:val="zh-CN"/>
        </w:rPr>
        <w:t>28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评标原则及方法</w:t>
      </w:r>
      <w:r>
        <w:rPr>
          <w:color w:val="auto"/>
          <w:highlight w:val="none"/>
        </w:rPr>
        <w:tab/>
      </w:r>
      <w:r>
        <w:rPr>
          <w:color w:val="auto"/>
          <w:highlight w:val="none"/>
        </w:rPr>
        <w:fldChar w:fldCharType="begin"/>
      </w:r>
      <w:r>
        <w:rPr>
          <w:color w:val="auto"/>
          <w:highlight w:val="none"/>
        </w:rPr>
        <w:instrText xml:space="preserve"> PAGEREF _Toc11202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41971A2E">
      <w:pPr>
        <w:pStyle w:val="21"/>
        <w:tabs>
          <w:tab w:val="right" w:leader="dot" w:pos="10154"/>
          <w:tab w:val="clear" w:pos="10144"/>
        </w:tabs>
        <w:rPr>
          <w:color w:val="auto"/>
          <w:highlight w:val="none"/>
        </w:rPr>
      </w:pPr>
      <w:r>
        <w:rPr>
          <w:color w:val="auto"/>
          <w:highlight w:val="none"/>
        </w:rPr>
        <w:fldChar w:fldCharType="begin"/>
      </w:r>
      <w:r>
        <w:rPr>
          <w:color w:val="auto"/>
          <w:highlight w:val="none"/>
        </w:rPr>
        <w:instrText xml:space="preserve"> HYPERLINK \l _Toc26642 </w:instrText>
      </w:r>
      <w:r>
        <w:rPr>
          <w:color w:val="auto"/>
          <w:highlight w:val="none"/>
        </w:rPr>
        <w:fldChar w:fldCharType="separate"/>
      </w: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 xml:space="preserve">9 </w:t>
      </w:r>
      <w:r>
        <w:rPr>
          <w:rFonts w:hint="eastAsia" w:ascii="宋体" w:hAnsi="宋体" w:eastAsia="宋体" w:cs="宋体"/>
          <w:color w:val="auto"/>
          <w:szCs w:val="21"/>
          <w:highlight w:val="none"/>
          <w:lang w:val="zh-CN"/>
        </w:rPr>
        <w:t>评标结果公</w:t>
      </w:r>
      <w:r>
        <w:rPr>
          <w:rFonts w:hint="eastAsia" w:ascii="宋体" w:hAnsi="宋体" w:eastAsia="宋体" w:cs="Times New Roman"/>
          <w:color w:val="auto"/>
          <w:szCs w:val="21"/>
          <w:highlight w:val="none"/>
          <w:lang w:val="zh-CN"/>
        </w:rPr>
        <w:t>示</w:t>
      </w:r>
      <w:r>
        <w:rPr>
          <w:rFonts w:hint="eastAsia" w:ascii="宋体" w:hAnsi="宋体" w:eastAsia="宋体" w:cs="宋体"/>
          <w:color w:val="auto"/>
          <w:szCs w:val="21"/>
          <w:highlight w:val="none"/>
          <w:lang w:val="zh-CN"/>
        </w:rPr>
        <w:t>及异议、投诉</w:t>
      </w:r>
      <w:r>
        <w:rPr>
          <w:color w:val="auto"/>
          <w:highlight w:val="none"/>
        </w:rPr>
        <w:tab/>
      </w:r>
      <w:r>
        <w:rPr>
          <w:color w:val="auto"/>
          <w:highlight w:val="none"/>
        </w:rPr>
        <w:fldChar w:fldCharType="begin"/>
      </w:r>
      <w:r>
        <w:rPr>
          <w:color w:val="auto"/>
          <w:highlight w:val="none"/>
        </w:rPr>
        <w:instrText xml:space="preserve"> PAGEREF _Toc26642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64C7A014">
      <w:pPr>
        <w:pStyle w:val="21"/>
        <w:tabs>
          <w:tab w:val="right" w:leader="dot" w:pos="10154"/>
          <w:tab w:val="clear" w:pos="10144"/>
        </w:tabs>
        <w:rPr>
          <w:color w:val="auto"/>
          <w:highlight w:val="none"/>
        </w:rPr>
      </w:pPr>
      <w:r>
        <w:rPr>
          <w:color w:val="auto"/>
          <w:highlight w:val="none"/>
        </w:rPr>
        <w:fldChar w:fldCharType="begin"/>
      </w:r>
      <w:r>
        <w:rPr>
          <w:color w:val="auto"/>
          <w:highlight w:val="none"/>
        </w:rPr>
        <w:instrText xml:space="preserve"> HYPERLINK \l _Toc25222 </w:instrText>
      </w:r>
      <w:r>
        <w:rPr>
          <w:color w:val="auto"/>
          <w:highlight w:val="none"/>
        </w:rPr>
        <w:fldChar w:fldCharType="separate"/>
      </w:r>
      <w:r>
        <w:rPr>
          <w:rFonts w:hint="eastAsia" w:ascii="宋体" w:hAnsi="宋体" w:eastAsia="宋体" w:cs="宋体"/>
          <w:color w:val="auto"/>
          <w:szCs w:val="21"/>
          <w:highlight w:val="none"/>
        </w:rPr>
        <w:t>30</w:t>
      </w:r>
      <w:r>
        <w:rPr>
          <w:rFonts w:hint="eastAsia" w:ascii="宋体" w:hAnsi="宋体" w:eastAsia="宋体" w:cs="宋体"/>
          <w:color w:val="auto"/>
          <w:szCs w:val="21"/>
          <w:highlight w:val="none"/>
          <w:lang w:val="zh-CN"/>
        </w:rPr>
        <w:t xml:space="preserve"> 真实性审查</w:t>
      </w:r>
      <w:r>
        <w:rPr>
          <w:color w:val="auto"/>
          <w:highlight w:val="none"/>
        </w:rPr>
        <w:tab/>
      </w:r>
      <w:r>
        <w:rPr>
          <w:color w:val="auto"/>
          <w:highlight w:val="none"/>
        </w:rPr>
        <w:fldChar w:fldCharType="begin"/>
      </w:r>
      <w:r>
        <w:rPr>
          <w:color w:val="auto"/>
          <w:highlight w:val="none"/>
        </w:rPr>
        <w:instrText xml:space="preserve"> PAGEREF _Toc25222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14:paraId="58F0E668">
      <w:pPr>
        <w:pStyle w:val="21"/>
        <w:tabs>
          <w:tab w:val="right" w:leader="dot" w:pos="10154"/>
          <w:tab w:val="clear" w:pos="10144"/>
        </w:tabs>
        <w:rPr>
          <w:color w:val="auto"/>
          <w:highlight w:val="none"/>
        </w:rPr>
      </w:pPr>
      <w:r>
        <w:rPr>
          <w:color w:val="auto"/>
          <w:highlight w:val="none"/>
        </w:rPr>
        <w:fldChar w:fldCharType="begin"/>
      </w:r>
      <w:r>
        <w:rPr>
          <w:color w:val="auto"/>
          <w:highlight w:val="none"/>
        </w:rPr>
        <w:instrText xml:space="preserve"> HYPERLINK \l _Toc22576 </w:instrText>
      </w:r>
      <w:r>
        <w:rPr>
          <w:color w:val="auto"/>
          <w:highlight w:val="none"/>
        </w:rPr>
        <w:fldChar w:fldCharType="separate"/>
      </w:r>
      <w:r>
        <w:rPr>
          <w:rFonts w:hint="eastAsia" w:ascii="宋体" w:hAnsi="宋体" w:eastAsia="宋体" w:cs="宋体"/>
          <w:color w:val="auto"/>
          <w:szCs w:val="21"/>
          <w:highlight w:val="none"/>
        </w:rPr>
        <w:t>31</w:t>
      </w:r>
      <w:r>
        <w:rPr>
          <w:rFonts w:hint="eastAsia" w:ascii="宋体" w:hAnsi="宋体" w:eastAsia="宋体" w:cs="宋体"/>
          <w:color w:val="auto"/>
          <w:szCs w:val="21"/>
          <w:highlight w:val="none"/>
          <w:lang w:val="zh-CN"/>
        </w:rPr>
        <w:t xml:space="preserve"> 评标委员会和招标人接受或拒绝任何投标或所有投标的权利</w:t>
      </w:r>
      <w:r>
        <w:rPr>
          <w:color w:val="auto"/>
          <w:highlight w:val="none"/>
        </w:rPr>
        <w:tab/>
      </w:r>
      <w:r>
        <w:rPr>
          <w:color w:val="auto"/>
          <w:highlight w:val="none"/>
        </w:rPr>
        <w:fldChar w:fldCharType="begin"/>
      </w:r>
      <w:r>
        <w:rPr>
          <w:color w:val="auto"/>
          <w:highlight w:val="none"/>
        </w:rPr>
        <w:instrText xml:space="preserve"> PAGEREF _Toc22576 \h </w:instrText>
      </w:r>
      <w:r>
        <w:rPr>
          <w:color w:val="auto"/>
          <w:highlight w:val="none"/>
        </w:rPr>
        <w:fldChar w:fldCharType="separate"/>
      </w:r>
      <w:r>
        <w:rPr>
          <w:color w:val="auto"/>
          <w:highlight w:val="none"/>
        </w:rPr>
        <w:t>17</w:t>
      </w:r>
      <w:r>
        <w:rPr>
          <w:color w:val="auto"/>
          <w:highlight w:val="none"/>
        </w:rPr>
        <w:fldChar w:fldCharType="end"/>
      </w:r>
      <w:r>
        <w:rPr>
          <w:color w:val="auto"/>
          <w:highlight w:val="none"/>
        </w:rPr>
        <w:fldChar w:fldCharType="end"/>
      </w:r>
    </w:p>
    <w:p w14:paraId="59EF4D8B">
      <w:pPr>
        <w:pStyle w:val="28"/>
        <w:tabs>
          <w:tab w:val="right" w:leader="dot" w:pos="10154"/>
        </w:tabs>
        <w:rPr>
          <w:color w:val="auto"/>
          <w:highlight w:val="none"/>
        </w:rPr>
      </w:pPr>
      <w:r>
        <w:rPr>
          <w:color w:val="auto"/>
          <w:highlight w:val="none"/>
        </w:rPr>
        <w:fldChar w:fldCharType="begin"/>
      </w:r>
      <w:r>
        <w:rPr>
          <w:color w:val="auto"/>
          <w:highlight w:val="none"/>
        </w:rPr>
        <w:instrText xml:space="preserve"> HYPERLINK \l _Toc11919 </w:instrText>
      </w:r>
      <w:r>
        <w:rPr>
          <w:color w:val="auto"/>
          <w:highlight w:val="none"/>
        </w:rPr>
        <w:fldChar w:fldCharType="separate"/>
      </w:r>
      <w:r>
        <w:rPr>
          <w:rFonts w:hint="eastAsia" w:ascii="宋体" w:hAnsi="宋体" w:eastAsia="宋体" w:cs="宋体"/>
          <w:bCs/>
          <w:color w:val="auto"/>
          <w:kern w:val="44"/>
          <w:szCs w:val="21"/>
          <w:highlight w:val="none"/>
          <w:lang w:val="zh-CN"/>
        </w:rPr>
        <w:t>六、授予合同</w:t>
      </w:r>
      <w:r>
        <w:rPr>
          <w:color w:val="auto"/>
          <w:highlight w:val="none"/>
        </w:rPr>
        <w:tab/>
      </w:r>
      <w:r>
        <w:rPr>
          <w:color w:val="auto"/>
          <w:highlight w:val="none"/>
        </w:rPr>
        <w:fldChar w:fldCharType="begin"/>
      </w:r>
      <w:r>
        <w:rPr>
          <w:color w:val="auto"/>
          <w:highlight w:val="none"/>
        </w:rPr>
        <w:instrText xml:space="preserve"> PAGEREF _Toc11919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1DC133C7">
      <w:pPr>
        <w:pStyle w:val="21"/>
        <w:tabs>
          <w:tab w:val="right" w:leader="dot" w:pos="10154"/>
          <w:tab w:val="clear" w:pos="10144"/>
        </w:tabs>
        <w:rPr>
          <w:color w:val="auto"/>
          <w:highlight w:val="none"/>
        </w:rPr>
      </w:pPr>
      <w:r>
        <w:rPr>
          <w:color w:val="auto"/>
          <w:highlight w:val="none"/>
        </w:rPr>
        <w:fldChar w:fldCharType="begin"/>
      </w:r>
      <w:r>
        <w:rPr>
          <w:color w:val="auto"/>
          <w:highlight w:val="none"/>
        </w:rPr>
        <w:instrText xml:space="preserve"> HYPERLINK \l _Toc4623 </w:instrText>
      </w:r>
      <w:r>
        <w:rPr>
          <w:color w:val="auto"/>
          <w:highlight w:val="none"/>
        </w:rPr>
        <w:fldChar w:fldCharType="separate"/>
      </w:r>
      <w:r>
        <w:rPr>
          <w:rFonts w:hint="eastAsia" w:ascii="宋体" w:hAnsi="宋体" w:eastAsia="宋体" w:cs="宋体"/>
          <w:color w:val="auto"/>
          <w:szCs w:val="21"/>
          <w:highlight w:val="none"/>
        </w:rPr>
        <w:t>32</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授予合同的准则</w:t>
      </w:r>
      <w:r>
        <w:rPr>
          <w:color w:val="auto"/>
          <w:highlight w:val="none"/>
        </w:rPr>
        <w:tab/>
      </w:r>
      <w:r>
        <w:rPr>
          <w:color w:val="auto"/>
          <w:highlight w:val="none"/>
        </w:rPr>
        <w:fldChar w:fldCharType="begin"/>
      </w:r>
      <w:r>
        <w:rPr>
          <w:color w:val="auto"/>
          <w:highlight w:val="none"/>
        </w:rPr>
        <w:instrText xml:space="preserve"> PAGEREF _Toc4623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33F8A4C4">
      <w:pPr>
        <w:pStyle w:val="21"/>
        <w:tabs>
          <w:tab w:val="right" w:leader="dot" w:pos="10154"/>
          <w:tab w:val="clear" w:pos="10144"/>
        </w:tabs>
        <w:rPr>
          <w:color w:val="auto"/>
          <w:highlight w:val="none"/>
        </w:rPr>
      </w:pPr>
      <w:r>
        <w:rPr>
          <w:color w:val="auto"/>
          <w:highlight w:val="none"/>
        </w:rPr>
        <w:fldChar w:fldCharType="begin"/>
      </w:r>
      <w:r>
        <w:rPr>
          <w:color w:val="auto"/>
          <w:highlight w:val="none"/>
        </w:rPr>
        <w:instrText xml:space="preserve"> HYPERLINK \l _Toc19878 </w:instrText>
      </w:r>
      <w:r>
        <w:rPr>
          <w:color w:val="auto"/>
          <w:highlight w:val="none"/>
        </w:rPr>
        <w:fldChar w:fldCharType="separate"/>
      </w:r>
      <w:r>
        <w:rPr>
          <w:rFonts w:hint="eastAsia" w:ascii="宋体" w:hAnsi="宋体" w:eastAsia="宋体" w:cs="宋体"/>
          <w:color w:val="auto"/>
          <w:szCs w:val="21"/>
          <w:highlight w:val="none"/>
          <w:lang w:val="zh-CN"/>
        </w:rPr>
        <w:t>33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中标通知</w:t>
      </w:r>
      <w:r>
        <w:rPr>
          <w:color w:val="auto"/>
          <w:highlight w:val="none"/>
        </w:rPr>
        <w:tab/>
      </w:r>
      <w:r>
        <w:rPr>
          <w:color w:val="auto"/>
          <w:highlight w:val="none"/>
        </w:rPr>
        <w:fldChar w:fldCharType="begin"/>
      </w:r>
      <w:r>
        <w:rPr>
          <w:color w:val="auto"/>
          <w:highlight w:val="none"/>
        </w:rPr>
        <w:instrText xml:space="preserve"> PAGEREF _Toc19878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4E534AC3">
      <w:pPr>
        <w:pStyle w:val="21"/>
        <w:tabs>
          <w:tab w:val="right" w:leader="dot" w:pos="10154"/>
          <w:tab w:val="clear" w:pos="10144"/>
        </w:tabs>
        <w:rPr>
          <w:color w:val="auto"/>
          <w:highlight w:val="none"/>
        </w:rPr>
      </w:pPr>
      <w:r>
        <w:rPr>
          <w:color w:val="auto"/>
          <w:highlight w:val="none"/>
        </w:rPr>
        <w:fldChar w:fldCharType="begin"/>
      </w:r>
      <w:r>
        <w:rPr>
          <w:color w:val="auto"/>
          <w:highlight w:val="none"/>
        </w:rPr>
        <w:instrText xml:space="preserve"> HYPERLINK \l _Toc23246 </w:instrText>
      </w:r>
      <w:r>
        <w:rPr>
          <w:color w:val="auto"/>
          <w:highlight w:val="none"/>
        </w:rPr>
        <w:fldChar w:fldCharType="separate"/>
      </w:r>
      <w:r>
        <w:rPr>
          <w:rFonts w:hint="eastAsia" w:ascii="宋体" w:hAnsi="宋体" w:eastAsia="宋体" w:cs="宋体"/>
          <w:color w:val="auto"/>
          <w:szCs w:val="21"/>
          <w:highlight w:val="none"/>
        </w:rPr>
        <w:t>34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签署合同</w:t>
      </w:r>
      <w:r>
        <w:rPr>
          <w:color w:val="auto"/>
          <w:highlight w:val="none"/>
        </w:rPr>
        <w:tab/>
      </w:r>
      <w:r>
        <w:rPr>
          <w:color w:val="auto"/>
          <w:highlight w:val="none"/>
        </w:rPr>
        <w:fldChar w:fldCharType="begin"/>
      </w:r>
      <w:r>
        <w:rPr>
          <w:color w:val="auto"/>
          <w:highlight w:val="none"/>
        </w:rPr>
        <w:instrText xml:space="preserve"> PAGEREF _Toc23246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147900BE">
      <w:pPr>
        <w:pStyle w:val="21"/>
        <w:tabs>
          <w:tab w:val="right" w:leader="dot" w:pos="10154"/>
          <w:tab w:val="clear" w:pos="10144"/>
        </w:tabs>
        <w:rPr>
          <w:color w:val="auto"/>
          <w:highlight w:val="none"/>
        </w:rPr>
      </w:pPr>
      <w:r>
        <w:rPr>
          <w:color w:val="auto"/>
          <w:highlight w:val="none"/>
        </w:rPr>
        <w:fldChar w:fldCharType="begin"/>
      </w:r>
      <w:r>
        <w:rPr>
          <w:color w:val="auto"/>
          <w:highlight w:val="none"/>
        </w:rPr>
        <w:instrText xml:space="preserve"> HYPERLINK \l _Toc23810 </w:instrText>
      </w:r>
      <w:r>
        <w:rPr>
          <w:color w:val="auto"/>
          <w:highlight w:val="none"/>
        </w:rPr>
        <w:fldChar w:fldCharType="separate"/>
      </w:r>
      <w:r>
        <w:rPr>
          <w:rFonts w:hint="eastAsia" w:ascii="宋体" w:hAnsi="宋体" w:eastAsia="宋体" w:cs="宋体"/>
          <w:color w:val="auto"/>
          <w:szCs w:val="21"/>
          <w:highlight w:val="none"/>
        </w:rPr>
        <w:t>35</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履约担保</w:t>
      </w:r>
      <w:r>
        <w:rPr>
          <w:color w:val="auto"/>
          <w:highlight w:val="none"/>
        </w:rPr>
        <w:tab/>
      </w:r>
      <w:r>
        <w:rPr>
          <w:color w:val="auto"/>
          <w:highlight w:val="none"/>
        </w:rPr>
        <w:fldChar w:fldCharType="begin"/>
      </w:r>
      <w:r>
        <w:rPr>
          <w:color w:val="auto"/>
          <w:highlight w:val="none"/>
        </w:rPr>
        <w:instrText xml:space="preserve"> PAGEREF _Toc23810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7F6DA513">
      <w:pPr>
        <w:pStyle w:val="21"/>
        <w:tabs>
          <w:tab w:val="right" w:leader="dot" w:pos="10154"/>
          <w:tab w:val="clear" w:pos="10144"/>
        </w:tabs>
        <w:rPr>
          <w:color w:val="auto"/>
          <w:highlight w:val="none"/>
        </w:rPr>
      </w:pPr>
      <w:r>
        <w:rPr>
          <w:color w:val="auto"/>
          <w:highlight w:val="none"/>
        </w:rPr>
        <w:fldChar w:fldCharType="begin"/>
      </w:r>
      <w:r>
        <w:rPr>
          <w:color w:val="auto"/>
          <w:highlight w:val="none"/>
        </w:rPr>
        <w:instrText xml:space="preserve"> HYPERLINK \l _Toc23822 </w:instrText>
      </w:r>
      <w:r>
        <w:rPr>
          <w:color w:val="auto"/>
          <w:highlight w:val="none"/>
        </w:rPr>
        <w:fldChar w:fldCharType="separate"/>
      </w:r>
      <w:r>
        <w:rPr>
          <w:rFonts w:hint="eastAsia" w:ascii="宋体" w:hAnsi="宋体" w:eastAsia="宋体" w:cs="宋体"/>
          <w:color w:val="auto"/>
          <w:szCs w:val="21"/>
          <w:highlight w:val="none"/>
        </w:rPr>
        <w:t>36</w:t>
      </w:r>
      <w:r>
        <w:rPr>
          <w:rFonts w:hint="eastAsia" w:ascii="宋体" w:hAnsi="宋体" w:eastAsia="宋体" w:cs="宋体"/>
          <w:color w:val="auto"/>
          <w:szCs w:val="21"/>
          <w:highlight w:val="none"/>
          <w:lang w:val="zh-CN"/>
        </w:rPr>
        <w:t xml:space="preserve"> 在合同履行中变更采购范围的权利</w:t>
      </w:r>
      <w:r>
        <w:rPr>
          <w:color w:val="auto"/>
          <w:highlight w:val="none"/>
        </w:rPr>
        <w:tab/>
      </w:r>
      <w:r>
        <w:rPr>
          <w:color w:val="auto"/>
          <w:highlight w:val="none"/>
        </w:rPr>
        <w:fldChar w:fldCharType="begin"/>
      </w:r>
      <w:r>
        <w:rPr>
          <w:color w:val="auto"/>
          <w:highlight w:val="none"/>
        </w:rPr>
        <w:instrText xml:space="preserve"> PAGEREF _Toc23822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14:paraId="1A7606CE">
      <w:pPr>
        <w:pStyle w:val="21"/>
        <w:tabs>
          <w:tab w:val="right" w:leader="dot" w:pos="10154"/>
          <w:tab w:val="clear" w:pos="10144"/>
        </w:tabs>
        <w:rPr>
          <w:color w:val="auto"/>
          <w:highlight w:val="none"/>
        </w:rPr>
      </w:pPr>
      <w:r>
        <w:rPr>
          <w:color w:val="auto"/>
          <w:highlight w:val="none"/>
        </w:rPr>
        <w:fldChar w:fldCharType="begin"/>
      </w:r>
      <w:r>
        <w:rPr>
          <w:color w:val="auto"/>
          <w:highlight w:val="none"/>
        </w:rPr>
        <w:instrText xml:space="preserve"> HYPERLINK \l _Toc32225 </w:instrText>
      </w:r>
      <w:r>
        <w:rPr>
          <w:color w:val="auto"/>
          <w:highlight w:val="none"/>
        </w:rPr>
        <w:fldChar w:fldCharType="separate"/>
      </w:r>
      <w:r>
        <w:rPr>
          <w:rFonts w:hint="eastAsia" w:ascii="宋体" w:hAnsi="宋体" w:eastAsia="宋体" w:cs="宋体"/>
          <w:color w:val="auto"/>
          <w:szCs w:val="21"/>
          <w:highlight w:val="none"/>
        </w:rPr>
        <w:t>37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中标服务费</w:t>
      </w:r>
      <w:r>
        <w:rPr>
          <w:color w:val="auto"/>
          <w:highlight w:val="none"/>
        </w:rPr>
        <w:tab/>
      </w:r>
      <w:r>
        <w:rPr>
          <w:color w:val="auto"/>
          <w:highlight w:val="none"/>
        </w:rPr>
        <w:fldChar w:fldCharType="begin"/>
      </w:r>
      <w:r>
        <w:rPr>
          <w:color w:val="auto"/>
          <w:highlight w:val="none"/>
        </w:rPr>
        <w:instrText xml:space="preserve"> PAGEREF _Toc32225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14:paraId="1C9ACDDB">
      <w:pPr>
        <w:pStyle w:val="21"/>
        <w:tabs>
          <w:tab w:val="right" w:leader="dot" w:pos="10154"/>
          <w:tab w:val="clear" w:pos="10144"/>
        </w:tabs>
        <w:rPr>
          <w:color w:val="auto"/>
          <w:highlight w:val="none"/>
        </w:rPr>
      </w:pPr>
      <w:r>
        <w:rPr>
          <w:color w:val="auto"/>
          <w:highlight w:val="none"/>
        </w:rPr>
        <w:fldChar w:fldCharType="begin"/>
      </w:r>
      <w:r>
        <w:rPr>
          <w:color w:val="auto"/>
          <w:highlight w:val="none"/>
        </w:rPr>
        <w:instrText xml:space="preserve"> HYPERLINK \l _Toc22964 </w:instrText>
      </w:r>
      <w:r>
        <w:rPr>
          <w:color w:val="auto"/>
          <w:highlight w:val="none"/>
        </w:rPr>
        <w:fldChar w:fldCharType="separate"/>
      </w:r>
      <w:r>
        <w:rPr>
          <w:rFonts w:hint="eastAsia" w:ascii="宋体" w:hAnsi="宋体" w:eastAsia="宋体" w:cs="宋体"/>
          <w:color w:val="auto"/>
          <w:szCs w:val="21"/>
          <w:highlight w:val="none"/>
        </w:rPr>
        <w:t>38</w:t>
      </w:r>
      <w:r>
        <w:rPr>
          <w:rFonts w:hint="eastAsia" w:ascii="宋体" w:hAnsi="宋体" w:eastAsia="宋体" w:cs="宋体"/>
          <w:color w:val="auto"/>
          <w:szCs w:val="21"/>
          <w:highlight w:val="none"/>
          <w:lang w:val="zh-CN"/>
        </w:rPr>
        <w:t xml:space="preserve"> 发票</w:t>
      </w:r>
      <w:r>
        <w:rPr>
          <w:color w:val="auto"/>
          <w:highlight w:val="none"/>
        </w:rPr>
        <w:tab/>
      </w:r>
      <w:r>
        <w:rPr>
          <w:color w:val="auto"/>
          <w:highlight w:val="none"/>
        </w:rPr>
        <w:fldChar w:fldCharType="begin"/>
      </w:r>
      <w:r>
        <w:rPr>
          <w:color w:val="auto"/>
          <w:highlight w:val="none"/>
        </w:rPr>
        <w:instrText xml:space="preserve"> PAGEREF _Toc22964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14:paraId="2B3E8E6F">
      <w:pPr>
        <w:pStyle w:val="21"/>
        <w:tabs>
          <w:tab w:val="right" w:leader="dot" w:pos="10154"/>
          <w:tab w:val="clear" w:pos="10144"/>
        </w:tabs>
        <w:rPr>
          <w:color w:val="auto"/>
          <w:highlight w:val="none"/>
        </w:rPr>
      </w:pPr>
      <w:r>
        <w:rPr>
          <w:color w:val="auto"/>
          <w:highlight w:val="none"/>
        </w:rPr>
        <w:fldChar w:fldCharType="begin"/>
      </w:r>
      <w:r>
        <w:rPr>
          <w:color w:val="auto"/>
          <w:highlight w:val="none"/>
        </w:rPr>
        <w:instrText xml:space="preserve"> HYPERLINK \l _Toc26566 </w:instrText>
      </w:r>
      <w:r>
        <w:rPr>
          <w:color w:val="auto"/>
          <w:highlight w:val="none"/>
        </w:rPr>
        <w:fldChar w:fldCharType="separate"/>
      </w:r>
      <w:r>
        <w:rPr>
          <w:rFonts w:ascii="宋体" w:hAnsi="宋体" w:eastAsia="宋体" w:cs="宋体"/>
          <w:color w:val="auto"/>
          <w:szCs w:val="21"/>
          <w:highlight w:val="none"/>
        </w:rPr>
        <w:t>39 招标相关补充约定</w:t>
      </w:r>
      <w:r>
        <w:rPr>
          <w:color w:val="auto"/>
          <w:highlight w:val="none"/>
        </w:rPr>
        <w:tab/>
      </w:r>
      <w:r>
        <w:rPr>
          <w:color w:val="auto"/>
          <w:highlight w:val="none"/>
        </w:rPr>
        <w:fldChar w:fldCharType="begin"/>
      </w:r>
      <w:r>
        <w:rPr>
          <w:color w:val="auto"/>
          <w:highlight w:val="none"/>
        </w:rPr>
        <w:instrText xml:space="preserve"> PAGEREF _Toc26566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14:paraId="366CB246">
      <w:pPr>
        <w:pStyle w:val="21"/>
        <w:tabs>
          <w:tab w:val="right" w:leader="dot" w:pos="10154"/>
          <w:tab w:val="clear" w:pos="10144"/>
        </w:tabs>
        <w:rPr>
          <w:color w:val="auto"/>
          <w:highlight w:val="none"/>
        </w:rPr>
      </w:pPr>
      <w:r>
        <w:rPr>
          <w:color w:val="auto"/>
          <w:highlight w:val="none"/>
        </w:rPr>
        <w:fldChar w:fldCharType="begin"/>
      </w:r>
      <w:r>
        <w:rPr>
          <w:color w:val="auto"/>
          <w:highlight w:val="none"/>
        </w:rPr>
        <w:instrText xml:space="preserve"> HYPERLINK \l _Toc929 </w:instrText>
      </w:r>
      <w:r>
        <w:rPr>
          <w:color w:val="auto"/>
          <w:highlight w:val="none"/>
        </w:rPr>
        <w:fldChar w:fldCharType="separate"/>
      </w:r>
      <w:r>
        <w:rPr>
          <w:rFonts w:ascii="宋体" w:hAnsi="宋体" w:eastAsia="宋体" w:cs="宋体"/>
          <w:color w:val="auto"/>
          <w:szCs w:val="21"/>
          <w:highlight w:val="none"/>
        </w:rPr>
        <w:t>40</w:t>
      </w:r>
      <w:r>
        <w:rPr>
          <w:rFonts w:hint="eastAsia" w:ascii="宋体" w:hAnsi="宋体" w:eastAsia="宋体" w:cs="宋体"/>
          <w:color w:val="auto"/>
          <w:szCs w:val="21"/>
          <w:highlight w:val="none"/>
        </w:rPr>
        <w:t xml:space="preserve"> 本次招标活动的最终解释权归招标代理机构及招标人所有。</w:t>
      </w:r>
      <w:r>
        <w:rPr>
          <w:color w:val="auto"/>
          <w:highlight w:val="none"/>
        </w:rPr>
        <w:tab/>
      </w:r>
      <w:r>
        <w:rPr>
          <w:color w:val="auto"/>
          <w:highlight w:val="none"/>
        </w:rPr>
        <w:fldChar w:fldCharType="begin"/>
      </w:r>
      <w:r>
        <w:rPr>
          <w:color w:val="auto"/>
          <w:highlight w:val="none"/>
        </w:rPr>
        <w:instrText xml:space="preserve"> PAGEREF _Toc929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14:paraId="07EE449D">
      <w:pPr>
        <w:pStyle w:val="28"/>
        <w:tabs>
          <w:tab w:val="right" w:leader="dot" w:pos="10154"/>
        </w:tabs>
        <w:rPr>
          <w:color w:val="auto"/>
          <w:highlight w:val="none"/>
        </w:rPr>
      </w:pPr>
      <w:r>
        <w:rPr>
          <w:color w:val="auto"/>
          <w:highlight w:val="none"/>
        </w:rPr>
        <w:fldChar w:fldCharType="begin"/>
      </w:r>
      <w:r>
        <w:rPr>
          <w:color w:val="auto"/>
          <w:highlight w:val="none"/>
        </w:rPr>
        <w:instrText xml:space="preserve"> HYPERLINK \l _Toc7634 </w:instrText>
      </w:r>
      <w:r>
        <w:rPr>
          <w:color w:val="auto"/>
          <w:highlight w:val="none"/>
        </w:rPr>
        <w:fldChar w:fldCharType="separate"/>
      </w:r>
      <w:r>
        <w:rPr>
          <w:rFonts w:hint="eastAsia" w:ascii="宋体" w:hAnsi="宋体" w:eastAsia="宋体" w:cs="宋体"/>
          <w:bCs/>
          <w:color w:val="auto"/>
          <w:kern w:val="44"/>
          <w:szCs w:val="32"/>
          <w:highlight w:val="none"/>
          <w:lang w:val="zh-CN"/>
        </w:rPr>
        <w:t>第三篇</w:t>
      </w:r>
      <w:r>
        <w:rPr>
          <w:rFonts w:ascii="宋体" w:hAnsi="宋体" w:eastAsia="宋体" w:cs="宋体"/>
          <w:bCs/>
          <w:color w:val="auto"/>
          <w:kern w:val="44"/>
          <w:szCs w:val="32"/>
          <w:highlight w:val="none"/>
          <w:lang w:val="zh-CN"/>
        </w:rPr>
        <w:t xml:space="preserve"> </w:t>
      </w:r>
      <w:r>
        <w:rPr>
          <w:rFonts w:hint="eastAsia" w:ascii="宋体" w:hAnsi="宋体" w:eastAsia="宋体" w:cs="宋体"/>
          <w:bCs/>
          <w:color w:val="auto"/>
          <w:kern w:val="44"/>
          <w:szCs w:val="32"/>
          <w:highlight w:val="none"/>
          <w:lang w:val="zh-CN"/>
        </w:rPr>
        <w:t>用户需求书</w:t>
      </w:r>
      <w:r>
        <w:rPr>
          <w:color w:val="auto"/>
          <w:highlight w:val="none"/>
        </w:rPr>
        <w:tab/>
      </w:r>
      <w:r>
        <w:rPr>
          <w:color w:val="auto"/>
          <w:highlight w:val="none"/>
        </w:rPr>
        <w:fldChar w:fldCharType="begin"/>
      </w:r>
      <w:r>
        <w:rPr>
          <w:color w:val="auto"/>
          <w:highlight w:val="none"/>
        </w:rPr>
        <w:instrText xml:space="preserve"> PAGEREF _Toc7634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14:paraId="342C2A8A">
      <w:pPr>
        <w:pStyle w:val="28"/>
        <w:tabs>
          <w:tab w:val="right" w:leader="dot" w:pos="10154"/>
        </w:tabs>
        <w:rPr>
          <w:color w:val="auto"/>
          <w:highlight w:val="none"/>
        </w:rPr>
      </w:pPr>
      <w:r>
        <w:rPr>
          <w:color w:val="auto"/>
          <w:highlight w:val="none"/>
        </w:rPr>
        <w:fldChar w:fldCharType="begin"/>
      </w:r>
      <w:r>
        <w:rPr>
          <w:color w:val="auto"/>
          <w:highlight w:val="none"/>
        </w:rPr>
        <w:instrText xml:space="preserve"> HYPERLINK \l _Toc1576 </w:instrText>
      </w:r>
      <w:r>
        <w:rPr>
          <w:color w:val="auto"/>
          <w:highlight w:val="none"/>
        </w:rPr>
        <w:fldChar w:fldCharType="separate"/>
      </w:r>
      <w:r>
        <w:rPr>
          <w:rFonts w:hint="eastAsia" w:ascii="宋体" w:hAnsi="宋体" w:eastAsia="宋体" w:cs="宋体"/>
          <w:bCs/>
          <w:color w:val="auto"/>
          <w:kern w:val="44"/>
          <w:szCs w:val="32"/>
          <w:highlight w:val="none"/>
          <w:lang w:val="zh-CN"/>
        </w:rPr>
        <w:t>第四篇</w:t>
      </w:r>
      <w:r>
        <w:rPr>
          <w:rFonts w:ascii="宋体" w:hAnsi="宋体" w:eastAsia="宋体" w:cs="宋体"/>
          <w:bCs/>
          <w:color w:val="auto"/>
          <w:kern w:val="44"/>
          <w:szCs w:val="32"/>
          <w:highlight w:val="none"/>
          <w:lang w:val="zh-CN"/>
        </w:rPr>
        <w:t xml:space="preserve"> </w:t>
      </w:r>
      <w:r>
        <w:rPr>
          <w:rFonts w:hint="eastAsia" w:ascii="宋体" w:hAnsi="宋体" w:eastAsia="宋体" w:cs="宋体"/>
          <w:bCs/>
          <w:color w:val="auto"/>
          <w:kern w:val="44"/>
          <w:szCs w:val="32"/>
          <w:highlight w:val="none"/>
          <w:lang w:val="zh-CN"/>
        </w:rPr>
        <w:t>合同条款格式</w:t>
      </w:r>
      <w:r>
        <w:rPr>
          <w:color w:val="auto"/>
          <w:highlight w:val="none"/>
        </w:rPr>
        <w:tab/>
      </w:r>
      <w:r>
        <w:rPr>
          <w:color w:val="auto"/>
          <w:highlight w:val="none"/>
        </w:rPr>
        <w:fldChar w:fldCharType="begin"/>
      </w:r>
      <w:r>
        <w:rPr>
          <w:color w:val="auto"/>
          <w:highlight w:val="none"/>
        </w:rPr>
        <w:instrText xml:space="preserve"> PAGEREF _Toc1576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14:paraId="74476211">
      <w:pPr>
        <w:pStyle w:val="28"/>
        <w:tabs>
          <w:tab w:val="right" w:leader="dot" w:pos="10154"/>
        </w:tabs>
        <w:rPr>
          <w:color w:val="auto"/>
          <w:highlight w:val="none"/>
        </w:rPr>
      </w:pPr>
      <w:r>
        <w:rPr>
          <w:color w:val="auto"/>
          <w:highlight w:val="none"/>
        </w:rPr>
        <w:fldChar w:fldCharType="begin"/>
      </w:r>
      <w:r>
        <w:rPr>
          <w:color w:val="auto"/>
          <w:highlight w:val="none"/>
        </w:rPr>
        <w:instrText xml:space="preserve"> HYPERLINK \l _Toc26586 </w:instrText>
      </w:r>
      <w:r>
        <w:rPr>
          <w:color w:val="auto"/>
          <w:highlight w:val="none"/>
        </w:rPr>
        <w:fldChar w:fldCharType="separate"/>
      </w:r>
      <w:r>
        <w:rPr>
          <w:rFonts w:hint="eastAsia" w:ascii="宋体" w:hAnsi="宋体" w:eastAsia="宋体" w:cs="Times New Roman"/>
          <w:bCs/>
          <w:color w:val="auto"/>
          <w:szCs w:val="32"/>
          <w:highlight w:val="none"/>
          <w:lang w:val="zh-CN"/>
        </w:rPr>
        <w:t>第五篇</w:t>
      </w:r>
      <w:r>
        <w:rPr>
          <w:rFonts w:ascii="宋体" w:hAnsi="宋体" w:eastAsia="宋体" w:cs="Times New Roman"/>
          <w:bCs/>
          <w:color w:val="auto"/>
          <w:szCs w:val="32"/>
          <w:highlight w:val="none"/>
          <w:lang w:val="zh-CN"/>
        </w:rPr>
        <w:t xml:space="preserve"> </w:t>
      </w:r>
      <w:r>
        <w:rPr>
          <w:rFonts w:hint="eastAsia" w:ascii="宋体" w:hAnsi="宋体" w:eastAsia="宋体" w:cs="Times New Roman"/>
          <w:bCs/>
          <w:color w:val="auto"/>
          <w:szCs w:val="32"/>
          <w:highlight w:val="none"/>
          <w:lang w:val="zh-CN"/>
        </w:rPr>
        <w:t>相关保函格式</w:t>
      </w:r>
      <w:r>
        <w:rPr>
          <w:color w:val="auto"/>
          <w:highlight w:val="none"/>
        </w:rPr>
        <w:tab/>
      </w:r>
      <w:r>
        <w:rPr>
          <w:color w:val="auto"/>
          <w:highlight w:val="none"/>
        </w:rPr>
        <w:fldChar w:fldCharType="begin"/>
      </w:r>
      <w:r>
        <w:rPr>
          <w:color w:val="auto"/>
          <w:highlight w:val="none"/>
        </w:rPr>
        <w:instrText xml:space="preserve"> PAGEREF _Toc26586 \h </w:instrText>
      </w:r>
      <w:r>
        <w:rPr>
          <w:color w:val="auto"/>
          <w:highlight w:val="none"/>
        </w:rPr>
        <w:fldChar w:fldCharType="separate"/>
      </w:r>
      <w:r>
        <w:rPr>
          <w:color w:val="auto"/>
          <w:highlight w:val="none"/>
        </w:rPr>
        <w:t>50</w:t>
      </w:r>
      <w:r>
        <w:rPr>
          <w:color w:val="auto"/>
          <w:highlight w:val="none"/>
        </w:rPr>
        <w:fldChar w:fldCharType="end"/>
      </w:r>
      <w:r>
        <w:rPr>
          <w:color w:val="auto"/>
          <w:highlight w:val="none"/>
        </w:rPr>
        <w:fldChar w:fldCharType="end"/>
      </w:r>
    </w:p>
    <w:p w14:paraId="6D7EB848">
      <w:pPr>
        <w:pStyle w:val="28"/>
        <w:tabs>
          <w:tab w:val="right" w:leader="dot" w:pos="10154"/>
        </w:tabs>
        <w:rPr>
          <w:color w:val="auto"/>
          <w:highlight w:val="none"/>
        </w:rPr>
      </w:pPr>
      <w:r>
        <w:rPr>
          <w:color w:val="auto"/>
          <w:highlight w:val="none"/>
        </w:rPr>
        <w:fldChar w:fldCharType="begin"/>
      </w:r>
      <w:r>
        <w:rPr>
          <w:color w:val="auto"/>
          <w:highlight w:val="none"/>
        </w:rPr>
        <w:instrText xml:space="preserve"> HYPERLINK \l _Toc29780 </w:instrText>
      </w:r>
      <w:r>
        <w:rPr>
          <w:color w:val="auto"/>
          <w:highlight w:val="none"/>
        </w:rPr>
        <w:fldChar w:fldCharType="separate"/>
      </w:r>
      <w:r>
        <w:rPr>
          <w:rFonts w:hint="eastAsia" w:ascii="宋体" w:hAnsi="宋体" w:eastAsia="宋体" w:cs="宋体"/>
          <w:bCs/>
          <w:color w:val="auto"/>
          <w:kern w:val="44"/>
          <w:szCs w:val="32"/>
          <w:highlight w:val="none"/>
          <w:lang w:val="zh-CN"/>
        </w:rPr>
        <w:t>第六篇 投标文件格式</w:t>
      </w:r>
      <w:r>
        <w:rPr>
          <w:color w:val="auto"/>
          <w:highlight w:val="none"/>
        </w:rPr>
        <w:tab/>
      </w:r>
      <w:r>
        <w:rPr>
          <w:color w:val="auto"/>
          <w:highlight w:val="none"/>
        </w:rPr>
        <w:fldChar w:fldCharType="begin"/>
      </w:r>
      <w:r>
        <w:rPr>
          <w:color w:val="auto"/>
          <w:highlight w:val="none"/>
        </w:rPr>
        <w:instrText xml:space="preserve"> PAGEREF _Toc29780 \h </w:instrText>
      </w:r>
      <w:r>
        <w:rPr>
          <w:color w:val="auto"/>
          <w:highlight w:val="none"/>
        </w:rPr>
        <w:fldChar w:fldCharType="separate"/>
      </w:r>
      <w:r>
        <w:rPr>
          <w:color w:val="auto"/>
          <w:highlight w:val="none"/>
        </w:rPr>
        <w:t>53</w:t>
      </w:r>
      <w:r>
        <w:rPr>
          <w:color w:val="auto"/>
          <w:highlight w:val="none"/>
        </w:rPr>
        <w:fldChar w:fldCharType="end"/>
      </w:r>
      <w:r>
        <w:rPr>
          <w:color w:val="auto"/>
          <w:highlight w:val="none"/>
        </w:rPr>
        <w:fldChar w:fldCharType="end"/>
      </w:r>
    </w:p>
    <w:p w14:paraId="375CC51D">
      <w:pPr>
        <w:pStyle w:val="28"/>
        <w:tabs>
          <w:tab w:val="right" w:leader="dot" w:pos="10154"/>
        </w:tabs>
        <w:rPr>
          <w:color w:val="auto"/>
          <w:highlight w:val="none"/>
        </w:rPr>
      </w:pPr>
      <w:r>
        <w:rPr>
          <w:color w:val="auto"/>
          <w:highlight w:val="none"/>
        </w:rPr>
        <w:fldChar w:fldCharType="begin"/>
      </w:r>
      <w:r>
        <w:rPr>
          <w:color w:val="auto"/>
          <w:highlight w:val="none"/>
        </w:rPr>
        <w:instrText xml:space="preserve"> HYPERLINK \l _Toc17289 </w:instrText>
      </w:r>
      <w:r>
        <w:rPr>
          <w:color w:val="auto"/>
          <w:highlight w:val="none"/>
        </w:rPr>
        <w:fldChar w:fldCharType="separate"/>
      </w:r>
      <w:r>
        <w:rPr>
          <w:rFonts w:hint="eastAsia" w:ascii="宋体" w:hAnsi="宋体" w:eastAsia="宋体" w:cs="宋体"/>
          <w:bCs/>
          <w:color w:val="auto"/>
          <w:kern w:val="44"/>
          <w:szCs w:val="32"/>
          <w:highlight w:val="none"/>
          <w:lang w:val="zh-CN"/>
        </w:rPr>
        <w:t>附件一：评标工作大纲</w:t>
      </w:r>
      <w:r>
        <w:rPr>
          <w:color w:val="auto"/>
          <w:highlight w:val="none"/>
        </w:rPr>
        <w:tab/>
      </w:r>
      <w:r>
        <w:rPr>
          <w:color w:val="auto"/>
          <w:highlight w:val="none"/>
        </w:rPr>
        <w:fldChar w:fldCharType="begin"/>
      </w:r>
      <w:r>
        <w:rPr>
          <w:color w:val="auto"/>
          <w:highlight w:val="none"/>
        </w:rPr>
        <w:instrText xml:space="preserve"> PAGEREF _Toc17289 \h </w:instrText>
      </w:r>
      <w:r>
        <w:rPr>
          <w:color w:val="auto"/>
          <w:highlight w:val="none"/>
        </w:rPr>
        <w:fldChar w:fldCharType="separate"/>
      </w:r>
      <w:r>
        <w:rPr>
          <w:color w:val="auto"/>
          <w:highlight w:val="none"/>
        </w:rPr>
        <w:t>90</w:t>
      </w:r>
      <w:r>
        <w:rPr>
          <w:color w:val="auto"/>
          <w:highlight w:val="none"/>
        </w:rPr>
        <w:fldChar w:fldCharType="end"/>
      </w:r>
      <w:r>
        <w:rPr>
          <w:color w:val="auto"/>
          <w:highlight w:val="none"/>
        </w:rPr>
        <w:fldChar w:fldCharType="end"/>
      </w:r>
    </w:p>
    <w:p w14:paraId="2F86B4AA">
      <w:pPr>
        <w:spacing w:line="360" w:lineRule="auto"/>
        <w:rPr>
          <w:color w:val="auto"/>
          <w:highlight w:val="none"/>
        </w:rPr>
      </w:pPr>
      <w:r>
        <w:rPr>
          <w:color w:val="auto"/>
          <w:highlight w:val="none"/>
        </w:rPr>
        <w:fldChar w:fldCharType="end"/>
      </w:r>
    </w:p>
    <w:p w14:paraId="0D5AB2B9">
      <w:pPr>
        <w:keepNext w:val="0"/>
        <w:keepLines w:val="0"/>
        <w:pageBreakBefore w:val="0"/>
        <w:widowControl w:val="0"/>
        <w:tabs>
          <w:tab w:val="left" w:pos="851"/>
          <w:tab w:val="right" w:leader="dot" w:pos="10206"/>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br w:type="page"/>
      </w:r>
    </w:p>
    <w:bookmarkEnd w:id="0"/>
    <w:p w14:paraId="4ABDA232">
      <w:pPr>
        <w:keepNext/>
        <w:keepLines/>
        <w:pageBreakBefore/>
        <w:tabs>
          <w:tab w:val="left" w:pos="1080"/>
        </w:tabs>
        <w:autoSpaceDE w:val="0"/>
        <w:autoSpaceDN w:val="0"/>
        <w:adjustRightInd w:val="0"/>
        <w:spacing w:line="360" w:lineRule="auto"/>
        <w:ind w:left="357" w:leftChars="-100" w:hanging="567"/>
        <w:jc w:val="center"/>
        <w:outlineLvl w:val="0"/>
        <w:rPr>
          <w:rFonts w:ascii="宋体" w:hAnsi="宋体" w:eastAsia="宋体" w:cs="Times New Roman"/>
          <w:b/>
          <w:bCs/>
          <w:color w:val="auto"/>
          <w:kern w:val="44"/>
          <w:sz w:val="44"/>
          <w:szCs w:val="44"/>
          <w:highlight w:val="none"/>
          <w:lang w:val="zh-CN"/>
        </w:rPr>
      </w:pPr>
      <w:bookmarkStart w:id="1" w:name="_Toc23030"/>
      <w:bookmarkStart w:id="2" w:name="_Toc486167660"/>
      <w:bookmarkStart w:id="3" w:name="_Toc11048"/>
      <w:bookmarkStart w:id="4" w:name="_Toc10869"/>
      <w:bookmarkStart w:id="5" w:name="_Toc19453"/>
      <w:bookmarkStart w:id="6" w:name="_Toc6951"/>
      <w:bookmarkStart w:id="7" w:name="_Toc17326"/>
      <w:bookmarkStart w:id="8" w:name="_Toc142508310"/>
      <w:bookmarkStart w:id="9" w:name="_Toc20249"/>
      <w:bookmarkStart w:id="10" w:name="_Toc2723_WPSOffice_Level1"/>
      <w:bookmarkStart w:id="11" w:name="_Toc450662846"/>
      <w:bookmarkStart w:id="12" w:name="_Toc4869"/>
      <w:bookmarkStart w:id="13" w:name="_Toc7405"/>
      <w:r>
        <w:rPr>
          <w:rFonts w:ascii="宋体" w:hAnsi="宋体" w:eastAsia="宋体" w:cs="Times New Roman"/>
          <w:b/>
          <w:bCs/>
          <w:color w:val="auto"/>
          <w:kern w:val="44"/>
          <w:sz w:val="32"/>
          <w:szCs w:val="32"/>
          <w:highlight w:val="none"/>
          <w:lang w:val="zh-CN"/>
        </w:rPr>
        <w:t>第一篇 招标公告</w:t>
      </w:r>
      <w:bookmarkEnd w:id="1"/>
      <w:bookmarkEnd w:id="2"/>
      <w:bookmarkEnd w:id="3"/>
      <w:bookmarkEnd w:id="4"/>
      <w:bookmarkEnd w:id="5"/>
      <w:bookmarkEnd w:id="6"/>
      <w:bookmarkEnd w:id="7"/>
      <w:bookmarkEnd w:id="8"/>
      <w:bookmarkEnd w:id="9"/>
      <w:bookmarkEnd w:id="10"/>
      <w:bookmarkEnd w:id="11"/>
      <w:bookmarkEnd w:id="12"/>
      <w:bookmarkEnd w:id="13"/>
    </w:p>
    <w:p w14:paraId="0907D89A">
      <w:pPr>
        <w:autoSpaceDE w:val="0"/>
        <w:autoSpaceDN w:val="0"/>
        <w:adjustRightInd w:val="0"/>
        <w:snapToGrid w:val="0"/>
        <w:spacing w:line="360" w:lineRule="auto"/>
        <w:ind w:right="-34" w:firstLine="420" w:firstLineChars="200"/>
        <w:rPr>
          <w:rFonts w:ascii="宋体" w:hAnsi="宋体" w:eastAsia="宋体" w:cs="Times New Roman"/>
          <w:color w:val="auto"/>
          <w:szCs w:val="21"/>
          <w:highlight w:val="none"/>
          <w:lang w:val="zh-CN"/>
        </w:rPr>
      </w:pPr>
      <w:r>
        <w:rPr>
          <w:rFonts w:hint="eastAsia" w:ascii="宋体" w:hAnsi="宋体" w:eastAsia="宋体" w:cs="Times New Roman"/>
          <w:color w:val="auto"/>
          <w:kern w:val="0"/>
          <w:szCs w:val="21"/>
          <w:highlight w:val="none"/>
          <w:lang w:eastAsia="zh-CN"/>
        </w:rPr>
        <w:t>东莞市达盛招标代理有限公司</w:t>
      </w:r>
      <w:r>
        <w:rPr>
          <w:rFonts w:ascii="宋体" w:hAnsi="宋体" w:eastAsia="宋体" w:cs="Times New Roman"/>
          <w:color w:val="auto"/>
          <w:szCs w:val="21"/>
          <w:highlight w:val="none"/>
          <w:lang w:val="zh-CN"/>
        </w:rPr>
        <w:t>（以下简称“招标代理机构”）受</w:t>
      </w:r>
      <w:r>
        <w:rPr>
          <w:rFonts w:hint="eastAsia" w:ascii="宋体" w:hAnsi="宋体" w:eastAsia="宋体" w:cs="Times New Roman"/>
          <w:color w:val="auto"/>
          <w:kern w:val="0"/>
          <w:szCs w:val="21"/>
          <w:highlight w:val="none"/>
          <w:lang w:val="en-US" w:eastAsia="zh-CN"/>
        </w:rPr>
        <w:t>东莞市樟村水质净化有限公司</w:t>
      </w:r>
      <w:r>
        <w:rPr>
          <w:rFonts w:ascii="宋体" w:hAnsi="宋体" w:eastAsia="宋体" w:cs="Times New Roman"/>
          <w:color w:val="auto"/>
          <w:szCs w:val="21"/>
          <w:highlight w:val="none"/>
          <w:lang w:val="zh-CN"/>
        </w:rPr>
        <w:t>（以下简称“招标人”）的委托，对</w:t>
      </w:r>
      <w:bookmarkStart w:id="14" w:name="_Hlk41903390"/>
      <w:r>
        <w:rPr>
          <w:rFonts w:hint="eastAsia" w:ascii="宋体" w:hAnsi="宋体" w:eastAsia="宋体" w:cs="Times New Roman"/>
          <w:color w:val="auto"/>
          <w:szCs w:val="21"/>
          <w:highlight w:val="none"/>
          <w:lang w:val="zh-CN"/>
        </w:rPr>
        <w:t>东莞市樟村水质净化厂污泥处理处置服务项目（2025-2026年）</w:t>
      </w:r>
      <w:r>
        <w:rPr>
          <w:rFonts w:ascii="宋体" w:hAnsi="宋体" w:eastAsia="宋体" w:cs="Times New Roman"/>
          <w:color w:val="auto"/>
          <w:szCs w:val="21"/>
          <w:highlight w:val="none"/>
          <w:lang w:val="zh-CN"/>
        </w:rPr>
        <w:t>(招标编号：</w:t>
      </w:r>
      <w:r>
        <w:rPr>
          <w:rFonts w:hint="eastAsia" w:ascii="宋体" w:hAnsi="宋体" w:eastAsia="宋体" w:cs="Times New Roman"/>
          <w:color w:val="auto"/>
          <w:szCs w:val="21"/>
          <w:highlight w:val="none"/>
          <w:lang w:val="zh-CN"/>
        </w:rPr>
        <w:t>DGDS2025-013</w:t>
      </w:r>
      <w:r>
        <w:rPr>
          <w:rFonts w:ascii="宋体" w:hAnsi="宋体" w:eastAsia="宋体" w:cs="Times New Roman"/>
          <w:color w:val="auto"/>
          <w:szCs w:val="21"/>
          <w:highlight w:val="none"/>
          <w:lang w:val="zh-CN"/>
        </w:rPr>
        <w:t>)</w:t>
      </w:r>
      <w:bookmarkEnd w:id="14"/>
      <w:r>
        <w:rPr>
          <w:rFonts w:ascii="宋体" w:hAnsi="宋体" w:eastAsia="宋体" w:cs="Times New Roman"/>
          <w:color w:val="auto"/>
          <w:szCs w:val="21"/>
          <w:highlight w:val="none"/>
          <w:lang w:val="zh-CN"/>
        </w:rPr>
        <w:t>进行国内公开招标，</w:t>
      </w:r>
      <w:r>
        <w:rPr>
          <w:rFonts w:hint="eastAsia" w:ascii="宋体" w:hAnsi="宋体" w:eastAsia="宋体" w:cs="Times New Roman"/>
          <w:bCs/>
          <w:color w:val="auto"/>
          <w:kern w:val="0"/>
          <w:szCs w:val="21"/>
          <w:highlight w:val="none"/>
        </w:rPr>
        <w:t>详情请参见本招标文件</w:t>
      </w:r>
      <w:r>
        <w:rPr>
          <w:rFonts w:ascii="宋体" w:hAnsi="宋体" w:eastAsia="宋体" w:cs="Times New Roman"/>
          <w:bCs/>
          <w:color w:val="auto"/>
          <w:kern w:val="0"/>
          <w:szCs w:val="21"/>
          <w:highlight w:val="none"/>
        </w:rPr>
        <w:t>。</w:t>
      </w:r>
      <w:r>
        <w:rPr>
          <w:rFonts w:hint="eastAsia" w:ascii="宋体" w:hAnsi="宋体" w:eastAsia="宋体" w:cs="Times New Roman"/>
          <w:color w:val="auto"/>
          <w:kern w:val="0"/>
          <w:szCs w:val="21"/>
          <w:highlight w:val="none"/>
        </w:rPr>
        <w:t>欢迎符合条件的合格投标人参加投标，</w:t>
      </w:r>
      <w:r>
        <w:rPr>
          <w:rFonts w:hint="eastAsia" w:ascii="宋体" w:hAnsi="宋体" w:eastAsia="宋体" w:cs="Times New Roman"/>
          <w:bCs/>
          <w:color w:val="auto"/>
          <w:kern w:val="0"/>
          <w:szCs w:val="21"/>
          <w:highlight w:val="none"/>
        </w:rPr>
        <w:t>有关事项如下：</w:t>
      </w:r>
    </w:p>
    <w:p w14:paraId="0E03F458">
      <w:pPr>
        <w:autoSpaceDE w:val="0"/>
        <w:autoSpaceDN w:val="0"/>
        <w:adjustRightInd w:val="0"/>
        <w:spacing w:line="360" w:lineRule="auto"/>
        <w:ind w:right="-29" w:rightChars="-14" w:firstLine="420" w:firstLineChars="200"/>
        <w:rPr>
          <w:rFonts w:ascii="宋体" w:hAnsi="宋体" w:eastAsia="宋体" w:cs="Times New Roman"/>
          <w:color w:val="auto"/>
          <w:szCs w:val="21"/>
          <w:highlight w:val="none"/>
          <w:lang w:val="zh-CN"/>
        </w:rPr>
      </w:pPr>
    </w:p>
    <w:p w14:paraId="4F322AA4">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招标范围：</w:t>
      </w:r>
      <w:r>
        <w:rPr>
          <w:rFonts w:hint="eastAsia" w:ascii="宋体" w:hAnsi="宋体" w:eastAsia="宋体" w:cs="宋体"/>
          <w:color w:val="auto"/>
          <w:szCs w:val="21"/>
          <w:highlight w:val="none"/>
          <w:u w:val="none"/>
        </w:rPr>
        <w:t>樟村水质净化厂污泥处理处置全流程服务，服务单位负责实施污泥全流程处理和处置工作，</w:t>
      </w:r>
      <w:r>
        <w:rPr>
          <w:rFonts w:hint="eastAsia" w:ascii="宋体" w:hAnsi="宋体" w:eastAsia="宋体" w:cs="宋体"/>
          <w:color w:val="auto"/>
          <w:kern w:val="2"/>
          <w:sz w:val="21"/>
          <w:szCs w:val="21"/>
          <w:highlight w:val="none"/>
          <w:lang w:val="en-US" w:eastAsia="zh-CN" w:bidi="ar-SA"/>
        </w:rPr>
        <w:t>将水质净化厂污泥浓缩池抽取</w:t>
      </w:r>
      <w:r>
        <w:rPr>
          <w:rFonts w:hint="eastAsia" w:ascii="宋体" w:hAnsi="宋体" w:eastAsia="宋体" w:cs="宋体"/>
          <w:color w:val="auto"/>
          <w:highlight w:val="none"/>
          <w:lang w:val="en-US" w:eastAsia="zh-CN"/>
        </w:rPr>
        <w:t>的</w:t>
      </w:r>
      <w:r>
        <w:rPr>
          <w:rFonts w:hint="eastAsia" w:ascii="宋体" w:hAnsi="宋体" w:eastAsia="宋体" w:cs="宋体"/>
          <w:color w:val="auto"/>
          <w:kern w:val="2"/>
          <w:sz w:val="21"/>
          <w:szCs w:val="21"/>
          <w:highlight w:val="none"/>
          <w:lang w:val="en-US" w:eastAsia="zh-CN" w:bidi="ar-SA"/>
        </w:rPr>
        <w:t>污泥脱水减量至含水率不高于50%的半干化泥粉（泥块），保障不间断的接收处理并安全处置，不造成二次污染。为保障服务质量，服务单位不限于提供污泥处理设备设施、外部运输、资源化处置及所相关的人员、机械、材料等一切相关运维服务等。</w:t>
      </w:r>
      <w:r>
        <w:rPr>
          <w:rFonts w:hint="eastAsia" w:ascii="宋体" w:hAnsi="宋体" w:eastAsia="宋体" w:cs="Times New Roman"/>
          <w:color w:val="auto"/>
          <w:szCs w:val="21"/>
          <w:highlight w:val="none"/>
          <w:lang w:val="zh-CN"/>
        </w:rPr>
        <w:t>（具体内容详见：第三篇用户需求书）。</w:t>
      </w:r>
    </w:p>
    <w:p w14:paraId="42DAE4AA">
      <w:pPr>
        <w:autoSpaceDE w:val="0"/>
        <w:autoSpaceDN w:val="0"/>
        <w:adjustRightInd w:val="0"/>
        <w:spacing w:line="360" w:lineRule="auto"/>
        <w:ind w:right="-29" w:rightChars="-14"/>
        <w:rPr>
          <w:rFonts w:ascii="宋体" w:hAnsi="宋体" w:eastAsia="宋体" w:cs="Times New Roman"/>
          <w:color w:val="auto"/>
          <w:szCs w:val="21"/>
          <w:highlight w:val="none"/>
          <w:lang w:val="zh-CN"/>
        </w:rPr>
      </w:pPr>
    </w:p>
    <w:p w14:paraId="6EC7D776">
      <w:pPr>
        <w:numPr>
          <w:ilvl w:val="0"/>
          <w:numId w:val="1"/>
        </w:numPr>
        <w:autoSpaceDE w:val="0"/>
        <w:autoSpaceDN w:val="0"/>
        <w:adjustRightInd w:val="0"/>
        <w:snapToGrid w:val="0"/>
        <w:spacing w:line="360" w:lineRule="auto"/>
        <w:ind w:right="-34"/>
        <w:jc w:val="left"/>
        <w:rPr>
          <w:rFonts w:ascii="宋体" w:hAnsi="宋体" w:eastAsia="宋体" w:cs="Times New Roman"/>
          <w:b/>
          <w:color w:val="auto"/>
          <w:szCs w:val="21"/>
          <w:highlight w:val="none"/>
          <w:lang w:val="zh-CN"/>
        </w:rPr>
      </w:pPr>
      <w:r>
        <w:rPr>
          <w:rFonts w:ascii="宋体" w:hAnsi="宋体" w:eastAsia="宋体" w:cs="Times New Roman"/>
          <w:b/>
          <w:color w:val="auto"/>
          <w:szCs w:val="21"/>
          <w:highlight w:val="none"/>
          <w:lang w:val="zh-CN"/>
        </w:rPr>
        <w:t>合格投标人</w:t>
      </w:r>
      <w:r>
        <w:rPr>
          <w:rFonts w:hint="eastAsia" w:ascii="宋体" w:hAnsi="宋体" w:eastAsia="宋体" w:cs="Times New Roman"/>
          <w:b/>
          <w:color w:val="auto"/>
          <w:szCs w:val="21"/>
          <w:highlight w:val="none"/>
          <w:lang w:val="zh-CN"/>
        </w:rPr>
        <w:t>资格要求</w:t>
      </w:r>
      <w:r>
        <w:rPr>
          <w:rFonts w:ascii="宋体" w:hAnsi="宋体" w:eastAsia="宋体" w:cs="Times New Roman"/>
          <w:b/>
          <w:color w:val="auto"/>
          <w:szCs w:val="21"/>
          <w:highlight w:val="none"/>
          <w:lang w:val="zh-CN"/>
        </w:rPr>
        <w:t>：</w:t>
      </w:r>
    </w:p>
    <w:p w14:paraId="72C98503">
      <w:pPr>
        <w:pStyle w:val="158"/>
        <w:spacing w:line="360" w:lineRule="auto"/>
        <w:ind w:right="-29" w:rightChars="-14" w:firstLine="0" w:firstLineChars="0"/>
        <w:jc w:val="both"/>
        <w:rPr>
          <w:rFonts w:hAnsi="宋体" w:eastAsia="宋体"/>
          <w:b/>
          <w:color w:val="auto"/>
          <w:sz w:val="21"/>
          <w:szCs w:val="21"/>
          <w:highlight w:val="none"/>
          <w:lang w:val="zh-CN"/>
        </w:rPr>
      </w:pPr>
      <w:r>
        <w:rPr>
          <w:rFonts w:hint="eastAsia" w:hAnsi="宋体" w:eastAsia="宋体"/>
          <w:b/>
          <w:color w:val="auto"/>
          <w:sz w:val="21"/>
          <w:szCs w:val="21"/>
          <w:highlight w:val="none"/>
          <w:lang w:val="zh-CN"/>
        </w:rPr>
        <w:t>2</w:t>
      </w:r>
      <w:r>
        <w:rPr>
          <w:rFonts w:hAnsi="宋体" w:eastAsia="宋体"/>
          <w:b/>
          <w:color w:val="auto"/>
          <w:sz w:val="21"/>
          <w:szCs w:val="21"/>
          <w:highlight w:val="none"/>
          <w:lang w:val="zh-CN"/>
        </w:rPr>
        <w:t xml:space="preserve">.1 </w:t>
      </w:r>
      <w:r>
        <w:rPr>
          <w:rFonts w:hint="eastAsia" w:hAnsi="宋体" w:eastAsia="宋体"/>
          <w:b/>
          <w:color w:val="auto"/>
          <w:sz w:val="21"/>
          <w:szCs w:val="21"/>
          <w:highlight w:val="none"/>
          <w:lang w:val="zh-CN"/>
        </w:rPr>
        <w:t>在中华人民共和国境内登记注册、合法存续、正常经营且具有独立承担民事责任能力的法人或其他组织</w:t>
      </w:r>
      <w:r>
        <w:rPr>
          <w:rFonts w:hAnsi="宋体" w:eastAsia="宋体"/>
          <w:b/>
          <w:color w:val="auto"/>
          <w:sz w:val="21"/>
          <w:szCs w:val="21"/>
          <w:highlight w:val="none"/>
          <w:lang w:val="zh-CN"/>
        </w:rPr>
        <w:t>；</w:t>
      </w:r>
    </w:p>
    <w:p w14:paraId="0D612946">
      <w:pPr>
        <w:pStyle w:val="158"/>
        <w:spacing w:line="360" w:lineRule="auto"/>
        <w:ind w:left="422" w:right="-29" w:rightChars="-14" w:hanging="422" w:hangingChars="200"/>
        <w:jc w:val="both"/>
        <w:rPr>
          <w:rFonts w:hint="eastAsia" w:hAnsi="宋体" w:eastAsia="宋体"/>
          <w:b/>
          <w:color w:val="auto"/>
          <w:sz w:val="21"/>
          <w:szCs w:val="21"/>
          <w:highlight w:val="none"/>
          <w:lang w:val="en-US" w:eastAsia="zh-CN"/>
        </w:rPr>
      </w:pPr>
      <w:bookmarkStart w:id="15" w:name="_Toc25819"/>
      <w:r>
        <w:rPr>
          <w:rFonts w:hint="eastAsia" w:hAnsi="宋体" w:eastAsia="宋体"/>
          <w:b/>
          <w:color w:val="auto"/>
          <w:sz w:val="21"/>
          <w:szCs w:val="21"/>
          <w:highlight w:val="none"/>
          <w:lang w:val="zh-CN"/>
        </w:rPr>
        <w:t>2.2 投标人具有一份已完成或正在执行运营服务的水质净化厂或生活污水处理厂</w:t>
      </w:r>
      <w:r>
        <w:rPr>
          <w:rFonts w:hint="eastAsia" w:hAnsi="宋体" w:eastAsia="宋体"/>
          <w:b/>
          <w:color w:val="auto"/>
          <w:sz w:val="21"/>
          <w:szCs w:val="21"/>
          <w:highlight w:val="none"/>
          <w:lang w:val="zh-CN" w:eastAsia="zh-CN"/>
        </w:rPr>
        <w:t>污泥处理处置服务业绩（合同服务结束日期为2022年1月1日或以后）</w:t>
      </w:r>
      <w:r>
        <w:rPr>
          <w:rFonts w:hint="eastAsia" w:hAnsi="宋体" w:eastAsia="宋体"/>
          <w:b/>
          <w:color w:val="auto"/>
          <w:sz w:val="21"/>
          <w:szCs w:val="21"/>
          <w:highlight w:val="none"/>
          <w:lang w:val="zh-CN"/>
        </w:rPr>
        <w:t>；</w:t>
      </w:r>
    </w:p>
    <w:p w14:paraId="18B010E3">
      <w:pPr>
        <w:pStyle w:val="158"/>
        <w:spacing w:line="360" w:lineRule="auto"/>
        <w:ind w:right="-29" w:rightChars="-14" w:firstLine="0" w:firstLineChars="0"/>
        <w:jc w:val="both"/>
        <w:rPr>
          <w:rFonts w:hint="eastAsia" w:hAnsi="宋体" w:eastAsia="宋体"/>
          <w:b/>
          <w:color w:val="auto"/>
          <w:sz w:val="21"/>
          <w:szCs w:val="21"/>
          <w:highlight w:val="none"/>
          <w:lang w:val="zh-CN"/>
        </w:rPr>
      </w:pPr>
      <w:r>
        <w:rPr>
          <w:rFonts w:hint="eastAsia" w:hAnsi="宋体" w:eastAsia="宋体"/>
          <w:b/>
          <w:color w:val="auto"/>
          <w:sz w:val="21"/>
          <w:szCs w:val="21"/>
          <w:highlight w:val="none"/>
          <w:lang w:val="en-US" w:eastAsia="zh-CN"/>
        </w:rPr>
        <w:t xml:space="preserve">2.3 </w:t>
      </w:r>
      <w:r>
        <w:rPr>
          <w:rFonts w:hint="eastAsia" w:hAnsi="宋体" w:eastAsia="宋体"/>
          <w:b/>
          <w:color w:val="auto"/>
          <w:sz w:val="21"/>
          <w:szCs w:val="21"/>
          <w:highlight w:val="none"/>
          <w:lang w:val="zh-CN"/>
        </w:rPr>
        <w:t>本项目不接受联合体投标。</w:t>
      </w:r>
      <w:bookmarkEnd w:id="15"/>
    </w:p>
    <w:p w14:paraId="18714C1E">
      <w:pPr>
        <w:autoSpaceDE w:val="0"/>
        <w:autoSpaceDN w:val="0"/>
        <w:adjustRightInd w:val="0"/>
        <w:spacing w:line="360" w:lineRule="auto"/>
        <w:ind w:right="-29" w:rightChars="-14" w:firstLine="420" w:firstLineChars="200"/>
        <w:rPr>
          <w:rFonts w:ascii="宋体" w:hAnsi="宋体" w:eastAsia="宋体" w:cs="Times New Roman"/>
          <w:color w:val="auto"/>
          <w:szCs w:val="21"/>
          <w:highlight w:val="none"/>
          <w:lang w:val="zh-CN"/>
        </w:rPr>
      </w:pPr>
    </w:p>
    <w:p w14:paraId="11C61B08">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ascii="宋体" w:hAnsi="宋体" w:eastAsia="宋体" w:cs="Times New Roman"/>
          <w:color w:val="auto"/>
          <w:szCs w:val="21"/>
          <w:highlight w:val="none"/>
          <w:lang w:val="zh-CN"/>
        </w:rPr>
        <w:t>获取招标文件的方式：本项目采用“不记名网上下载”的方式发布招标文件，</w:t>
      </w:r>
      <w:r>
        <w:rPr>
          <w:rFonts w:hint="eastAsia" w:ascii="宋体" w:hAnsi="宋体" w:eastAsia="宋体" w:cs="Times New Roman"/>
          <w:color w:val="auto"/>
          <w:szCs w:val="21"/>
          <w:highlight w:val="none"/>
          <w:lang w:val="zh-CN"/>
        </w:rPr>
        <w:t>有意向的投标人可于本项目投标截止时间前，在本项目招标信息发布媒介</w:t>
      </w:r>
      <w:r>
        <w:rPr>
          <w:rFonts w:hint="eastAsia" w:ascii="宋体" w:hAnsi="宋体" w:eastAsia="宋体" w:cs="Times New Roman"/>
          <w:color w:val="auto"/>
          <w:szCs w:val="21"/>
          <w:highlight w:val="none"/>
          <w:lang w:val="en-US" w:eastAsia="zh-CN"/>
        </w:rPr>
        <w:t>【</w:t>
      </w:r>
      <w:r>
        <w:rPr>
          <w:rFonts w:hint="eastAsia" w:ascii="宋体" w:hAnsi="宋体" w:eastAsia="宋体" w:cs="Times New Roman"/>
          <w:color w:val="auto"/>
          <w:szCs w:val="21"/>
          <w:highlight w:val="none"/>
          <w:lang w:val="zh-CN"/>
        </w:rPr>
        <w:t>详见本招标公告第7点（除中国招标投标公共服务平台外）</w:t>
      </w:r>
      <w:r>
        <w:rPr>
          <w:rFonts w:hint="eastAsia" w:ascii="宋体" w:hAnsi="宋体" w:eastAsia="宋体" w:cs="Times New Roman"/>
          <w:color w:val="auto"/>
          <w:szCs w:val="21"/>
          <w:highlight w:val="none"/>
          <w:lang w:val="en-US" w:eastAsia="zh-CN"/>
        </w:rPr>
        <w:t>】</w:t>
      </w:r>
      <w:r>
        <w:rPr>
          <w:rFonts w:hint="eastAsia" w:ascii="宋体" w:hAnsi="宋体" w:eastAsia="宋体" w:cs="Times New Roman"/>
          <w:color w:val="auto"/>
          <w:szCs w:val="21"/>
          <w:highlight w:val="none"/>
          <w:lang w:val="zh-CN"/>
        </w:rPr>
        <w:t>下载招标文件。</w:t>
      </w:r>
    </w:p>
    <w:p w14:paraId="449B2E8B">
      <w:pPr>
        <w:autoSpaceDE w:val="0"/>
        <w:autoSpaceDN w:val="0"/>
        <w:adjustRightInd w:val="0"/>
        <w:spacing w:line="360" w:lineRule="auto"/>
        <w:ind w:left="630" w:leftChars="100" w:right="-29" w:rightChars="-14" w:hanging="420" w:hangingChars="200"/>
        <w:rPr>
          <w:rFonts w:ascii="宋体" w:hAnsi="宋体" w:eastAsia="宋体" w:cs="Times New Roman"/>
          <w:color w:val="auto"/>
          <w:szCs w:val="21"/>
          <w:highlight w:val="none"/>
          <w:lang w:val="zh-CN"/>
        </w:rPr>
      </w:pPr>
    </w:p>
    <w:p w14:paraId="1D1386BE">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ascii="宋体" w:hAnsi="宋体" w:eastAsia="宋体" w:cs="Times New Roman"/>
          <w:color w:val="auto"/>
          <w:szCs w:val="21"/>
          <w:highlight w:val="none"/>
          <w:lang w:val="zh-CN"/>
        </w:rPr>
        <w:t>招标代理机构</w:t>
      </w:r>
      <w:r>
        <w:rPr>
          <w:rFonts w:hint="eastAsia" w:ascii="宋体" w:hAnsi="宋体" w:eastAsia="宋体" w:cs="Times New Roman"/>
          <w:color w:val="auto"/>
          <w:szCs w:val="21"/>
          <w:highlight w:val="none"/>
          <w:lang w:val="zh-CN"/>
        </w:rPr>
        <w:t>在递交投标文件截止时间当天通过“信用中国”网站（www.creditchina.gov.cn）查询投标人（含其不具有独立法人资格的分支机构）信用记录。招标代理机构对投标人信用记录进行甄别，对列入失信被执行人、重大税收违法失信主体、</w:t>
      </w:r>
      <w:r>
        <w:rPr>
          <w:rFonts w:hint="eastAsia" w:ascii="宋体" w:hAnsi="宋体" w:eastAsia="宋体" w:cs="Times New Roman"/>
          <w:color w:val="auto"/>
          <w:szCs w:val="21"/>
          <w:highlight w:val="none"/>
          <w:lang w:val="en-US" w:eastAsia="zh-CN"/>
        </w:rPr>
        <w:t>政府采购</w:t>
      </w:r>
      <w:r>
        <w:rPr>
          <w:rFonts w:hint="eastAsia" w:ascii="宋体" w:hAnsi="宋体" w:eastAsia="宋体" w:cs="Times New Roman"/>
          <w:color w:val="auto"/>
          <w:szCs w:val="21"/>
          <w:highlight w:val="none"/>
          <w:lang w:val="zh-CN"/>
        </w:rPr>
        <w:t>严重违法失信行为记录名单的投标人，做好相关记录（处罚期限届满的除外）</w:t>
      </w:r>
      <w:r>
        <w:rPr>
          <w:rFonts w:ascii="宋体" w:hAnsi="宋体" w:eastAsia="宋体" w:cs="Times New Roman"/>
          <w:color w:val="auto"/>
          <w:szCs w:val="21"/>
          <w:highlight w:val="none"/>
          <w:lang w:val="zh-CN"/>
        </w:rPr>
        <w:t>。</w:t>
      </w:r>
    </w:p>
    <w:p w14:paraId="7CD4C5AA">
      <w:pPr>
        <w:autoSpaceDE w:val="0"/>
        <w:autoSpaceDN w:val="0"/>
        <w:adjustRightInd w:val="0"/>
        <w:spacing w:line="360" w:lineRule="auto"/>
        <w:ind w:right="-29" w:rightChars="-14" w:firstLine="420"/>
        <w:rPr>
          <w:rFonts w:ascii="宋体" w:hAnsi="宋体" w:eastAsia="宋体" w:cs="Times New Roman"/>
          <w:color w:val="auto"/>
          <w:szCs w:val="21"/>
          <w:highlight w:val="none"/>
          <w:lang w:val="zh-CN"/>
        </w:rPr>
      </w:pPr>
    </w:p>
    <w:p w14:paraId="21D88D03">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ascii="宋体" w:hAnsi="宋体" w:eastAsia="宋体" w:cs="Times New Roman"/>
          <w:color w:val="auto"/>
          <w:szCs w:val="21"/>
          <w:highlight w:val="none"/>
          <w:lang w:val="zh-CN"/>
        </w:rPr>
        <w:t>投标、开标时间及地点：</w:t>
      </w:r>
    </w:p>
    <w:p w14:paraId="433A1A63">
      <w:pPr>
        <w:autoSpaceDE w:val="0"/>
        <w:autoSpaceDN w:val="0"/>
        <w:adjustRightInd w:val="0"/>
        <w:spacing w:line="360" w:lineRule="auto"/>
        <w:ind w:right="-29" w:rightChars="-14"/>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 xml:space="preserve">5.1 </w:t>
      </w:r>
      <w:r>
        <w:rPr>
          <w:rFonts w:ascii="宋体" w:hAnsi="宋体" w:eastAsia="宋体" w:cs="Times New Roman"/>
          <w:color w:val="auto"/>
          <w:szCs w:val="21"/>
          <w:highlight w:val="none"/>
          <w:lang w:val="zh-CN"/>
        </w:rPr>
        <w:t>投标文件递交时间：</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2025</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rPr>
        <w:t>年</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4</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rPr>
        <w:t>月</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 xml:space="preserve">30 </w:t>
      </w:r>
      <w:r>
        <w:rPr>
          <w:rFonts w:hint="eastAsia" w:ascii="宋体" w:hAnsi="宋体" w:eastAsia="宋体" w:cs="Times New Roman"/>
          <w:bCs/>
          <w:color w:val="auto"/>
          <w:kern w:val="0"/>
          <w:szCs w:val="21"/>
          <w:highlight w:val="none"/>
        </w:rPr>
        <w:t>日</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 xml:space="preserve">10 </w:t>
      </w:r>
      <w:r>
        <w:rPr>
          <w:rFonts w:hint="eastAsia" w:ascii="宋体" w:hAnsi="宋体" w:eastAsia="宋体" w:cs="Times New Roman"/>
          <w:bCs/>
          <w:color w:val="auto"/>
          <w:kern w:val="0"/>
          <w:szCs w:val="21"/>
          <w:highlight w:val="none"/>
          <w:u w:val="single"/>
        </w:rPr>
        <w:t>:</w:t>
      </w:r>
      <w:r>
        <w:rPr>
          <w:rFonts w:hint="eastAsia" w:ascii="宋体" w:hAnsi="宋体" w:eastAsia="宋体" w:cs="Times New Roman"/>
          <w:bCs/>
          <w:color w:val="auto"/>
          <w:kern w:val="0"/>
          <w:szCs w:val="21"/>
          <w:highlight w:val="none"/>
          <w:u w:val="single"/>
          <w:lang w:val="en-US" w:eastAsia="zh-CN"/>
        </w:rPr>
        <w:t xml:space="preserve"> 00</w:t>
      </w:r>
      <w:r>
        <w:rPr>
          <w:rFonts w:hint="eastAsia" w:ascii="宋体" w:hAnsi="宋体" w:eastAsia="宋体" w:cs="Times New Roman"/>
          <w:color w:val="auto"/>
          <w:szCs w:val="21"/>
          <w:highlight w:val="none"/>
          <w:u w:val="single"/>
          <w:lang w:val="en-US" w:eastAsia="zh-CN"/>
        </w:rPr>
        <w:t xml:space="preserve"> </w:t>
      </w:r>
      <w:r>
        <w:rPr>
          <w:rFonts w:hint="eastAsia" w:ascii="宋体" w:hAnsi="宋体" w:eastAsia="宋体" w:cs="Times New Roman"/>
          <w:bCs/>
          <w:color w:val="auto"/>
          <w:kern w:val="0"/>
          <w:szCs w:val="21"/>
          <w:highlight w:val="none"/>
        </w:rPr>
        <w:t>～</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10</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u w:val="single"/>
        </w:rPr>
        <w:t>:</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30</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rPr>
        <w:t>；</w:t>
      </w:r>
    </w:p>
    <w:p w14:paraId="5278ED5B">
      <w:pPr>
        <w:autoSpaceDE w:val="0"/>
        <w:autoSpaceDN w:val="0"/>
        <w:adjustRightInd w:val="0"/>
        <w:spacing w:line="360" w:lineRule="auto"/>
        <w:ind w:right="-29" w:rightChars="-14"/>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 xml:space="preserve">5.2 </w:t>
      </w:r>
      <w:r>
        <w:rPr>
          <w:rFonts w:ascii="宋体" w:hAnsi="宋体" w:eastAsia="宋体" w:cs="Times New Roman"/>
          <w:color w:val="auto"/>
          <w:szCs w:val="21"/>
          <w:highlight w:val="none"/>
          <w:lang w:val="zh-CN"/>
        </w:rPr>
        <w:t>投标截止及开标时间：</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2025</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rPr>
        <w:t>年</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4</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rPr>
        <w:t>月</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30</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rPr>
        <w:t>日</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10</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u w:val="single"/>
        </w:rPr>
        <w:t>:</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u w:val="single"/>
          <w:lang w:val="en-US" w:eastAsia="zh-CN"/>
        </w:rPr>
        <w:t>30</w:t>
      </w:r>
      <w:r>
        <w:rPr>
          <w:rFonts w:ascii="宋体" w:hAnsi="宋体" w:eastAsia="宋体" w:cs="Times New Roman"/>
          <w:color w:val="auto"/>
          <w:szCs w:val="21"/>
          <w:highlight w:val="none"/>
          <w:u w:val="single"/>
          <w:lang w:val="zh-CN"/>
        </w:rPr>
        <w:t xml:space="preserve"> </w:t>
      </w:r>
      <w:r>
        <w:rPr>
          <w:rFonts w:hint="eastAsia" w:ascii="宋体" w:hAnsi="宋体" w:eastAsia="宋体" w:cs="Times New Roman"/>
          <w:bCs/>
          <w:color w:val="auto"/>
          <w:kern w:val="0"/>
          <w:szCs w:val="21"/>
          <w:highlight w:val="none"/>
        </w:rPr>
        <w:t>；</w:t>
      </w:r>
    </w:p>
    <w:p w14:paraId="4C7DC5F8">
      <w:pPr>
        <w:autoSpaceDE w:val="0"/>
        <w:autoSpaceDN w:val="0"/>
        <w:adjustRightInd w:val="0"/>
        <w:spacing w:line="360" w:lineRule="auto"/>
        <w:ind w:right="-29" w:rightChars="-14"/>
        <w:rPr>
          <w:rFonts w:ascii="宋体" w:hAnsi="宋体" w:eastAsia="宋体" w:cs="Times New Roman"/>
          <w:color w:val="auto"/>
          <w:kern w:val="0"/>
          <w:szCs w:val="21"/>
          <w:highlight w:val="none"/>
        </w:rPr>
      </w:pPr>
      <w:r>
        <w:rPr>
          <w:rFonts w:ascii="宋体" w:hAnsi="宋体" w:eastAsia="宋体" w:cs="Times New Roman"/>
          <w:color w:val="auto"/>
          <w:szCs w:val="21"/>
          <w:highlight w:val="none"/>
          <w:lang w:val="zh-CN"/>
        </w:rPr>
        <w:t>5.3 投标及开标地点：</w:t>
      </w:r>
      <w:r>
        <w:rPr>
          <w:rFonts w:hint="eastAsia" w:ascii="宋体" w:hAnsi="宋体" w:eastAsia="宋体" w:cs="Times New Roman"/>
          <w:color w:val="auto"/>
          <w:kern w:val="0"/>
          <w:szCs w:val="21"/>
          <w:highlight w:val="none"/>
          <w:u w:val="single"/>
        </w:rPr>
        <w:t>广东省东莞市南城区西平社区宏伟三路45号东莞市公共资源交易中心开标</w:t>
      </w:r>
      <w:r>
        <w:rPr>
          <w:rFonts w:hint="eastAsia" w:ascii="宋体" w:hAnsi="宋体" w:eastAsia="宋体" w:cs="Times New Roman"/>
          <w:color w:val="auto"/>
          <w:kern w:val="0"/>
          <w:szCs w:val="21"/>
          <w:highlight w:val="none"/>
          <w:u w:val="single"/>
          <w:lang w:val="en-US" w:eastAsia="zh-CN"/>
        </w:rPr>
        <w:t>13</w:t>
      </w:r>
      <w:r>
        <w:rPr>
          <w:rFonts w:hint="eastAsia" w:ascii="宋体" w:hAnsi="宋体" w:eastAsia="宋体" w:cs="Times New Roman"/>
          <w:color w:val="auto"/>
          <w:kern w:val="0"/>
          <w:szCs w:val="21"/>
          <w:highlight w:val="none"/>
          <w:u w:val="single"/>
        </w:rPr>
        <w:t>室</w:t>
      </w:r>
      <w:r>
        <w:rPr>
          <w:rFonts w:hint="eastAsia" w:ascii="宋体" w:hAnsi="宋体" w:eastAsia="宋体" w:cs="Times New Roman"/>
          <w:color w:val="auto"/>
          <w:kern w:val="0"/>
          <w:szCs w:val="21"/>
          <w:highlight w:val="none"/>
        </w:rPr>
        <w:t>。</w:t>
      </w:r>
    </w:p>
    <w:p w14:paraId="5950DD81">
      <w:pPr>
        <w:autoSpaceDE w:val="0"/>
        <w:autoSpaceDN w:val="0"/>
        <w:adjustRightInd w:val="0"/>
        <w:spacing w:line="360" w:lineRule="auto"/>
        <w:ind w:right="-29" w:rightChars="-14" w:firstLine="210" w:firstLineChars="100"/>
        <w:rPr>
          <w:rFonts w:ascii="宋体" w:hAnsi="宋体" w:eastAsia="宋体" w:cs="Times New Roman"/>
          <w:color w:val="auto"/>
          <w:kern w:val="0"/>
          <w:szCs w:val="21"/>
          <w:highlight w:val="none"/>
        </w:rPr>
      </w:pPr>
    </w:p>
    <w:p w14:paraId="2C5871D1">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rPr>
        <w:t>招标代理机构只接受在递交投标文件截止日当天由投标人法定代表人或其授权代表于递交投标文件截止时间前亲自递交的投标文件</w:t>
      </w:r>
      <w:r>
        <w:rPr>
          <w:rFonts w:hint="eastAsia" w:ascii="宋体" w:hAnsi="宋体" w:eastAsia="宋体" w:cs="Times New Roman"/>
          <w:color w:val="auto"/>
          <w:szCs w:val="21"/>
          <w:highlight w:val="none"/>
          <w:lang w:val="zh-CN"/>
        </w:rPr>
        <w:t>。电报、传真形式的投标概不接受。</w:t>
      </w:r>
    </w:p>
    <w:p w14:paraId="6BE8EF91">
      <w:pPr>
        <w:autoSpaceDE w:val="0"/>
        <w:autoSpaceDN w:val="0"/>
        <w:adjustRightInd w:val="0"/>
        <w:spacing w:line="360" w:lineRule="auto"/>
        <w:ind w:left="210" w:leftChars="100" w:right="-29" w:rightChars="-14"/>
        <w:rPr>
          <w:rFonts w:ascii="宋体" w:hAnsi="宋体" w:eastAsia="宋体" w:cs="Times New Roman"/>
          <w:color w:val="auto"/>
          <w:szCs w:val="21"/>
          <w:highlight w:val="none"/>
          <w:lang w:val="zh-CN"/>
        </w:rPr>
      </w:pPr>
    </w:p>
    <w:p w14:paraId="64ADC0E7">
      <w:pPr>
        <w:numPr>
          <w:ilvl w:val="0"/>
          <w:numId w:val="1"/>
        </w:numPr>
        <w:autoSpaceDE w:val="0"/>
        <w:autoSpaceDN w:val="0"/>
        <w:adjustRightInd w:val="0"/>
        <w:snapToGrid w:val="0"/>
        <w:spacing w:line="360" w:lineRule="auto"/>
        <w:ind w:right="-34"/>
        <w:jc w:val="left"/>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本项目相关公告在以下媒介发布：</w:t>
      </w:r>
      <w:r>
        <w:rPr>
          <w:rFonts w:hint="eastAsia" w:ascii="宋体" w:hAnsi="宋体" w:eastAsia="宋体" w:cs="Times New Roman"/>
          <w:bCs/>
          <w:color w:val="auto"/>
          <w:szCs w:val="21"/>
          <w:highlight w:val="none"/>
          <w:lang w:eastAsia="zh-CN"/>
        </w:rPr>
        <w:t>广东省公共资源交易平台（ygp.gdzwfw.gov.cn）、</w:t>
      </w:r>
      <w:r>
        <w:rPr>
          <w:rFonts w:hint="eastAsia" w:ascii="宋体" w:hAnsi="宋体" w:eastAsia="宋体" w:cs="Times New Roman"/>
          <w:bCs/>
          <w:color w:val="auto"/>
          <w:szCs w:val="21"/>
          <w:highlight w:val="none"/>
        </w:rPr>
        <w:t>中国招标投标公共服务平台（www.cebpubservice.com）、东莞市水务集团有限公司网（www.dgswjt.cn）、招标代理</w:t>
      </w:r>
      <w:r>
        <w:rPr>
          <w:rFonts w:hint="eastAsia" w:ascii="宋体" w:hAnsi="宋体" w:eastAsia="宋体" w:cs="Times New Roman"/>
          <w:bCs/>
          <w:color w:val="auto"/>
          <w:szCs w:val="21"/>
          <w:highlight w:val="none"/>
          <w:lang w:val="en-US" w:eastAsia="zh-CN"/>
        </w:rPr>
        <w:t>机构</w:t>
      </w:r>
      <w:r>
        <w:rPr>
          <w:rFonts w:hint="eastAsia" w:ascii="宋体" w:hAnsi="宋体" w:eastAsia="宋体" w:cs="Times New Roman"/>
          <w:bCs/>
          <w:color w:val="auto"/>
          <w:szCs w:val="21"/>
          <w:highlight w:val="none"/>
        </w:rPr>
        <w:t>网站（</w:t>
      </w:r>
      <w:r>
        <w:rPr>
          <w:rFonts w:hint="eastAsia" w:ascii="宋体" w:hAnsi="宋体" w:eastAsia="宋体" w:cs="Times New Roman"/>
          <w:bCs/>
          <w:color w:val="auto"/>
          <w:szCs w:val="21"/>
          <w:highlight w:val="none"/>
          <w:u w:val="single"/>
        </w:rPr>
        <w:t>www.dashengtd.com</w:t>
      </w:r>
      <w:r>
        <w:rPr>
          <w:rFonts w:ascii="宋体" w:hAnsi="宋体" w:eastAsia="宋体" w:cs="Times New Roman"/>
          <w:bCs/>
          <w:color w:val="auto"/>
          <w:szCs w:val="21"/>
          <w:highlight w:val="none"/>
        </w:rPr>
        <w:t>）</w:t>
      </w:r>
      <w:r>
        <w:rPr>
          <w:rFonts w:ascii="宋体" w:hAnsi="宋体" w:eastAsia="宋体" w:cs="Times New Roman"/>
          <w:color w:val="auto"/>
          <w:szCs w:val="21"/>
          <w:highlight w:val="none"/>
          <w:lang w:val="zh-CN"/>
        </w:rPr>
        <w:t>。</w:t>
      </w:r>
    </w:p>
    <w:p w14:paraId="2189AF71">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rPr>
      </w:pPr>
      <w:r>
        <w:rPr>
          <w:rFonts w:ascii="宋体" w:hAnsi="宋体" w:eastAsia="宋体" w:cs="Times New Roman"/>
          <w:bCs/>
          <w:color w:val="auto"/>
          <w:szCs w:val="21"/>
          <w:highlight w:val="none"/>
          <w:lang w:val="zh-CN"/>
        </w:rPr>
        <w:t>招标人联系方式</w:t>
      </w:r>
    </w:p>
    <w:p w14:paraId="46121B07">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招标人：</w:t>
      </w:r>
      <w:r>
        <w:rPr>
          <w:rFonts w:hint="eastAsia" w:ascii="宋体" w:hAnsi="宋体" w:eastAsia="宋体" w:cs="Times New Roman"/>
          <w:color w:val="auto"/>
          <w:kern w:val="0"/>
          <w:szCs w:val="21"/>
          <w:highlight w:val="none"/>
          <w:lang w:val="en-US" w:eastAsia="zh-CN"/>
        </w:rPr>
        <w:t>东莞市樟村水质净化有限公司</w:t>
      </w:r>
    </w:p>
    <w:p w14:paraId="75AE11E1">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地</w:t>
      </w:r>
      <w:r>
        <w:rPr>
          <w:rFonts w:hint="eastAsia" w:ascii="宋体" w:hAnsi="宋体" w:eastAsia="宋体" w:cs="Times New Roman"/>
          <w:color w:val="auto"/>
          <w:kern w:val="0"/>
          <w:szCs w:val="21"/>
          <w:highlight w:val="none"/>
        </w:rPr>
        <w:t xml:space="preserve"> </w:t>
      </w:r>
      <w:r>
        <w:rPr>
          <w:rFonts w:ascii="宋体" w:hAnsi="宋体" w:eastAsia="宋体" w:cs="Times New Roman"/>
          <w:color w:val="auto"/>
          <w:kern w:val="0"/>
          <w:szCs w:val="21"/>
          <w:highlight w:val="none"/>
        </w:rPr>
        <w:t xml:space="preserve"> 址：</w:t>
      </w:r>
      <w:r>
        <w:rPr>
          <w:rFonts w:hint="eastAsia" w:ascii="宋体" w:hAnsi="宋体" w:eastAsia="宋体" w:cs="Times New Roman"/>
          <w:color w:val="auto"/>
          <w:kern w:val="0"/>
          <w:szCs w:val="21"/>
          <w:highlight w:val="none"/>
          <w:lang w:val="en-US" w:eastAsia="zh-CN"/>
        </w:rPr>
        <w:t>东莞市东城运河东</w:t>
      </w:r>
      <w:r>
        <w:rPr>
          <w:rFonts w:hint="default" w:ascii="宋体" w:hAnsi="宋体" w:eastAsia="宋体" w:cs="Times New Roman"/>
          <w:color w:val="auto"/>
          <w:kern w:val="0"/>
          <w:szCs w:val="21"/>
          <w:highlight w:val="none"/>
          <w:lang w:val="en-US" w:eastAsia="zh-CN"/>
        </w:rPr>
        <w:t>6</w:t>
      </w:r>
      <w:r>
        <w:rPr>
          <w:rFonts w:hint="eastAsia" w:ascii="宋体" w:hAnsi="宋体" w:eastAsia="宋体" w:cs="Times New Roman"/>
          <w:color w:val="auto"/>
          <w:kern w:val="0"/>
          <w:szCs w:val="21"/>
          <w:highlight w:val="none"/>
          <w:lang w:val="en-US" w:eastAsia="zh-CN"/>
        </w:rPr>
        <w:t>号</w:t>
      </w:r>
    </w:p>
    <w:p w14:paraId="495FF7A1">
      <w:pPr>
        <w:widowControl/>
        <w:autoSpaceDE w:val="0"/>
        <w:autoSpaceDN w:val="0"/>
        <w:adjustRightInd w:val="0"/>
        <w:spacing w:line="360" w:lineRule="auto"/>
        <w:ind w:right="-31" w:rightChars="-15" w:firstLine="424" w:firstLineChars="202"/>
        <w:jc w:val="left"/>
        <w:textAlignment w:val="bottom"/>
        <w:rPr>
          <w:rFonts w:hint="default" w:ascii="宋体" w:hAnsi="宋体" w:eastAsia="宋体" w:cs="Times New Roman"/>
          <w:color w:val="auto"/>
          <w:kern w:val="0"/>
          <w:szCs w:val="21"/>
          <w:highlight w:val="none"/>
          <w:lang w:val="en-US" w:eastAsia="zh-CN"/>
        </w:rPr>
      </w:pPr>
      <w:r>
        <w:rPr>
          <w:rFonts w:ascii="宋体" w:hAnsi="宋体" w:eastAsia="宋体" w:cs="Times New Roman"/>
          <w:color w:val="auto"/>
          <w:kern w:val="0"/>
          <w:szCs w:val="21"/>
          <w:highlight w:val="none"/>
        </w:rPr>
        <w:t>联系人</w:t>
      </w: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val="en-US" w:eastAsia="zh-CN"/>
        </w:rPr>
        <w:t>万淑婷</w:t>
      </w:r>
    </w:p>
    <w:p w14:paraId="75A73169">
      <w:pPr>
        <w:widowControl/>
        <w:autoSpaceDE w:val="0"/>
        <w:autoSpaceDN w:val="0"/>
        <w:adjustRightInd w:val="0"/>
        <w:spacing w:line="360" w:lineRule="auto"/>
        <w:ind w:right="-31" w:rightChars="-15" w:firstLine="424" w:firstLineChars="202"/>
        <w:jc w:val="left"/>
        <w:textAlignment w:val="bottom"/>
        <w:rPr>
          <w:rFonts w:hint="default" w:ascii="宋体" w:hAnsi="宋体" w:eastAsia="宋体" w:cs="Times New Roman"/>
          <w:color w:val="auto"/>
          <w:kern w:val="0"/>
          <w:szCs w:val="21"/>
          <w:highlight w:val="none"/>
          <w:lang w:val="en-US" w:eastAsia="zh-CN"/>
        </w:rPr>
      </w:pPr>
      <w:r>
        <w:rPr>
          <w:rFonts w:ascii="宋体" w:hAnsi="宋体" w:eastAsia="宋体" w:cs="Times New Roman"/>
          <w:color w:val="auto"/>
          <w:kern w:val="0"/>
          <w:szCs w:val="21"/>
          <w:highlight w:val="none"/>
        </w:rPr>
        <w:t>电  话：</w:t>
      </w:r>
      <w:r>
        <w:rPr>
          <w:rFonts w:hint="eastAsia" w:ascii="宋体" w:hAnsi="宋体" w:eastAsia="宋体" w:cs="Times New Roman"/>
          <w:color w:val="auto"/>
          <w:kern w:val="0"/>
          <w:szCs w:val="21"/>
          <w:highlight w:val="none"/>
          <w:lang w:val="en-US" w:eastAsia="zh-CN"/>
        </w:rPr>
        <w:t>0769-23286160</w:t>
      </w:r>
    </w:p>
    <w:p w14:paraId="305DB377">
      <w:pPr>
        <w:autoSpaceDE w:val="0"/>
        <w:autoSpaceDN w:val="0"/>
        <w:adjustRightInd w:val="0"/>
        <w:spacing w:line="360" w:lineRule="auto"/>
        <w:ind w:right="-29" w:rightChars="-14" w:firstLine="420"/>
        <w:rPr>
          <w:rFonts w:ascii="宋体" w:hAnsi="宋体" w:eastAsia="宋体" w:cs="Times New Roman"/>
          <w:color w:val="auto"/>
          <w:kern w:val="0"/>
          <w:szCs w:val="21"/>
          <w:highlight w:val="none"/>
        </w:rPr>
      </w:pPr>
    </w:p>
    <w:p w14:paraId="3849EEE0">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rPr>
      </w:pPr>
      <w:r>
        <w:rPr>
          <w:rFonts w:ascii="宋体" w:hAnsi="宋体" w:eastAsia="宋体" w:cs="Times New Roman"/>
          <w:color w:val="auto"/>
          <w:szCs w:val="21"/>
          <w:highlight w:val="none"/>
        </w:rPr>
        <w:t>招标代理机构</w:t>
      </w:r>
      <w:r>
        <w:rPr>
          <w:rFonts w:hint="eastAsia" w:ascii="宋体" w:hAnsi="宋体" w:eastAsia="宋体" w:cs="Times New Roman"/>
          <w:color w:val="auto"/>
          <w:szCs w:val="21"/>
          <w:highlight w:val="none"/>
          <w:lang w:val="en-US" w:eastAsia="zh-CN"/>
        </w:rPr>
        <w:t>及异议受理</w:t>
      </w:r>
      <w:r>
        <w:rPr>
          <w:rFonts w:ascii="宋体" w:hAnsi="宋体" w:eastAsia="宋体" w:cs="Times New Roman"/>
          <w:color w:val="auto"/>
          <w:szCs w:val="21"/>
          <w:highlight w:val="none"/>
        </w:rPr>
        <w:t>联系方式</w:t>
      </w:r>
    </w:p>
    <w:p w14:paraId="25F91539">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Times New Roman"/>
          <w:color w:val="auto"/>
          <w:kern w:val="0"/>
          <w:szCs w:val="21"/>
          <w:highlight w:val="none"/>
          <w:lang w:eastAsia="zh-CN"/>
        </w:rPr>
      </w:pPr>
      <w:bookmarkStart w:id="16" w:name="_Toc31764_WPSOffice_Level1"/>
      <w:bookmarkStart w:id="17" w:name="_Toc486167661"/>
      <w:bookmarkStart w:id="18" w:name="_Toc450662847"/>
      <w:r>
        <w:rPr>
          <w:rFonts w:ascii="宋体" w:hAnsi="宋体" w:eastAsia="宋体" w:cs="Times New Roman"/>
          <w:color w:val="auto"/>
          <w:kern w:val="0"/>
          <w:szCs w:val="21"/>
          <w:highlight w:val="none"/>
        </w:rPr>
        <w:t>招标代理机构：</w:t>
      </w:r>
      <w:r>
        <w:rPr>
          <w:rFonts w:hint="eastAsia" w:ascii="宋体" w:hAnsi="宋体" w:eastAsia="宋体" w:cs="Times New Roman"/>
          <w:color w:val="auto"/>
          <w:kern w:val="0"/>
          <w:szCs w:val="21"/>
          <w:highlight w:val="none"/>
          <w:lang w:eastAsia="zh-CN"/>
        </w:rPr>
        <w:t>东莞市达盛招标代理有限公司</w:t>
      </w:r>
    </w:p>
    <w:p w14:paraId="53E4CD97">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地  址：</w:t>
      </w:r>
      <w:r>
        <w:rPr>
          <w:rFonts w:hint="eastAsia" w:ascii="宋体" w:hAnsi="宋体" w:eastAsia="宋体" w:cs="Times New Roman"/>
          <w:color w:val="auto"/>
          <w:kern w:val="0"/>
          <w:szCs w:val="21"/>
          <w:highlight w:val="none"/>
        </w:rPr>
        <w:t>东莞市东城街道御景大厦303室（东城区政府旁）</w:t>
      </w:r>
    </w:p>
    <w:p w14:paraId="2C41A535">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联系人：</w:t>
      </w:r>
      <w:r>
        <w:rPr>
          <w:rFonts w:hint="eastAsia" w:ascii="宋体" w:hAnsi="宋体" w:eastAsia="宋体" w:cs="Times New Roman"/>
          <w:color w:val="auto"/>
          <w:kern w:val="0"/>
          <w:szCs w:val="21"/>
          <w:highlight w:val="none"/>
        </w:rPr>
        <w:t>杨浩林</w:t>
      </w:r>
    </w:p>
    <w:p w14:paraId="2EC7A2C9">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 xml:space="preserve">电 </w:t>
      </w:r>
      <w:r>
        <w:rPr>
          <w:rFonts w:ascii="宋体" w:hAnsi="宋体" w:eastAsia="宋体" w:cs="Times New Roman"/>
          <w:color w:val="auto"/>
          <w:kern w:val="0"/>
          <w:szCs w:val="21"/>
          <w:highlight w:val="none"/>
        </w:rPr>
        <w:t xml:space="preserve"> </w:t>
      </w:r>
      <w:r>
        <w:rPr>
          <w:rFonts w:hint="eastAsia" w:ascii="宋体" w:hAnsi="宋体" w:eastAsia="宋体" w:cs="Times New Roman"/>
          <w:color w:val="auto"/>
          <w:kern w:val="0"/>
          <w:szCs w:val="21"/>
          <w:highlight w:val="none"/>
        </w:rPr>
        <w:t>话</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0769-22113229</w:t>
      </w:r>
    </w:p>
    <w:p w14:paraId="0456FB00">
      <w:pPr>
        <w:pageBreakBefore/>
        <w:tabs>
          <w:tab w:val="left" w:pos="1080"/>
        </w:tabs>
        <w:autoSpaceDE w:val="0"/>
        <w:autoSpaceDN w:val="0"/>
        <w:adjustRightInd w:val="0"/>
        <w:spacing w:line="360" w:lineRule="auto"/>
        <w:ind w:left="-167" w:leftChars="-100" w:hanging="43"/>
        <w:jc w:val="center"/>
        <w:outlineLvl w:val="0"/>
        <w:rPr>
          <w:rFonts w:ascii="宋体" w:hAnsi="宋体" w:eastAsia="宋体" w:cs="宋体"/>
          <w:b/>
          <w:bCs/>
          <w:color w:val="auto"/>
          <w:kern w:val="44"/>
          <w:sz w:val="32"/>
          <w:szCs w:val="32"/>
          <w:highlight w:val="none"/>
        </w:rPr>
      </w:pPr>
      <w:bookmarkStart w:id="19" w:name="_Toc142508311"/>
      <w:bookmarkStart w:id="20" w:name="_Toc18212"/>
      <w:bookmarkStart w:id="21" w:name="_Toc15111"/>
      <w:bookmarkStart w:id="22" w:name="_Toc24505"/>
      <w:bookmarkStart w:id="23" w:name="_Toc31498"/>
      <w:bookmarkStart w:id="24" w:name="_Toc31758"/>
      <w:bookmarkStart w:id="25" w:name="_Toc18907"/>
      <w:bookmarkStart w:id="26" w:name="_Toc1883"/>
      <w:bookmarkStart w:id="27" w:name="_Toc7000"/>
      <w:bookmarkStart w:id="28" w:name="_Toc18310"/>
      <w:r>
        <w:rPr>
          <w:rFonts w:hint="eastAsia" w:ascii="宋体" w:hAnsi="宋体" w:eastAsia="宋体" w:cs="宋体"/>
          <w:b/>
          <w:bCs/>
          <w:color w:val="auto"/>
          <w:kern w:val="44"/>
          <w:sz w:val="32"/>
          <w:szCs w:val="32"/>
          <w:highlight w:val="none"/>
          <w:lang w:val="zh-CN"/>
        </w:rPr>
        <w:t>第二篇</w:t>
      </w:r>
      <w:r>
        <w:rPr>
          <w:rFonts w:ascii="宋体" w:hAnsi="宋体" w:eastAsia="宋体" w:cs="宋体"/>
          <w:b/>
          <w:bCs/>
          <w:color w:val="auto"/>
          <w:kern w:val="44"/>
          <w:sz w:val="32"/>
          <w:szCs w:val="32"/>
          <w:highlight w:val="none"/>
        </w:rPr>
        <w:t xml:space="preserve"> </w:t>
      </w:r>
      <w:r>
        <w:rPr>
          <w:rFonts w:hint="eastAsia" w:ascii="宋体" w:hAnsi="宋体" w:eastAsia="宋体" w:cs="宋体"/>
          <w:b/>
          <w:bCs/>
          <w:color w:val="auto"/>
          <w:kern w:val="44"/>
          <w:sz w:val="32"/>
          <w:szCs w:val="32"/>
          <w:highlight w:val="none"/>
          <w:lang w:val="zh-CN"/>
        </w:rPr>
        <w:t>投标人须知</w:t>
      </w:r>
      <w:bookmarkEnd w:id="16"/>
      <w:bookmarkEnd w:id="17"/>
      <w:bookmarkEnd w:id="18"/>
      <w:bookmarkEnd w:id="19"/>
      <w:bookmarkEnd w:id="20"/>
      <w:bookmarkEnd w:id="21"/>
      <w:bookmarkEnd w:id="22"/>
      <w:bookmarkEnd w:id="23"/>
      <w:bookmarkEnd w:id="24"/>
      <w:bookmarkEnd w:id="25"/>
      <w:bookmarkEnd w:id="26"/>
      <w:bookmarkEnd w:id="27"/>
      <w:bookmarkEnd w:id="28"/>
    </w:p>
    <w:p w14:paraId="6755809E">
      <w:pPr>
        <w:keepNext/>
        <w:keepLine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29" w:name="_Toc9555"/>
      <w:bookmarkStart w:id="30" w:name="_Toc486167662"/>
      <w:bookmarkStart w:id="31" w:name="_Toc13129"/>
      <w:bookmarkStart w:id="32" w:name="_Toc23243"/>
      <w:bookmarkStart w:id="33" w:name="_Toc29638"/>
      <w:bookmarkStart w:id="34" w:name="_Toc27816"/>
      <w:bookmarkStart w:id="35" w:name="_Toc5183"/>
      <w:bookmarkStart w:id="36" w:name="_Toc140596871"/>
      <w:bookmarkStart w:id="37" w:name="_Toc15366_WPSOffice_Level2"/>
      <w:bookmarkStart w:id="38" w:name="_Toc11520"/>
      <w:bookmarkStart w:id="39" w:name="_Toc30245"/>
      <w:bookmarkStart w:id="40" w:name="_Toc142508312"/>
      <w:bookmarkStart w:id="41" w:name="_Toc450662848"/>
      <w:bookmarkStart w:id="42" w:name="_Toc24479"/>
      <w:r>
        <w:rPr>
          <w:rFonts w:hint="eastAsia" w:ascii="宋体" w:hAnsi="宋体" w:eastAsia="宋体" w:cs="宋体"/>
          <w:b/>
          <w:bCs/>
          <w:color w:val="auto"/>
          <w:kern w:val="44"/>
          <w:szCs w:val="21"/>
          <w:highlight w:val="none"/>
          <w:lang w:val="zh-CN"/>
        </w:rPr>
        <w:t>一、总则</w:t>
      </w:r>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2343820B">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43" w:name="_Toc142508313"/>
      <w:bookmarkStart w:id="44" w:name="_Toc10249"/>
      <w:bookmarkStart w:id="45" w:name="_Toc9608"/>
      <w:bookmarkStart w:id="46" w:name="_Toc8645"/>
      <w:bookmarkStart w:id="47" w:name="_Toc8526"/>
      <w:bookmarkStart w:id="48" w:name="_Toc16303"/>
      <w:bookmarkStart w:id="49" w:name="_Toc486167663"/>
      <w:bookmarkStart w:id="50" w:name="_Toc21586"/>
      <w:bookmarkStart w:id="51" w:name="_Toc20421"/>
      <w:bookmarkStart w:id="52" w:name="_Toc450662849"/>
      <w:bookmarkStart w:id="53" w:name="_Toc23333"/>
      <w:bookmarkStart w:id="54" w:name="_Toc30754"/>
      <w:bookmarkStart w:id="55" w:name="_Toc21710_WPSOffice_Level3"/>
      <w:r>
        <w:rPr>
          <w:rFonts w:hint="eastAsia" w:ascii="宋体" w:hAnsi="宋体" w:eastAsia="宋体" w:cs="宋体"/>
          <w:color w:val="auto"/>
          <w:szCs w:val="21"/>
          <w:highlight w:val="none"/>
          <w:lang w:val="zh-CN"/>
        </w:rPr>
        <w:t>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资金来源：企业自筹资金。</w:t>
      </w:r>
      <w:bookmarkEnd w:id="43"/>
      <w:bookmarkEnd w:id="44"/>
      <w:bookmarkEnd w:id="45"/>
      <w:bookmarkEnd w:id="46"/>
      <w:bookmarkEnd w:id="47"/>
      <w:bookmarkEnd w:id="48"/>
      <w:bookmarkEnd w:id="49"/>
      <w:bookmarkEnd w:id="50"/>
      <w:bookmarkEnd w:id="51"/>
      <w:bookmarkEnd w:id="52"/>
      <w:bookmarkEnd w:id="53"/>
      <w:bookmarkEnd w:id="54"/>
      <w:bookmarkEnd w:id="55"/>
    </w:p>
    <w:p w14:paraId="6745B874">
      <w:pPr>
        <w:autoSpaceDE w:val="0"/>
        <w:autoSpaceDN w:val="0"/>
        <w:adjustRightInd w:val="0"/>
        <w:jc w:val="left"/>
        <w:rPr>
          <w:rFonts w:ascii="宋体" w:hAnsi="宋体" w:eastAsia="宋体" w:cs="宋体"/>
          <w:color w:val="auto"/>
          <w:kern w:val="0"/>
          <w:sz w:val="24"/>
          <w:szCs w:val="24"/>
          <w:highlight w:val="none"/>
        </w:rPr>
      </w:pPr>
    </w:p>
    <w:p w14:paraId="55EBC75A">
      <w:pPr>
        <w:tabs>
          <w:tab w:val="left" w:pos="570"/>
        </w:tabs>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lang w:val="zh-CN"/>
        </w:rPr>
      </w:pPr>
      <w:bookmarkStart w:id="56" w:name="_Toc80_WPSOffice_Level3"/>
      <w:bookmarkStart w:id="57" w:name="_Toc142508314"/>
      <w:bookmarkStart w:id="58" w:name="_Toc4156"/>
      <w:bookmarkStart w:id="59" w:name="_Toc18557"/>
      <w:bookmarkStart w:id="60" w:name="_Toc27401"/>
      <w:bookmarkStart w:id="61" w:name="_Toc486167664"/>
      <w:bookmarkStart w:id="62" w:name="_Toc24271"/>
      <w:bookmarkStart w:id="63" w:name="_Toc32244"/>
      <w:bookmarkStart w:id="64" w:name="_Toc31919"/>
      <w:bookmarkStart w:id="65" w:name="_Toc60"/>
      <w:bookmarkStart w:id="66" w:name="_Toc28698"/>
      <w:bookmarkStart w:id="67" w:name="_Toc450662850"/>
      <w:bookmarkStart w:id="68" w:name="_Toc24699"/>
      <w:r>
        <w:rPr>
          <w:rFonts w:hint="eastAsia" w:ascii="宋体" w:hAnsi="宋体" w:eastAsia="宋体" w:cs="宋体"/>
          <w:b/>
          <w:color w:val="auto"/>
          <w:szCs w:val="21"/>
          <w:highlight w:val="none"/>
          <w:lang w:val="zh-CN"/>
        </w:rPr>
        <w:t>2</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合格的投标人</w:t>
      </w:r>
      <w:bookmarkEnd w:id="56"/>
      <w:bookmarkEnd w:id="57"/>
      <w:bookmarkEnd w:id="58"/>
      <w:bookmarkEnd w:id="59"/>
      <w:bookmarkEnd w:id="60"/>
      <w:bookmarkEnd w:id="61"/>
      <w:bookmarkEnd w:id="62"/>
      <w:bookmarkEnd w:id="63"/>
      <w:bookmarkEnd w:id="64"/>
      <w:bookmarkEnd w:id="65"/>
      <w:bookmarkEnd w:id="66"/>
      <w:bookmarkEnd w:id="67"/>
      <w:bookmarkEnd w:id="68"/>
    </w:p>
    <w:p w14:paraId="0E7236CC">
      <w:pPr>
        <w:autoSpaceDE w:val="0"/>
        <w:autoSpaceDN w:val="0"/>
        <w:adjustRightInd w:val="0"/>
        <w:spacing w:line="360" w:lineRule="auto"/>
        <w:ind w:left="317" w:leftChars="-100" w:hanging="527" w:hangingChars="250"/>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2.1  合格的投标人条件见第一篇《招标公告》中第</w:t>
      </w:r>
      <w:r>
        <w:rPr>
          <w:rFonts w:ascii="宋体" w:hAnsi="宋体" w:eastAsia="宋体" w:cs="宋体"/>
          <w:b/>
          <w:color w:val="auto"/>
          <w:szCs w:val="21"/>
          <w:highlight w:val="none"/>
          <w:lang w:val="zh-CN"/>
        </w:rPr>
        <w:t>2</w:t>
      </w:r>
      <w:r>
        <w:rPr>
          <w:rFonts w:hint="eastAsia" w:ascii="宋体" w:hAnsi="宋体" w:eastAsia="宋体" w:cs="宋体"/>
          <w:b/>
          <w:color w:val="auto"/>
          <w:szCs w:val="21"/>
          <w:highlight w:val="none"/>
          <w:lang w:val="zh-CN"/>
        </w:rPr>
        <w:t>条的“合格投标人资格要求”及本条以下2.2款至2.</w:t>
      </w:r>
      <w:r>
        <w:rPr>
          <w:rFonts w:hint="eastAsia" w:ascii="宋体" w:hAnsi="宋体" w:eastAsia="宋体" w:cs="宋体"/>
          <w:b/>
          <w:color w:val="auto"/>
          <w:szCs w:val="21"/>
          <w:highlight w:val="none"/>
          <w:lang w:val="en-US" w:eastAsia="zh-CN"/>
        </w:rPr>
        <w:t>5</w:t>
      </w:r>
      <w:r>
        <w:rPr>
          <w:rFonts w:hint="eastAsia" w:ascii="宋体" w:hAnsi="宋体" w:eastAsia="宋体" w:cs="宋体"/>
          <w:b/>
          <w:color w:val="auto"/>
          <w:szCs w:val="21"/>
          <w:highlight w:val="none"/>
          <w:lang w:val="zh-CN"/>
        </w:rPr>
        <w:t>款的通用要求。</w:t>
      </w:r>
    </w:p>
    <w:p w14:paraId="46BAB982">
      <w:pPr>
        <w:autoSpaceDE w:val="0"/>
        <w:autoSpaceDN w:val="0"/>
        <w:adjustRightInd w:val="0"/>
        <w:spacing w:line="360" w:lineRule="auto"/>
        <w:ind w:left="359" w:leftChars="-100" w:hanging="569" w:hangingChars="270"/>
        <w:rPr>
          <w:rFonts w:ascii="宋体" w:hAnsi="宋体" w:eastAsia="宋体" w:cs="宋体"/>
          <w:b/>
          <w:color w:val="auto"/>
          <w:kern w:val="0"/>
          <w:szCs w:val="21"/>
          <w:highlight w:val="none"/>
        </w:rPr>
      </w:pPr>
      <w:r>
        <w:rPr>
          <w:rFonts w:hint="eastAsia" w:ascii="宋体" w:hAnsi="宋体" w:eastAsia="宋体" w:cs="宋体"/>
          <w:b/>
          <w:color w:val="auto"/>
          <w:kern w:val="0"/>
          <w:szCs w:val="24"/>
          <w:highlight w:val="none"/>
        </w:rPr>
        <w:t xml:space="preserve">2.2  </w:t>
      </w:r>
      <w:r>
        <w:rPr>
          <w:rFonts w:hint="eastAsia" w:ascii="宋体" w:hAnsi="宋体" w:eastAsia="宋体" w:cs="宋体"/>
          <w:b/>
          <w:color w:val="auto"/>
          <w:kern w:val="0"/>
          <w:szCs w:val="21"/>
          <w:highlight w:val="none"/>
        </w:rPr>
        <w:t>投标人</w:t>
      </w:r>
      <w:r>
        <w:rPr>
          <w:rFonts w:hint="eastAsia" w:ascii="宋体" w:hAnsi="宋体" w:eastAsia="宋体" w:cs="Times New Roman"/>
          <w:b/>
          <w:color w:val="auto"/>
          <w:kern w:val="0"/>
          <w:szCs w:val="21"/>
          <w:highlight w:val="none"/>
        </w:rPr>
        <w:t>在参加本项目投标前的三年内不得在投标活动中存在《中华人民共和国招标投标法》第五十三条（相互串通投标或者与招标人串通投标，以向招标人或者评标委员会成员行贿的手段谋取中标）、第五十四条（以他人名义投标或者以其他方式弄虚作假，骗取中标）、第六十条（中标人不履行与招标人订立的合同）、《中华人民共和国招标投标法实施条例》第七十六条（将中标项目转让给他人的，将中标项目肢解后分别转让给他人的，违反招标投标法和本条例规定将中标项目的部分主体、关键性工作分包给他人的，或者分包人再次分包）、第七十七条（捏造事实、伪造材料或者以非法手段取得证明材料进行投诉）规定的违法行为，而受到各级管理部门的处罚。投标人存在前述处罚的，在投标文件中必须主动按招标文件的要求填报“最近3年投标人牵涉的其他（失信和违法）</w:t>
      </w:r>
      <w:r>
        <w:rPr>
          <w:rFonts w:hint="eastAsia" w:ascii="宋体" w:hAnsi="宋体" w:eastAsia="宋体" w:cs="Times New Roman"/>
          <w:b/>
          <w:color w:val="auto"/>
          <w:kern w:val="0"/>
          <w:szCs w:val="21"/>
          <w:highlight w:val="none"/>
          <w:lang w:val="zh-CN"/>
        </w:rPr>
        <w:t>处罚说明</w:t>
      </w:r>
      <w:r>
        <w:rPr>
          <w:rFonts w:hint="eastAsia" w:ascii="宋体" w:hAnsi="宋体" w:eastAsia="宋体" w:cs="Times New Roman"/>
          <w:b/>
          <w:color w:val="auto"/>
          <w:kern w:val="0"/>
          <w:szCs w:val="21"/>
          <w:highlight w:val="none"/>
        </w:rPr>
        <w:t>”，如果不主动填报而被事后发现的，将取消其投标（中标）资格，并按有关规定从重处理</w:t>
      </w:r>
      <w:r>
        <w:rPr>
          <w:rFonts w:hint="eastAsia" w:ascii="宋体" w:hAnsi="宋体" w:eastAsia="宋体" w:cs="宋体"/>
          <w:b/>
          <w:color w:val="auto"/>
          <w:kern w:val="0"/>
          <w:szCs w:val="21"/>
          <w:highlight w:val="none"/>
        </w:rPr>
        <w:t>。</w:t>
      </w:r>
    </w:p>
    <w:p w14:paraId="2B661FDA">
      <w:pPr>
        <w:autoSpaceDE w:val="0"/>
        <w:autoSpaceDN w:val="0"/>
        <w:adjustRightInd w:val="0"/>
        <w:spacing w:line="360" w:lineRule="auto"/>
        <w:ind w:left="317" w:leftChars="-100" w:hanging="527" w:hangingChars="250"/>
        <w:rPr>
          <w:rFonts w:ascii="宋体" w:hAnsi="宋体" w:eastAsia="宋体" w:cs="宋体"/>
          <w:b/>
          <w:color w:val="auto"/>
          <w:szCs w:val="21"/>
          <w:highlight w:val="none"/>
          <w:lang w:val="zh-CN"/>
        </w:rPr>
      </w:pPr>
      <w:r>
        <w:rPr>
          <w:rFonts w:hint="eastAsia" w:ascii="宋体" w:hAnsi="宋体" w:eastAsia="宋体" w:cs="宋体"/>
          <w:b/>
          <w:color w:val="auto"/>
          <w:kern w:val="0"/>
          <w:szCs w:val="21"/>
          <w:highlight w:val="none"/>
          <w:lang w:val="zh-CN"/>
        </w:rPr>
        <w:t>2.</w:t>
      </w:r>
      <w:r>
        <w:rPr>
          <w:rFonts w:ascii="宋体" w:hAnsi="宋体" w:eastAsia="宋体" w:cs="宋体"/>
          <w:b/>
          <w:color w:val="auto"/>
          <w:kern w:val="0"/>
          <w:szCs w:val="21"/>
          <w:highlight w:val="none"/>
          <w:lang w:val="zh-CN"/>
        </w:rPr>
        <w:t>3</w:t>
      </w:r>
      <w:r>
        <w:rPr>
          <w:rFonts w:hint="eastAsia" w:ascii="宋体" w:hAnsi="宋体" w:eastAsia="宋体" w:cs="宋体"/>
          <w:b/>
          <w:color w:val="auto"/>
          <w:kern w:val="0"/>
          <w:szCs w:val="21"/>
          <w:highlight w:val="none"/>
          <w:lang w:val="zh-CN"/>
        </w:rPr>
        <w:t xml:space="preserve">  投标人</w:t>
      </w:r>
      <w:r>
        <w:rPr>
          <w:rFonts w:hint="eastAsia" w:ascii="宋体" w:hAnsi="宋体" w:eastAsia="宋体" w:cs="宋体"/>
          <w:b/>
          <w:color w:val="auto"/>
          <w:szCs w:val="21"/>
          <w:highlight w:val="none"/>
          <w:lang w:val="zh-CN"/>
        </w:rPr>
        <w:t>符合《中华人民共和国招标投标法》第二十六条规定。</w:t>
      </w:r>
    </w:p>
    <w:p w14:paraId="341D4F01">
      <w:pPr>
        <w:autoSpaceDE w:val="0"/>
        <w:autoSpaceDN w:val="0"/>
        <w:adjustRightInd w:val="0"/>
        <w:spacing w:line="360" w:lineRule="auto"/>
        <w:ind w:left="359" w:leftChars="-99" w:hanging="567" w:hangingChars="269"/>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w:t>
      </w:r>
      <w:r>
        <w:rPr>
          <w:rFonts w:ascii="宋体" w:hAnsi="宋体" w:eastAsia="宋体" w:cs="宋体"/>
          <w:b/>
          <w:color w:val="auto"/>
          <w:kern w:val="0"/>
          <w:szCs w:val="21"/>
          <w:highlight w:val="none"/>
        </w:rPr>
        <w:t>4</w:t>
      </w:r>
      <w:r>
        <w:rPr>
          <w:rFonts w:hint="eastAsia" w:ascii="宋体" w:hAnsi="宋体" w:eastAsia="宋体" w:cs="宋体"/>
          <w:b/>
          <w:color w:val="auto"/>
          <w:kern w:val="0"/>
          <w:szCs w:val="21"/>
          <w:highlight w:val="none"/>
        </w:rPr>
        <w:t xml:space="preserve">  </w:t>
      </w:r>
      <w:r>
        <w:rPr>
          <w:rFonts w:hint="eastAsia" w:ascii="宋体" w:hAnsi="宋体" w:eastAsia="宋体" w:cs="Times New Roman"/>
          <w:b/>
          <w:color w:val="auto"/>
          <w:kern w:val="0"/>
          <w:szCs w:val="21"/>
          <w:highlight w:val="none"/>
        </w:rPr>
        <w:t>投标人（含其不具有独立法人资格的分支机构）未被列入“信用中国”网站（ www.creditchina.gov.cn）失信被执行人、重大税收违法失信主体、</w:t>
      </w:r>
      <w:r>
        <w:rPr>
          <w:rFonts w:hint="eastAsia" w:ascii="宋体" w:hAnsi="宋体" w:eastAsia="宋体" w:cs="Times New Roman"/>
          <w:b/>
          <w:color w:val="auto"/>
          <w:kern w:val="0"/>
          <w:szCs w:val="21"/>
          <w:highlight w:val="none"/>
          <w:lang w:val="en-US" w:eastAsia="zh-CN"/>
        </w:rPr>
        <w:t>政府采购</w:t>
      </w:r>
      <w:r>
        <w:rPr>
          <w:rFonts w:hint="eastAsia" w:ascii="宋体" w:hAnsi="宋体" w:eastAsia="宋体" w:cs="Times New Roman"/>
          <w:b/>
          <w:color w:val="auto"/>
          <w:kern w:val="0"/>
          <w:szCs w:val="21"/>
          <w:highlight w:val="none"/>
        </w:rPr>
        <w:t>严重违法失信行为记录名单（处罚期限届满的除外）</w:t>
      </w:r>
      <w:r>
        <w:rPr>
          <w:rFonts w:hint="eastAsia" w:ascii="宋体" w:hAnsi="宋体" w:eastAsia="宋体" w:cs="宋体"/>
          <w:b/>
          <w:color w:val="auto"/>
          <w:kern w:val="0"/>
          <w:szCs w:val="21"/>
          <w:highlight w:val="none"/>
        </w:rPr>
        <w:t>。</w:t>
      </w:r>
    </w:p>
    <w:p w14:paraId="5982728F">
      <w:pPr>
        <w:autoSpaceDE w:val="0"/>
        <w:autoSpaceDN w:val="0"/>
        <w:adjustRightInd w:val="0"/>
        <w:spacing w:line="360" w:lineRule="auto"/>
        <w:ind w:left="317" w:leftChars="-100" w:hanging="527" w:hangingChars="250"/>
        <w:rPr>
          <w:rFonts w:ascii="宋体" w:hAnsi="宋体" w:eastAsia="宋体" w:cs="宋体"/>
          <w:b/>
          <w:color w:val="auto"/>
          <w:kern w:val="0"/>
          <w:szCs w:val="21"/>
          <w:highlight w:val="none"/>
          <w:lang w:val="zh-CN"/>
        </w:rPr>
      </w:pPr>
      <w:r>
        <w:rPr>
          <w:rFonts w:hint="eastAsia" w:ascii="宋体" w:hAnsi="宋体" w:eastAsia="宋体" w:cs="宋体"/>
          <w:b/>
          <w:color w:val="auto"/>
          <w:szCs w:val="21"/>
          <w:highlight w:val="none"/>
          <w:lang w:val="zh-CN"/>
        </w:rPr>
        <w:t>2.</w:t>
      </w:r>
      <w:r>
        <w:rPr>
          <w:rFonts w:ascii="宋体" w:hAnsi="宋体" w:eastAsia="宋体" w:cs="宋体"/>
          <w:b/>
          <w:color w:val="auto"/>
          <w:szCs w:val="21"/>
          <w:highlight w:val="none"/>
          <w:lang w:val="zh-CN"/>
        </w:rPr>
        <w:t>5</w:t>
      </w:r>
      <w:r>
        <w:rPr>
          <w:rFonts w:hint="eastAsia" w:ascii="宋体" w:hAnsi="宋体" w:eastAsia="宋体" w:cs="宋体"/>
          <w:b/>
          <w:color w:val="auto"/>
          <w:szCs w:val="21"/>
          <w:highlight w:val="none"/>
          <w:lang w:val="zh-CN"/>
        </w:rPr>
        <w:t xml:space="preserve">  </w:t>
      </w:r>
      <w:r>
        <w:rPr>
          <w:rFonts w:hint="eastAsia" w:ascii="宋体" w:hAnsi="宋体" w:eastAsia="宋体" w:cs="Times New Roman"/>
          <w:b/>
          <w:color w:val="auto"/>
          <w:kern w:val="0"/>
          <w:szCs w:val="21"/>
          <w:highlight w:val="none"/>
        </w:rPr>
        <w:t>根据《中华人民共和国招标投标法实施条例》第三十四条规定，与招标人存在利害关系可能影响招标公正性的法人、其他组织或者个人，不得参加投标；投标人负责人为同一人或者存在控股、管理关系的不同投标人，不得参加同一项目投标。上述情况一经发现，相关投标均无效</w:t>
      </w:r>
      <w:r>
        <w:rPr>
          <w:rFonts w:hint="eastAsia" w:ascii="宋体" w:hAnsi="宋体" w:eastAsia="宋体" w:cs="宋体"/>
          <w:b/>
          <w:color w:val="auto"/>
          <w:szCs w:val="21"/>
          <w:highlight w:val="none"/>
          <w:lang w:val="zh-CN"/>
        </w:rPr>
        <w:t>。</w:t>
      </w:r>
    </w:p>
    <w:p w14:paraId="6A7070B6">
      <w:pPr>
        <w:tabs>
          <w:tab w:val="left" w:pos="426"/>
        </w:tabs>
        <w:autoSpaceDE w:val="0"/>
        <w:autoSpaceDN w:val="0"/>
        <w:adjustRightInd w:val="0"/>
        <w:spacing w:line="360" w:lineRule="auto"/>
        <w:ind w:left="319" w:leftChars="-100" w:hanging="529" w:hangingChars="252"/>
        <w:rPr>
          <w:rFonts w:ascii="宋体" w:hAnsi="宋体" w:eastAsia="宋体" w:cs="宋体"/>
          <w:color w:val="auto"/>
          <w:kern w:val="0"/>
          <w:szCs w:val="24"/>
          <w:highlight w:val="none"/>
        </w:rPr>
      </w:pPr>
    </w:p>
    <w:p w14:paraId="300A0258">
      <w:pPr>
        <w:tabs>
          <w:tab w:val="left" w:pos="570"/>
        </w:tabs>
        <w:autoSpaceDE w:val="0"/>
        <w:autoSpaceDN w:val="0"/>
        <w:adjustRightInd w:val="0"/>
        <w:spacing w:line="360" w:lineRule="auto"/>
        <w:ind w:left="357" w:leftChars="-100" w:hanging="567"/>
        <w:jc w:val="left"/>
        <w:outlineLvl w:val="2"/>
        <w:rPr>
          <w:rFonts w:hint="eastAsia" w:ascii="宋体" w:hAnsi="宋体" w:eastAsia="宋体" w:cs="宋体"/>
          <w:b/>
          <w:color w:val="auto"/>
          <w:szCs w:val="21"/>
          <w:highlight w:val="none"/>
          <w:lang w:val="en-US" w:eastAsia="zh-CN"/>
        </w:rPr>
      </w:pPr>
      <w:bookmarkStart w:id="69" w:name="_Toc142508315"/>
      <w:bookmarkStart w:id="70" w:name="_Toc23847_WPSOffice_Level3"/>
      <w:bookmarkStart w:id="71" w:name="_Toc28587"/>
      <w:bookmarkStart w:id="72" w:name="_Toc16100"/>
      <w:bookmarkStart w:id="73" w:name="_Toc30885"/>
      <w:bookmarkStart w:id="74" w:name="_Toc1152"/>
      <w:bookmarkStart w:id="75" w:name="_Toc14042"/>
      <w:bookmarkStart w:id="76" w:name="_Toc11689"/>
      <w:bookmarkStart w:id="77" w:name="_Toc12452"/>
      <w:bookmarkStart w:id="78" w:name="_Toc7529"/>
      <w:bookmarkStart w:id="79" w:name="_Toc19774"/>
      <w:bookmarkStart w:id="80" w:name="_Toc450662851"/>
      <w:bookmarkStart w:id="81" w:name="_Toc486167665"/>
      <w:r>
        <w:rPr>
          <w:rFonts w:hint="eastAsia" w:ascii="宋体" w:hAnsi="宋体" w:eastAsia="宋体" w:cs="宋体"/>
          <w:b/>
          <w:color w:val="auto"/>
          <w:szCs w:val="21"/>
          <w:highlight w:val="none"/>
          <w:lang w:val="zh-CN"/>
        </w:rPr>
        <w:t>3</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合格的</w:t>
      </w:r>
      <w:bookmarkEnd w:id="69"/>
      <w:bookmarkEnd w:id="70"/>
      <w:r>
        <w:rPr>
          <w:rFonts w:hint="eastAsia" w:ascii="宋体" w:hAnsi="宋体" w:eastAsia="宋体" w:cs="宋体"/>
          <w:b/>
          <w:color w:val="auto"/>
          <w:szCs w:val="21"/>
          <w:highlight w:val="none"/>
          <w:lang w:val="en-US" w:eastAsia="zh-CN"/>
        </w:rPr>
        <w:t>服务</w:t>
      </w:r>
      <w:bookmarkEnd w:id="71"/>
      <w:bookmarkEnd w:id="72"/>
      <w:bookmarkEnd w:id="73"/>
      <w:bookmarkEnd w:id="74"/>
      <w:bookmarkEnd w:id="75"/>
      <w:bookmarkEnd w:id="76"/>
      <w:bookmarkEnd w:id="77"/>
      <w:bookmarkEnd w:id="78"/>
      <w:bookmarkEnd w:id="79"/>
    </w:p>
    <w:p w14:paraId="4DA4068F">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ascii="宋体" w:hAnsi="宋体" w:eastAsia="宋体" w:cs="Times New Roman"/>
          <w:color w:val="auto"/>
          <w:szCs w:val="21"/>
          <w:highlight w:val="none"/>
          <w:lang w:val="zh-CN"/>
        </w:rPr>
        <w:t>3.</w:t>
      </w:r>
      <w:r>
        <w:rPr>
          <w:rFonts w:hint="eastAsia" w:ascii="宋体" w:hAnsi="宋体" w:eastAsia="宋体" w:cs="Times New Roman"/>
          <w:color w:val="auto"/>
          <w:szCs w:val="21"/>
          <w:highlight w:val="none"/>
          <w:lang w:val="zh-CN"/>
        </w:rPr>
        <w:t>1</w:t>
      </w:r>
      <w:r>
        <w:rPr>
          <w:rFonts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rPr>
        <w:t>“服务”是指投标人按招标文件规定完成的全部服务内容，其中包括完成服务所需的货物和工程，及须承担的技术支持、培训和其它伴随服务。</w:t>
      </w:r>
    </w:p>
    <w:p w14:paraId="243932B9">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82" w:name="_Toc1977663"/>
      <w:bookmarkStart w:id="83" w:name="_Toc533708063"/>
      <w:r>
        <w:rPr>
          <w:rFonts w:hint="eastAsia" w:ascii="宋体" w:hAnsi="宋体" w:eastAsia="宋体" w:cs="宋体"/>
          <w:color w:val="auto"/>
          <w:szCs w:val="21"/>
          <w:highlight w:val="none"/>
          <w:lang w:val="zh-CN"/>
        </w:rPr>
        <w:t xml:space="preserve">3.2  </w:t>
      </w:r>
      <w:bookmarkEnd w:id="82"/>
      <w:bookmarkEnd w:id="83"/>
      <w:bookmarkStart w:id="84" w:name="_Toc1977665"/>
      <w:bookmarkStart w:id="85" w:name="_Toc533708065"/>
      <w:r>
        <w:rPr>
          <w:rFonts w:hint="eastAsia" w:ascii="宋体" w:hAnsi="宋体" w:eastAsia="宋体" w:cs="宋体"/>
          <w:color w:val="auto"/>
          <w:szCs w:val="21"/>
          <w:highlight w:val="none"/>
          <w:lang w:val="zh-CN"/>
        </w:rPr>
        <w:t>投标人</w:t>
      </w:r>
      <w:r>
        <w:rPr>
          <w:rFonts w:hint="eastAsia" w:ascii="宋体" w:hAnsi="宋体" w:eastAsia="宋体" w:cs="Times New Roman"/>
          <w:color w:val="auto"/>
          <w:szCs w:val="21"/>
          <w:highlight w:val="none"/>
          <w:lang w:val="zh-CN"/>
        </w:rPr>
        <w:t>必须保证提供的所有</w:t>
      </w:r>
      <w:r>
        <w:rPr>
          <w:rFonts w:hint="eastAsia" w:ascii="宋体" w:hAnsi="宋体" w:eastAsia="宋体" w:cs="Times New Roman"/>
          <w:color w:val="auto"/>
          <w:szCs w:val="21"/>
          <w:highlight w:val="none"/>
          <w:lang w:val="en-US" w:eastAsia="zh-CN"/>
        </w:rPr>
        <w:t>服务</w:t>
      </w:r>
      <w:r>
        <w:rPr>
          <w:rFonts w:hint="eastAsia" w:ascii="宋体" w:hAnsi="宋体" w:eastAsia="宋体" w:cs="Times New Roman"/>
          <w:color w:val="auto"/>
          <w:szCs w:val="21"/>
          <w:highlight w:val="none"/>
          <w:lang w:val="zh-CN"/>
        </w:rPr>
        <w:t>或</w:t>
      </w:r>
      <w:r>
        <w:rPr>
          <w:rFonts w:hint="eastAsia" w:ascii="宋体" w:hAnsi="宋体" w:eastAsia="宋体" w:cs="Times New Roman"/>
          <w:color w:val="auto"/>
          <w:szCs w:val="21"/>
          <w:highlight w:val="none"/>
          <w:lang w:val="en-US" w:eastAsia="zh-CN"/>
        </w:rPr>
        <w:t>服务</w:t>
      </w:r>
      <w:r>
        <w:rPr>
          <w:rFonts w:hint="eastAsia" w:ascii="宋体" w:hAnsi="宋体" w:eastAsia="宋体" w:cs="Times New Roman"/>
          <w:color w:val="auto"/>
          <w:szCs w:val="21"/>
          <w:highlight w:val="none"/>
          <w:lang w:val="zh-CN"/>
        </w:rPr>
        <w:t>的任何部分均为最新正式版本</w:t>
      </w:r>
      <w:r>
        <w:rPr>
          <w:rFonts w:hint="eastAsia" w:ascii="宋体" w:hAnsi="宋体" w:eastAsia="宋体" w:cs="宋体"/>
          <w:color w:val="auto"/>
          <w:szCs w:val="21"/>
          <w:highlight w:val="none"/>
          <w:lang w:val="zh-CN"/>
        </w:rPr>
        <w:t>。</w:t>
      </w:r>
      <w:bookmarkEnd w:id="84"/>
      <w:bookmarkEnd w:id="85"/>
    </w:p>
    <w:p w14:paraId="525E5D49">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86" w:name="_Toc1977666"/>
      <w:bookmarkStart w:id="87" w:name="_Toc533708066"/>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val="zh-CN"/>
        </w:rPr>
        <w:t xml:space="preserve">  </w:t>
      </w:r>
      <w:bookmarkEnd w:id="86"/>
      <w:bookmarkEnd w:id="87"/>
      <w:bookmarkStart w:id="88" w:name="_Toc1977667"/>
      <w:bookmarkStart w:id="89" w:name="_Toc533708067"/>
      <w:r>
        <w:rPr>
          <w:rFonts w:hint="eastAsia" w:ascii="宋体" w:hAnsi="宋体" w:eastAsia="宋体" w:cs="宋体"/>
          <w:color w:val="auto"/>
          <w:szCs w:val="21"/>
          <w:highlight w:val="none"/>
          <w:lang w:val="zh-CN"/>
        </w:rPr>
        <w:t>投标人</w:t>
      </w:r>
      <w:r>
        <w:rPr>
          <w:rFonts w:hint="eastAsia" w:ascii="宋体" w:hAnsi="宋体" w:eastAsia="宋体" w:cs="Times New Roman"/>
          <w:color w:val="auto"/>
          <w:kern w:val="0"/>
          <w:szCs w:val="21"/>
          <w:highlight w:val="none"/>
        </w:rPr>
        <w:t>应保证招标人在中华人民共和国使用</w:t>
      </w:r>
      <w:r>
        <w:rPr>
          <w:rFonts w:hint="eastAsia" w:ascii="宋体" w:hAnsi="宋体" w:eastAsia="宋体" w:cs="Times New Roman"/>
          <w:color w:val="auto"/>
          <w:kern w:val="0"/>
          <w:szCs w:val="21"/>
          <w:highlight w:val="none"/>
          <w:lang w:val="en-US" w:eastAsia="zh-CN"/>
        </w:rPr>
        <w:t>服务</w:t>
      </w:r>
      <w:r>
        <w:rPr>
          <w:rFonts w:hint="eastAsia" w:ascii="宋体" w:hAnsi="宋体" w:eastAsia="宋体" w:cs="Times New Roman"/>
          <w:color w:val="auto"/>
          <w:kern w:val="0"/>
          <w:szCs w:val="21"/>
          <w:highlight w:val="none"/>
        </w:rPr>
        <w:t>或</w:t>
      </w:r>
      <w:r>
        <w:rPr>
          <w:rFonts w:hint="eastAsia" w:ascii="宋体" w:hAnsi="宋体" w:eastAsia="宋体" w:cs="Times New Roman"/>
          <w:color w:val="auto"/>
          <w:kern w:val="0"/>
          <w:szCs w:val="21"/>
          <w:highlight w:val="none"/>
          <w:lang w:val="en-US" w:eastAsia="zh-CN"/>
        </w:rPr>
        <w:t>服务</w:t>
      </w:r>
      <w:r>
        <w:rPr>
          <w:rFonts w:hint="eastAsia" w:ascii="宋体" w:hAnsi="宋体" w:eastAsia="宋体" w:cs="Times New Roman"/>
          <w:color w:val="auto"/>
          <w:kern w:val="0"/>
          <w:szCs w:val="21"/>
          <w:highlight w:val="none"/>
        </w:rPr>
        <w:t>的任何一部分时，招标人免受第三方提出侵犯其专利权、商标权或其它知识产权的起诉。如果投标人不拥有相应的知识产权，则须在报价中包括合法获取该知识产权的相关费用，并在招标文件中附有相关证明文件。如有违反，造成招标人任何经济损失或其他损失的，由投标人承担全部赔偿责任</w:t>
      </w:r>
      <w:r>
        <w:rPr>
          <w:rFonts w:hint="eastAsia" w:ascii="宋体" w:hAnsi="宋体" w:eastAsia="宋体" w:cs="宋体"/>
          <w:color w:val="auto"/>
          <w:szCs w:val="21"/>
          <w:highlight w:val="none"/>
          <w:lang w:val="zh-CN"/>
        </w:rPr>
        <w:t>。</w:t>
      </w:r>
      <w:bookmarkEnd w:id="88"/>
      <w:bookmarkEnd w:id="89"/>
    </w:p>
    <w:p w14:paraId="20305AEF">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90" w:name="_Toc1977668"/>
      <w:bookmarkStart w:id="91" w:name="_Toc533708068"/>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zh-CN"/>
        </w:rPr>
        <w:t xml:space="preserve"> </w:t>
      </w:r>
      <w:bookmarkEnd w:id="90"/>
      <w:bookmarkEnd w:id="91"/>
      <w:r>
        <w:rPr>
          <w:rFonts w:hint="eastAsia" w:ascii="宋体" w:hAnsi="宋体" w:eastAsia="宋体" w:cs="宋体"/>
          <w:color w:val="auto"/>
          <w:szCs w:val="21"/>
          <w:highlight w:val="none"/>
          <w:lang w:val="zh-CN"/>
        </w:rPr>
        <w:t>无论投标人</w:t>
      </w:r>
      <w:r>
        <w:rPr>
          <w:rFonts w:hint="eastAsia" w:ascii="宋体" w:hAnsi="宋体" w:eastAsia="宋体" w:cs="Times New Roman"/>
          <w:color w:val="auto"/>
          <w:kern w:val="0"/>
          <w:szCs w:val="21"/>
          <w:highlight w:val="none"/>
        </w:rPr>
        <w:t>是否在投标报价表中明示，均视为投标报价已包含所有应支付的对专利权</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rPr>
        <w:t>商标权和版权、设计或其他知识产权而需要向其他方支付的版税和使用费等相关费用。如投标人未依法向第三方支付应缴版税和使用费等相关费用</w:t>
      </w:r>
      <w:r>
        <w:rPr>
          <w:rFonts w:hint="eastAsia" w:ascii="宋体" w:hAnsi="宋体" w:eastAsia="宋体" w:cs="Times New Roman"/>
          <w:color w:val="auto"/>
          <w:kern w:val="0"/>
          <w:szCs w:val="21"/>
          <w:highlight w:val="none"/>
          <w:lang w:val="en-US" w:eastAsia="zh-CN"/>
        </w:rPr>
        <w:t>的</w:t>
      </w:r>
      <w:r>
        <w:rPr>
          <w:rFonts w:hint="eastAsia" w:ascii="宋体" w:hAnsi="宋体" w:eastAsia="宋体" w:cs="Times New Roman"/>
          <w:color w:val="auto"/>
          <w:kern w:val="0"/>
          <w:szCs w:val="21"/>
          <w:highlight w:val="none"/>
        </w:rPr>
        <w:t>，造成招标人任何经济损失的，由投标人承担全部赔偿责任</w:t>
      </w:r>
      <w:r>
        <w:rPr>
          <w:rFonts w:hint="eastAsia" w:ascii="宋体" w:hAnsi="宋体" w:eastAsia="宋体" w:cs="宋体"/>
          <w:color w:val="auto"/>
          <w:szCs w:val="21"/>
          <w:highlight w:val="none"/>
          <w:lang w:val="zh-CN"/>
        </w:rPr>
        <w:t>。</w:t>
      </w:r>
    </w:p>
    <w:p w14:paraId="25AE4CBD">
      <w:pPr>
        <w:autoSpaceDE w:val="0"/>
        <w:autoSpaceDN w:val="0"/>
        <w:adjustRightInd w:val="0"/>
        <w:spacing w:line="360" w:lineRule="auto"/>
        <w:jc w:val="left"/>
        <w:rPr>
          <w:rFonts w:ascii="宋体" w:hAnsi="宋体" w:eastAsia="宋体" w:cs="宋体"/>
          <w:color w:val="auto"/>
          <w:szCs w:val="21"/>
          <w:highlight w:val="none"/>
          <w:lang w:val="zh-CN"/>
        </w:rPr>
      </w:pPr>
    </w:p>
    <w:p w14:paraId="563FC8C5">
      <w:pPr>
        <w:tabs>
          <w:tab w:val="left" w:pos="57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92" w:name="_Toc1012"/>
      <w:bookmarkStart w:id="93" w:name="_Toc26520"/>
      <w:bookmarkStart w:id="94" w:name="_Toc3554"/>
      <w:bookmarkStart w:id="95" w:name="_Toc142508316"/>
      <w:bookmarkStart w:id="96" w:name="_Toc11650"/>
      <w:bookmarkStart w:id="97" w:name="_Toc9658_WPSOffice_Level3"/>
      <w:bookmarkStart w:id="98" w:name="_Toc9753"/>
      <w:bookmarkStart w:id="99" w:name="_Toc11533"/>
      <w:bookmarkStart w:id="100" w:name="_Toc3497"/>
      <w:bookmarkStart w:id="101" w:name="_Toc31057"/>
      <w:bookmarkStart w:id="102" w:name="_Toc3404"/>
      <w:r>
        <w:rPr>
          <w:rFonts w:hint="eastAsia" w:ascii="宋体" w:hAnsi="宋体" w:eastAsia="宋体" w:cs="宋体"/>
          <w:color w:val="auto"/>
          <w:szCs w:val="21"/>
          <w:highlight w:val="none"/>
          <w:lang w:val="zh-CN"/>
        </w:rPr>
        <w:t>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其它说明</w:t>
      </w:r>
      <w:bookmarkEnd w:id="92"/>
      <w:bookmarkEnd w:id="93"/>
      <w:bookmarkEnd w:id="94"/>
      <w:bookmarkEnd w:id="95"/>
      <w:bookmarkEnd w:id="96"/>
      <w:bookmarkEnd w:id="97"/>
      <w:bookmarkEnd w:id="98"/>
      <w:bookmarkEnd w:id="99"/>
      <w:bookmarkEnd w:id="100"/>
      <w:bookmarkEnd w:id="101"/>
      <w:bookmarkEnd w:id="102"/>
    </w:p>
    <w:p w14:paraId="33A8A565">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103" w:name="_Toc1977670"/>
      <w:bookmarkStart w:id="104" w:name="_Toc533708070"/>
      <w:r>
        <w:rPr>
          <w:rFonts w:hint="eastAsia" w:ascii="宋体" w:hAnsi="宋体" w:eastAsia="宋体" w:cs="宋体"/>
          <w:color w:val="auto"/>
          <w:szCs w:val="21"/>
          <w:highlight w:val="none"/>
          <w:lang w:val="zh-CN"/>
        </w:rPr>
        <w:t>4.1  投标费用</w:t>
      </w:r>
      <w:bookmarkEnd w:id="103"/>
      <w:bookmarkEnd w:id="104"/>
    </w:p>
    <w:p w14:paraId="4C895C21">
      <w:pPr>
        <w:autoSpaceDE w:val="0"/>
        <w:autoSpaceDN w:val="0"/>
        <w:adjustRightInd w:val="0"/>
        <w:spacing w:line="360" w:lineRule="auto"/>
        <w:ind w:left="210" w:leftChars="100" w:firstLine="420" w:firstLineChars="200"/>
        <w:rPr>
          <w:rFonts w:ascii="宋体" w:hAnsi="宋体" w:eastAsia="宋体" w:cs="宋体"/>
          <w:color w:val="auto"/>
          <w:szCs w:val="21"/>
          <w:highlight w:val="none"/>
          <w:lang w:val="zh-CN"/>
        </w:rPr>
      </w:pPr>
      <w:bookmarkStart w:id="105" w:name="_Toc533708072"/>
      <w:bookmarkStart w:id="106" w:name="_Toc1977672"/>
      <w:r>
        <w:rPr>
          <w:rFonts w:hint="eastAsia" w:ascii="宋体" w:hAnsi="宋体" w:eastAsia="宋体" w:cs="Times New Roman"/>
          <w:color w:val="auto"/>
          <w:szCs w:val="21"/>
          <w:highlight w:val="none"/>
          <w:lang w:val="zh-CN"/>
        </w:rPr>
        <w:t>无论招标过程中的做法和结果如何，投标人须承担所有与编写和递交投标文件有关的费用，招标人和招标代理机构在任何情况下不负担这些费用</w:t>
      </w:r>
      <w:r>
        <w:rPr>
          <w:rFonts w:hint="eastAsia" w:ascii="宋体" w:hAnsi="宋体" w:eastAsia="宋体" w:cs="宋体"/>
          <w:color w:val="auto"/>
          <w:szCs w:val="21"/>
          <w:highlight w:val="none"/>
          <w:lang w:val="zh-CN"/>
        </w:rPr>
        <w:t>。</w:t>
      </w:r>
      <w:bookmarkEnd w:id="105"/>
      <w:bookmarkEnd w:id="106"/>
    </w:p>
    <w:p w14:paraId="08EEE7C1">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107" w:name="_Toc533708073"/>
      <w:bookmarkStart w:id="108" w:name="_Toc1977673"/>
      <w:r>
        <w:rPr>
          <w:rFonts w:hint="eastAsia" w:ascii="宋体" w:hAnsi="宋体" w:eastAsia="宋体" w:cs="宋体"/>
          <w:color w:val="auto"/>
          <w:szCs w:val="21"/>
          <w:highlight w:val="none"/>
          <w:lang w:val="zh-CN"/>
        </w:rPr>
        <w:t>4.2  踏勘现场</w:t>
      </w:r>
      <w:bookmarkEnd w:id="107"/>
      <w:bookmarkEnd w:id="108"/>
    </w:p>
    <w:p w14:paraId="732185ED">
      <w:pPr>
        <w:autoSpaceDE w:val="0"/>
        <w:autoSpaceDN w:val="0"/>
        <w:adjustRightInd w:val="0"/>
        <w:spacing w:line="360" w:lineRule="auto"/>
        <w:ind w:left="300" w:leftChars="-59" w:hanging="424" w:hangingChars="202"/>
        <w:jc w:val="left"/>
        <w:rPr>
          <w:rFonts w:ascii="宋体" w:hAnsi="宋体" w:eastAsia="宋体" w:cs="Times New Roman"/>
          <w:color w:val="auto"/>
          <w:kern w:val="0"/>
          <w:szCs w:val="21"/>
          <w:highlight w:val="none"/>
        </w:rPr>
      </w:pPr>
      <w:bookmarkStart w:id="109" w:name="_Toc533708076"/>
      <w:bookmarkStart w:id="110" w:name="_Toc1977676"/>
      <w:r>
        <w:rPr>
          <w:rFonts w:hint="eastAsia" w:ascii="宋体" w:hAnsi="宋体" w:eastAsia="宋体" w:cs="Times New Roman"/>
          <w:color w:val="auto"/>
          <w:kern w:val="0"/>
          <w:szCs w:val="21"/>
          <w:highlight w:val="none"/>
        </w:rPr>
        <w:t>（1）本项目不组织集中踏勘现场和答疑，投标人应自行到实地踏勘考察。</w:t>
      </w:r>
    </w:p>
    <w:p w14:paraId="29FAEF43">
      <w:pPr>
        <w:autoSpaceDE w:val="0"/>
        <w:autoSpaceDN w:val="0"/>
        <w:adjustRightInd w:val="0"/>
        <w:spacing w:line="360" w:lineRule="auto"/>
        <w:ind w:left="300" w:leftChars="-59" w:hanging="424" w:hangingChars="202"/>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（2）潜在投标人应承担踏勘现场自身所发生的费用。</w:t>
      </w:r>
    </w:p>
    <w:p w14:paraId="242E113A">
      <w:pPr>
        <w:spacing w:line="360" w:lineRule="auto"/>
        <w:ind w:left="300" w:leftChars="-59" w:hanging="424" w:hangingChars="202"/>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（3）招标人和招标代理机构在踏勘现场中介绍的有关现场和相关的周边环境情况，供投标人在编制投标文件时参考，招标人不对投标人据此作出的判断和决策负责。</w:t>
      </w:r>
    </w:p>
    <w:p w14:paraId="19F5ACF1">
      <w:pPr>
        <w:spacing w:line="360" w:lineRule="auto"/>
        <w:ind w:left="300" w:leftChars="-59" w:hanging="424" w:hangingChars="202"/>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（4）潜在投标人可为踏勘需要而进入招标人的项目现场，但潜在投标人不得因此使招标人承担有关的责任和蒙受损失。潜在投标人应承担踏勘现场的责任和风险。</w:t>
      </w:r>
    </w:p>
    <w:p w14:paraId="454F6B38">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纪律与保密事项</w:t>
      </w:r>
      <w:bookmarkEnd w:id="80"/>
      <w:bookmarkEnd w:id="81"/>
      <w:bookmarkEnd w:id="109"/>
      <w:bookmarkEnd w:id="110"/>
    </w:p>
    <w:p w14:paraId="629420D2">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（1）获得本招标文件的投标人，不得用作本次投标以外的任何用途。</w:t>
      </w:r>
    </w:p>
    <w:p w14:paraId="1F843612">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（2</w:t>
      </w:r>
      <w:r>
        <w:rPr>
          <w:rFonts w:hint="eastAsia" w:ascii="宋体" w:hAnsi="宋体" w:eastAsia="宋体" w:cs="Times New Roman"/>
          <w:color w:val="auto"/>
          <w:kern w:val="0"/>
          <w:szCs w:val="21"/>
          <w:highlight w:val="none"/>
        </w:rPr>
        <w:t>）凡参与招标工作的有关人员均应自觉接受有关主管部门的监督，不得向他人透露可能影响公平竞争的情况。</w:t>
      </w:r>
    </w:p>
    <w:p w14:paraId="5887AA5A">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（3）开标后，直至向中标人</w:t>
      </w:r>
      <w:r>
        <w:rPr>
          <w:rFonts w:hint="eastAsia" w:ascii="宋体" w:hAnsi="宋体" w:eastAsia="宋体" w:cs="Times New Roman"/>
          <w:color w:val="auto"/>
          <w:kern w:val="0"/>
          <w:szCs w:val="21"/>
          <w:highlight w:val="none"/>
          <w:lang w:eastAsia="zh-CN"/>
        </w:rPr>
        <w:t>授予合同期间</w:t>
      </w:r>
      <w:r>
        <w:rPr>
          <w:rFonts w:hint="eastAsia" w:ascii="宋体" w:hAnsi="宋体" w:eastAsia="宋体" w:cs="Times New Roman"/>
          <w:color w:val="auto"/>
          <w:kern w:val="0"/>
          <w:szCs w:val="21"/>
          <w:highlight w:val="none"/>
        </w:rPr>
        <w:t>，凡与审查、澄清、评价和比较报价的有关资料以及授标意见等，参与评标工作的有关人员均不得向投标人及与评标无关的其他人透露。</w:t>
      </w:r>
    </w:p>
    <w:p w14:paraId="735BF554">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（4）除投标人被要求对投标文件进行澄清外，从递交投标文件截止之时起至授予合同期间，投标人不得就与其投标文件有关的事项主动与评标委员会、招标代理机构以及招标人联系。</w:t>
      </w:r>
    </w:p>
    <w:p w14:paraId="3653BDE0">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5）从开标之日起至授予合同期间，在投标文件的审查、澄清、比较和评价阶段，投标人试图对评标委员会和招标代理机构施加任何影响或对招标人的比较及授予合同的决定产生影响，都可能导致其投标文件被拒绝。</w:t>
      </w:r>
    </w:p>
    <w:p w14:paraId="4C367DBA">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（6）投标人不得串通作弊，以不正当的手段妨碍、排挤其他投标人，扰乱采购市场，破坏公平竞争原则。</w:t>
      </w:r>
    </w:p>
    <w:p w14:paraId="519D6535">
      <w:pPr>
        <w:autoSpaceDE w:val="0"/>
        <w:autoSpaceDN w:val="0"/>
        <w:adjustRightInd w:val="0"/>
        <w:spacing w:line="360" w:lineRule="auto"/>
        <w:ind w:left="315" w:leftChars="-100" w:hanging="525" w:hangingChars="250"/>
        <w:rPr>
          <w:rFonts w:ascii="宋体" w:hAnsi="宋体" w:eastAsia="宋体" w:cs="宋体"/>
          <w:color w:val="auto"/>
          <w:szCs w:val="21"/>
          <w:highlight w:val="none"/>
        </w:rPr>
      </w:pPr>
    </w:p>
    <w:p w14:paraId="1EDC2E1C">
      <w:pPr>
        <w:keepNext/>
        <w:keepLine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111" w:name="_Toc5395"/>
      <w:bookmarkStart w:id="112" w:name="_Toc450662853"/>
      <w:bookmarkStart w:id="113" w:name="_Toc31114"/>
      <w:bookmarkStart w:id="114" w:name="_Toc30507_WPSOffice_Level2"/>
      <w:bookmarkStart w:id="115" w:name="_Toc8839"/>
      <w:bookmarkStart w:id="116" w:name="_Toc140596876"/>
      <w:bookmarkStart w:id="117" w:name="_Toc142508317"/>
      <w:bookmarkStart w:id="118" w:name="_Toc23213"/>
      <w:bookmarkStart w:id="119" w:name="_Toc27519"/>
      <w:bookmarkStart w:id="120" w:name="_Toc7872"/>
      <w:bookmarkStart w:id="121" w:name="_Toc12995"/>
      <w:bookmarkStart w:id="122" w:name="_Toc23875"/>
      <w:bookmarkStart w:id="123" w:name="_Toc1565"/>
      <w:bookmarkStart w:id="124" w:name="_Toc486167667"/>
      <w:r>
        <w:rPr>
          <w:rFonts w:hint="eastAsia" w:ascii="宋体" w:hAnsi="宋体" w:eastAsia="宋体" w:cs="宋体"/>
          <w:b/>
          <w:bCs/>
          <w:color w:val="auto"/>
          <w:kern w:val="44"/>
          <w:szCs w:val="21"/>
          <w:highlight w:val="none"/>
          <w:lang w:val="zh-CN"/>
        </w:rPr>
        <w:t>二、招标文件</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14:paraId="4E343E09">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25" w:name="_Toc12714"/>
      <w:bookmarkStart w:id="126" w:name="_Toc29819"/>
      <w:bookmarkStart w:id="127" w:name="_Toc28893"/>
      <w:bookmarkStart w:id="128" w:name="_Toc450662854"/>
      <w:bookmarkStart w:id="129" w:name="_Toc486167668"/>
      <w:bookmarkStart w:id="130" w:name="_Toc18752"/>
      <w:bookmarkStart w:id="131" w:name="_Toc142508318"/>
      <w:bookmarkStart w:id="132" w:name="_Toc22651"/>
      <w:bookmarkStart w:id="133" w:name="_Toc3978"/>
      <w:bookmarkStart w:id="134" w:name="_Toc26635_WPSOffice_Level3"/>
      <w:bookmarkStart w:id="135" w:name="_Toc19648"/>
      <w:bookmarkStart w:id="136" w:name="_Toc19525"/>
      <w:bookmarkStart w:id="137" w:name="_Toc2406"/>
      <w:r>
        <w:rPr>
          <w:rFonts w:hint="eastAsia" w:ascii="宋体" w:hAnsi="宋体" w:eastAsia="宋体" w:cs="宋体"/>
          <w:color w:val="auto"/>
          <w:szCs w:val="21"/>
          <w:highlight w:val="none"/>
          <w:lang w:val="zh-CN"/>
        </w:rPr>
        <w:t>5</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招标文件的构成</w:t>
      </w:r>
      <w:bookmarkEnd w:id="125"/>
      <w:bookmarkEnd w:id="126"/>
      <w:bookmarkEnd w:id="127"/>
      <w:bookmarkEnd w:id="128"/>
      <w:bookmarkEnd w:id="129"/>
      <w:bookmarkEnd w:id="130"/>
      <w:bookmarkEnd w:id="131"/>
      <w:bookmarkEnd w:id="132"/>
      <w:bookmarkEnd w:id="133"/>
      <w:bookmarkEnd w:id="134"/>
      <w:bookmarkEnd w:id="135"/>
      <w:bookmarkEnd w:id="136"/>
      <w:bookmarkEnd w:id="137"/>
    </w:p>
    <w:p w14:paraId="2B7D7424">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5.1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招标文件包括：</w:t>
      </w:r>
    </w:p>
    <w:p w14:paraId="43B56264">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第一篇 招标公告</w:t>
      </w:r>
    </w:p>
    <w:p w14:paraId="4946F848">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第二篇 投标人须知</w:t>
      </w:r>
    </w:p>
    <w:p w14:paraId="4989DB00">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第三篇 用户需求书</w:t>
      </w:r>
    </w:p>
    <w:p w14:paraId="3D090403">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第四篇 合同条款</w:t>
      </w:r>
    </w:p>
    <w:p w14:paraId="34775927">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第五篇 相关保函格式</w:t>
      </w:r>
    </w:p>
    <w:p w14:paraId="4E49A2DA">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第六篇 投标文件格式</w:t>
      </w:r>
    </w:p>
    <w:p w14:paraId="363DD286">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宋体"/>
          <w:color w:val="auto"/>
          <w:szCs w:val="21"/>
          <w:highlight w:val="none"/>
          <w:lang w:val="zh-CN"/>
        </w:rPr>
        <w:t>附件一：评标工作大纲</w:t>
      </w:r>
    </w:p>
    <w:p w14:paraId="439ECDEE">
      <w:pPr>
        <w:autoSpaceDE w:val="0"/>
        <w:autoSpaceDN w:val="0"/>
        <w:adjustRightInd w:val="0"/>
        <w:spacing w:line="360" w:lineRule="auto"/>
        <w:ind w:left="356" w:leftChars="-99" w:hanging="564" w:hangingChars="269"/>
        <w:rPr>
          <w:rFonts w:hint="eastAsia" w:ascii="宋体" w:hAnsi="宋体" w:eastAsia="宋体" w:cs="宋体"/>
          <w:b/>
          <w:bCs/>
          <w:color w:val="auto"/>
          <w:szCs w:val="21"/>
          <w:highlight w:val="none"/>
          <w:u w:val="single"/>
          <w:lang w:val="zh-CN"/>
        </w:rPr>
      </w:pPr>
      <w:r>
        <w:rPr>
          <w:rFonts w:hint="eastAsia" w:ascii="宋体" w:hAnsi="宋体" w:eastAsia="宋体" w:cs="宋体"/>
          <w:bCs/>
          <w:color w:val="auto"/>
          <w:szCs w:val="21"/>
          <w:highlight w:val="none"/>
          <w:lang w:val="zh-CN"/>
        </w:rPr>
        <w:t>5.2</w:t>
      </w:r>
      <w:r>
        <w:rPr>
          <w:rFonts w:hint="eastAsia" w:ascii="宋体" w:hAnsi="宋体" w:eastAsia="宋体" w:cs="宋体"/>
          <w:b/>
          <w:bCs/>
          <w:color w:val="auto"/>
          <w:szCs w:val="21"/>
          <w:highlight w:val="none"/>
          <w:lang w:val="zh-CN"/>
        </w:rPr>
        <w:tab/>
      </w:r>
      <w:r>
        <w:rPr>
          <w:rFonts w:hint="eastAsia" w:ascii="宋体" w:hAnsi="宋体" w:eastAsia="宋体" w:cs="宋体"/>
          <w:b/>
          <w:bCs/>
          <w:color w:val="auto"/>
          <w:szCs w:val="21"/>
          <w:highlight w:val="none"/>
          <w:u w:val="single"/>
          <w:lang w:val="zh-CN"/>
        </w:rPr>
        <w:t>投标人</w:t>
      </w:r>
      <w:r>
        <w:rPr>
          <w:rFonts w:hint="eastAsia" w:ascii="宋体" w:hAnsi="宋体" w:eastAsia="宋体" w:cs="Times New Roman"/>
          <w:b/>
          <w:bCs/>
          <w:color w:val="auto"/>
          <w:szCs w:val="21"/>
          <w:highlight w:val="none"/>
          <w:u w:val="single"/>
          <w:lang w:val="zh-CN"/>
        </w:rPr>
        <w:t>应审阅招标文件中所有须知、格式、条款和规格。投标人未按招标文件要求提供全部资料或提交的投标文件未对招标文件作出实质性响应（</w:t>
      </w:r>
      <w:r>
        <w:rPr>
          <w:rFonts w:hint="eastAsia" w:ascii="宋体" w:hAnsi="宋体" w:eastAsia="宋体" w:cs="宋体"/>
          <w:b/>
          <w:bCs/>
          <w:color w:val="auto"/>
          <w:szCs w:val="21"/>
          <w:highlight w:val="none"/>
          <w:u w:val="single"/>
          <w:lang w:val="zh-CN"/>
        </w:rPr>
        <w:t>★</w:t>
      </w:r>
      <w:r>
        <w:rPr>
          <w:rFonts w:hint="eastAsia" w:ascii="宋体" w:hAnsi="宋体" w:eastAsia="宋体" w:cs="Times New Roman"/>
          <w:b/>
          <w:bCs/>
          <w:color w:val="auto"/>
          <w:szCs w:val="21"/>
          <w:highlight w:val="none"/>
          <w:u w:val="single"/>
          <w:lang w:val="zh-CN"/>
        </w:rPr>
        <w:t>标志的部分为投标人、投标拟供服务必备的条件或重要指示），那么投标人的投标文件将有可能被拒绝接收或评审为无效投标文件</w:t>
      </w:r>
      <w:r>
        <w:rPr>
          <w:rFonts w:hint="eastAsia" w:ascii="宋体" w:hAnsi="宋体" w:eastAsia="宋体" w:cs="宋体"/>
          <w:b/>
          <w:bCs/>
          <w:color w:val="auto"/>
          <w:szCs w:val="21"/>
          <w:highlight w:val="none"/>
          <w:u w:val="single"/>
          <w:lang w:val="zh-CN"/>
        </w:rPr>
        <w:t>。</w:t>
      </w:r>
    </w:p>
    <w:p w14:paraId="32475C77">
      <w:pPr>
        <w:autoSpaceDE w:val="0"/>
        <w:autoSpaceDN w:val="0"/>
        <w:adjustRightInd w:val="0"/>
        <w:spacing w:line="360" w:lineRule="auto"/>
        <w:ind w:left="356" w:leftChars="-99" w:hanging="564" w:hangingChars="269"/>
        <w:rPr>
          <w:rFonts w:ascii="宋体" w:hAnsi="宋体" w:eastAsia="宋体" w:cs="宋体"/>
          <w:b/>
          <w:bCs/>
          <w:color w:val="auto"/>
          <w:szCs w:val="21"/>
          <w:highlight w:val="none"/>
          <w:u w:val="single"/>
        </w:rPr>
      </w:pPr>
      <w:r>
        <w:rPr>
          <w:rFonts w:hint="eastAsia" w:ascii="宋体" w:hAnsi="宋体" w:eastAsia="宋体" w:cs="宋体"/>
          <w:color w:val="auto"/>
          <w:szCs w:val="21"/>
          <w:highlight w:val="none"/>
          <w:lang w:val="zh-CN"/>
        </w:rPr>
        <w:t>5.3  本招标文件使用的词语有如下定义：</w:t>
      </w:r>
    </w:p>
    <w:p w14:paraId="4B75BC2A">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（1）“招标人”指</w:t>
      </w:r>
      <w:r>
        <w:rPr>
          <w:rFonts w:hint="eastAsia" w:ascii="宋体" w:hAnsi="宋体" w:eastAsia="宋体" w:cs="Times New Roman"/>
          <w:color w:val="auto"/>
          <w:kern w:val="0"/>
          <w:szCs w:val="21"/>
          <w:highlight w:val="none"/>
          <w:lang w:val="en-US" w:eastAsia="zh-CN"/>
        </w:rPr>
        <w:t>东莞市樟村水质净化有限公司</w:t>
      </w:r>
      <w:r>
        <w:rPr>
          <w:rFonts w:hint="eastAsia" w:ascii="宋体" w:hAnsi="宋体" w:eastAsia="宋体" w:cs="Times New Roman"/>
          <w:color w:val="auto"/>
          <w:kern w:val="0"/>
          <w:szCs w:val="21"/>
          <w:highlight w:val="none"/>
        </w:rPr>
        <w:t>；</w:t>
      </w:r>
    </w:p>
    <w:p w14:paraId="0514115C">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2</w:t>
      </w:r>
      <w:r>
        <w:rPr>
          <w:rFonts w:hint="eastAsia" w:ascii="宋体" w:hAnsi="宋体" w:eastAsia="宋体" w:cs="Times New Roman"/>
          <w:color w:val="auto"/>
          <w:kern w:val="0"/>
          <w:szCs w:val="21"/>
          <w:highlight w:val="none"/>
        </w:rPr>
        <w:t>）“招标代理机构”指</w:t>
      </w:r>
      <w:r>
        <w:rPr>
          <w:rFonts w:hint="eastAsia" w:ascii="宋体" w:hAnsi="宋体" w:eastAsia="宋体" w:cs="Times New Roman"/>
          <w:color w:val="auto"/>
          <w:kern w:val="0"/>
          <w:szCs w:val="21"/>
          <w:highlight w:val="none"/>
          <w:lang w:eastAsia="zh-CN"/>
        </w:rPr>
        <w:t>东莞市达盛招标代理有限公司</w:t>
      </w:r>
      <w:r>
        <w:rPr>
          <w:rFonts w:hint="eastAsia" w:ascii="宋体" w:hAnsi="宋体" w:eastAsia="宋体" w:cs="Times New Roman"/>
          <w:color w:val="auto"/>
          <w:kern w:val="0"/>
          <w:szCs w:val="21"/>
          <w:highlight w:val="none"/>
        </w:rPr>
        <w:t>；</w:t>
      </w:r>
    </w:p>
    <w:p w14:paraId="0A316C25">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3</w:t>
      </w:r>
      <w:r>
        <w:rPr>
          <w:rFonts w:hint="eastAsia" w:ascii="宋体" w:hAnsi="宋体" w:eastAsia="宋体" w:cs="Times New Roman"/>
          <w:color w:val="auto"/>
          <w:kern w:val="0"/>
          <w:szCs w:val="21"/>
          <w:highlight w:val="none"/>
        </w:rPr>
        <w:t>）“投标人”指参加</w:t>
      </w:r>
      <w:r>
        <w:rPr>
          <w:rFonts w:hint="eastAsia" w:ascii="宋体" w:hAnsi="宋体" w:eastAsia="宋体" w:cs="Times New Roman"/>
          <w:color w:val="auto"/>
          <w:szCs w:val="21"/>
          <w:highlight w:val="none"/>
          <w:lang w:val="zh-CN"/>
        </w:rPr>
        <w:t>东莞市樟村水质净化厂污泥处理处置服务项目（2025-2026年）</w:t>
      </w:r>
      <w:r>
        <w:rPr>
          <w:rFonts w:hint="eastAsia" w:ascii="宋体" w:hAnsi="宋体" w:eastAsia="宋体" w:cs="Times New Roman"/>
          <w:color w:val="auto"/>
          <w:kern w:val="0"/>
          <w:szCs w:val="21"/>
          <w:highlight w:val="none"/>
        </w:rPr>
        <w:t>所需的</w:t>
      </w:r>
      <w:r>
        <w:rPr>
          <w:rFonts w:hint="eastAsia" w:ascii="宋体" w:hAnsi="宋体" w:eastAsia="宋体" w:cs="Times New Roman"/>
          <w:color w:val="auto"/>
          <w:kern w:val="0"/>
          <w:szCs w:val="21"/>
          <w:highlight w:val="none"/>
          <w:lang w:val="en-US" w:eastAsia="zh-CN"/>
        </w:rPr>
        <w:t>服务</w:t>
      </w:r>
      <w:r>
        <w:rPr>
          <w:rFonts w:hint="eastAsia" w:ascii="宋体" w:hAnsi="宋体" w:eastAsia="宋体" w:cs="Times New Roman"/>
          <w:color w:val="auto"/>
          <w:kern w:val="0"/>
          <w:szCs w:val="21"/>
          <w:highlight w:val="none"/>
        </w:rPr>
        <w:t>的投标，并向招标代理机构提交投标文件的当事人；</w:t>
      </w:r>
    </w:p>
    <w:p w14:paraId="4B5B7C0E">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4</w:t>
      </w:r>
      <w:r>
        <w:rPr>
          <w:rFonts w:hint="eastAsia" w:ascii="宋体" w:hAnsi="宋体" w:eastAsia="宋体" w:cs="Times New Roman"/>
          <w:color w:val="auto"/>
          <w:kern w:val="0"/>
          <w:szCs w:val="21"/>
          <w:highlight w:val="none"/>
        </w:rPr>
        <w:t>）“评标委员会”是依照《中华人民共和国招标投标法》等法规组建的专门负责本次评标工作的临时性机构；</w:t>
      </w:r>
    </w:p>
    <w:p w14:paraId="12EBB135">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5</w:t>
      </w:r>
      <w:r>
        <w:rPr>
          <w:rFonts w:hint="eastAsia" w:ascii="宋体" w:hAnsi="宋体" w:eastAsia="宋体" w:cs="Times New Roman"/>
          <w:color w:val="auto"/>
          <w:kern w:val="0"/>
          <w:szCs w:val="21"/>
          <w:highlight w:val="none"/>
        </w:rPr>
        <w:t>）“中标人”指其投标被招标人接受，并与招标人签订合同的当事人；</w:t>
      </w:r>
    </w:p>
    <w:p w14:paraId="7560ACB3">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6</w:t>
      </w:r>
      <w:r>
        <w:rPr>
          <w:rFonts w:hint="eastAsia" w:ascii="宋体" w:hAnsi="宋体" w:eastAsia="宋体" w:cs="Times New Roman"/>
          <w:color w:val="auto"/>
          <w:kern w:val="0"/>
          <w:szCs w:val="21"/>
          <w:highlight w:val="none"/>
        </w:rPr>
        <w:t>）“甲方”指在合同条款中指明的购买服务的单位，即</w:t>
      </w:r>
      <w:r>
        <w:rPr>
          <w:rFonts w:hint="eastAsia" w:ascii="宋体" w:hAnsi="宋体" w:eastAsia="宋体" w:cs="Times New Roman"/>
          <w:color w:val="auto"/>
          <w:kern w:val="0"/>
          <w:szCs w:val="21"/>
          <w:highlight w:val="none"/>
          <w:lang w:val="en-US" w:eastAsia="zh-CN"/>
        </w:rPr>
        <w:t>东莞市樟村水质净化有限公司</w:t>
      </w:r>
      <w:r>
        <w:rPr>
          <w:rFonts w:hint="eastAsia" w:ascii="宋体" w:hAnsi="宋体" w:eastAsia="宋体" w:cs="Times New Roman"/>
          <w:color w:val="auto"/>
          <w:kern w:val="0"/>
          <w:szCs w:val="21"/>
          <w:highlight w:val="none"/>
        </w:rPr>
        <w:t>；</w:t>
      </w:r>
    </w:p>
    <w:p w14:paraId="4B2BACC5">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7</w:t>
      </w:r>
      <w:r>
        <w:rPr>
          <w:rFonts w:hint="eastAsia" w:ascii="宋体" w:hAnsi="宋体" w:eastAsia="宋体" w:cs="Times New Roman"/>
          <w:color w:val="auto"/>
          <w:kern w:val="0"/>
          <w:szCs w:val="21"/>
          <w:highlight w:val="none"/>
        </w:rPr>
        <w:t>）“乙方”指在合同条款中指明的本合同项下提供服务的公司或实体；</w:t>
      </w:r>
    </w:p>
    <w:p w14:paraId="3947A6A3">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8</w:t>
      </w:r>
      <w:r>
        <w:rPr>
          <w:rFonts w:hint="eastAsia" w:ascii="宋体" w:hAnsi="宋体" w:eastAsia="宋体" w:cs="Times New Roman"/>
          <w:color w:val="auto"/>
          <w:kern w:val="0"/>
          <w:szCs w:val="21"/>
          <w:highlight w:val="none"/>
        </w:rPr>
        <w:t>）“招标文件”指由</w:t>
      </w:r>
      <w:r>
        <w:rPr>
          <w:rFonts w:hint="eastAsia" w:ascii="宋体" w:hAnsi="宋体" w:eastAsia="宋体" w:cs="Times New Roman"/>
          <w:color w:val="auto"/>
          <w:kern w:val="0"/>
          <w:szCs w:val="21"/>
          <w:highlight w:val="none"/>
          <w:lang w:val="en-US" w:eastAsia="zh-CN"/>
        </w:rPr>
        <w:t>招标公告和招标文件及其补充、变更和澄清等一系列文件</w:t>
      </w:r>
      <w:r>
        <w:rPr>
          <w:rFonts w:hint="eastAsia" w:ascii="宋体" w:hAnsi="宋体" w:eastAsia="宋体" w:cs="Times New Roman"/>
          <w:color w:val="auto"/>
          <w:kern w:val="0"/>
          <w:szCs w:val="21"/>
          <w:highlight w:val="none"/>
        </w:rPr>
        <w:t>；</w:t>
      </w:r>
    </w:p>
    <w:p w14:paraId="7A82C445">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9</w:t>
      </w:r>
      <w:r>
        <w:rPr>
          <w:rFonts w:hint="eastAsia" w:ascii="宋体" w:hAnsi="宋体" w:eastAsia="宋体" w:cs="Times New Roman"/>
          <w:color w:val="auto"/>
          <w:kern w:val="0"/>
          <w:szCs w:val="21"/>
          <w:highlight w:val="none"/>
        </w:rPr>
        <w:t>）“投标文件”指投标人根据本招标文件向招标代理机构提交的全部文件；</w:t>
      </w:r>
    </w:p>
    <w:p w14:paraId="78B36C5C">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10</w:t>
      </w:r>
      <w:r>
        <w:rPr>
          <w:rFonts w:hint="eastAsia" w:ascii="宋体" w:hAnsi="宋体" w:eastAsia="宋体" w:cs="Times New Roman"/>
          <w:color w:val="auto"/>
          <w:kern w:val="0"/>
          <w:szCs w:val="21"/>
          <w:highlight w:val="none"/>
        </w:rPr>
        <w:t>）“书面函件”指手写、打字或印刷的函件，包括电传、电报和传真；</w:t>
      </w:r>
    </w:p>
    <w:p w14:paraId="3D7E99FA">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11</w:t>
      </w:r>
      <w:r>
        <w:rPr>
          <w:rFonts w:hint="eastAsia" w:ascii="宋体" w:hAnsi="宋体" w:eastAsia="宋体" w:cs="Times New Roman"/>
          <w:color w:val="auto"/>
          <w:kern w:val="0"/>
          <w:szCs w:val="21"/>
          <w:highlight w:val="none"/>
        </w:rPr>
        <w:t>）“合同”指由本次招标所产生的合同或合约文件；</w:t>
      </w:r>
    </w:p>
    <w:p w14:paraId="5399C461">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12</w:t>
      </w:r>
      <w:r>
        <w:rPr>
          <w:rFonts w:hint="eastAsia" w:ascii="宋体" w:hAnsi="宋体" w:eastAsia="宋体" w:cs="Times New Roman"/>
          <w:color w:val="auto"/>
          <w:kern w:val="0"/>
          <w:szCs w:val="21"/>
          <w:highlight w:val="none"/>
        </w:rPr>
        <w:t>）“日期”指公历日，“时间”指北京时间；</w:t>
      </w:r>
    </w:p>
    <w:p w14:paraId="156A0AD0">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13</w:t>
      </w:r>
      <w:r>
        <w:rPr>
          <w:rFonts w:hint="eastAsia" w:ascii="宋体" w:hAnsi="宋体" w:eastAsia="宋体" w:cs="Times New Roman"/>
          <w:color w:val="auto"/>
          <w:kern w:val="0"/>
          <w:szCs w:val="21"/>
          <w:highlight w:val="none"/>
        </w:rPr>
        <w:t>）本招标文件中的“境内”特指中华人民共和国海关关境以内，“境外”特指中华人民共和国海关关境以外；</w:t>
      </w:r>
    </w:p>
    <w:p w14:paraId="54180D91">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14</w:t>
      </w:r>
      <w:r>
        <w:rPr>
          <w:rFonts w:hint="eastAsia" w:ascii="宋体" w:hAnsi="宋体" w:eastAsia="宋体" w:cs="Times New Roman"/>
          <w:color w:val="auto"/>
          <w:kern w:val="0"/>
          <w:szCs w:val="21"/>
          <w:highlight w:val="none"/>
        </w:rPr>
        <w:t>）不含税价，即为《中华人民共和国增值税暂行条例》（国务院令第6</w:t>
      </w:r>
      <w:r>
        <w:rPr>
          <w:rFonts w:ascii="宋体" w:hAnsi="宋体" w:eastAsia="宋体" w:cs="Times New Roman"/>
          <w:color w:val="auto"/>
          <w:kern w:val="0"/>
          <w:szCs w:val="21"/>
          <w:highlight w:val="none"/>
        </w:rPr>
        <w:t>91</w:t>
      </w:r>
      <w:r>
        <w:rPr>
          <w:rFonts w:hint="eastAsia" w:ascii="宋体" w:hAnsi="宋体" w:eastAsia="宋体" w:cs="Times New Roman"/>
          <w:color w:val="auto"/>
          <w:kern w:val="0"/>
          <w:szCs w:val="21"/>
          <w:highlight w:val="none"/>
        </w:rPr>
        <w:t>号修订版）规定的销售额。本招标文件所称的不含税价和</w:t>
      </w:r>
      <w:r>
        <w:rPr>
          <w:rFonts w:hint="eastAsia" w:ascii="宋体" w:hAnsi="宋体" w:eastAsia="宋体" w:cs="Times New Roman"/>
          <w:color w:val="auto"/>
          <w:kern w:val="0"/>
          <w:szCs w:val="21"/>
          <w:highlight w:val="none"/>
          <w:lang w:eastAsia="zh-CN"/>
        </w:rPr>
        <w:t>暂定合同总价</w:t>
      </w:r>
      <w:r>
        <w:rPr>
          <w:rFonts w:hint="eastAsia" w:ascii="宋体" w:hAnsi="宋体" w:eastAsia="宋体" w:cs="Times New Roman"/>
          <w:color w:val="auto"/>
          <w:kern w:val="0"/>
          <w:szCs w:val="21"/>
          <w:highlight w:val="none"/>
        </w:rPr>
        <w:t>是指不含本采购项目投标人的销项税额，包含了投标人完成合同义务（含投标人代缴代扣、分包及委外服务、施工、采购货物等所产生的价税）的其他全部费用。本采购项目投标人的销项税额由招标人承担，不计入投标报价。</w:t>
      </w:r>
    </w:p>
    <w:p w14:paraId="175AB4FE">
      <w:pPr>
        <w:autoSpaceDE w:val="0"/>
        <w:autoSpaceDN w:val="0"/>
        <w:adjustRightInd w:val="0"/>
        <w:spacing w:line="360" w:lineRule="auto"/>
        <w:ind w:left="951" w:leftChars="78" w:hanging="787" w:hangingChars="375"/>
        <w:rPr>
          <w:rFonts w:ascii="宋体" w:hAnsi="宋体" w:eastAsia="宋体" w:cs="宋体"/>
          <w:color w:val="auto"/>
          <w:szCs w:val="21"/>
          <w:highlight w:val="none"/>
          <w:lang w:val="zh-CN"/>
        </w:rPr>
      </w:pPr>
    </w:p>
    <w:p w14:paraId="02729514">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38" w:name="_Toc29125_WPSOffice_Level3"/>
      <w:bookmarkStart w:id="139" w:name="_Toc14668"/>
      <w:bookmarkStart w:id="140" w:name="_Toc9178"/>
      <w:bookmarkStart w:id="141" w:name="_Toc11346"/>
      <w:bookmarkStart w:id="142" w:name="_Toc450662855"/>
      <w:bookmarkStart w:id="143" w:name="_Toc1433"/>
      <w:bookmarkStart w:id="144" w:name="_Toc142508319"/>
      <w:bookmarkStart w:id="145" w:name="_Toc3727"/>
      <w:bookmarkStart w:id="146" w:name="_Toc1727"/>
      <w:bookmarkStart w:id="147" w:name="_Toc19076"/>
      <w:bookmarkStart w:id="148" w:name="_Toc3132"/>
      <w:bookmarkStart w:id="149" w:name="_Toc486167669"/>
      <w:bookmarkStart w:id="150" w:name="_Toc12349"/>
      <w:r>
        <w:rPr>
          <w:rFonts w:hint="eastAsia" w:ascii="宋体" w:hAnsi="宋体" w:eastAsia="宋体" w:cs="宋体"/>
          <w:color w:val="auto"/>
          <w:szCs w:val="21"/>
          <w:highlight w:val="none"/>
          <w:lang w:val="zh-CN"/>
        </w:rPr>
        <w:t>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招标文件的异议</w:t>
      </w:r>
      <w:bookmarkEnd w:id="138"/>
      <w:bookmarkEnd w:id="139"/>
      <w:bookmarkEnd w:id="140"/>
      <w:bookmarkEnd w:id="141"/>
      <w:bookmarkEnd w:id="142"/>
      <w:bookmarkEnd w:id="143"/>
      <w:bookmarkEnd w:id="144"/>
      <w:bookmarkEnd w:id="145"/>
      <w:bookmarkEnd w:id="146"/>
      <w:bookmarkEnd w:id="147"/>
      <w:bookmarkEnd w:id="148"/>
      <w:bookmarkEnd w:id="149"/>
      <w:bookmarkEnd w:id="150"/>
    </w:p>
    <w:p w14:paraId="7EF864F6">
      <w:pPr>
        <w:autoSpaceDE w:val="0"/>
        <w:autoSpaceDN w:val="0"/>
        <w:adjustRightInd w:val="0"/>
        <w:spacing w:line="360" w:lineRule="auto"/>
        <w:ind w:left="288" w:leftChars="137" w:firstLine="420" w:firstLineChars="200"/>
        <w:rPr>
          <w:rFonts w:ascii="宋体" w:hAnsi="宋体" w:eastAsia="宋体" w:cs="宋体"/>
          <w:bCs/>
          <w:color w:val="auto"/>
          <w:szCs w:val="21"/>
          <w:highlight w:val="none"/>
          <w:lang w:val="zh-CN"/>
        </w:rPr>
      </w:pPr>
      <w:r>
        <w:rPr>
          <w:rFonts w:hint="eastAsia" w:ascii="宋体" w:hAnsi="宋体" w:eastAsia="宋体" w:cs="Times New Roman"/>
          <w:bCs/>
          <w:color w:val="auto"/>
          <w:szCs w:val="21"/>
          <w:highlight w:val="none"/>
          <w:lang w:val="zh-CN"/>
        </w:rPr>
        <w:t>投标人或者其他利害关系人对招标文件有异议的，应当在投标截止时间10日前</w:t>
      </w:r>
      <w:r>
        <w:rPr>
          <w:rFonts w:ascii="宋体" w:hAnsi="宋体" w:eastAsia="宋体" w:cs="Times New Roman"/>
          <w:color w:val="auto"/>
          <w:szCs w:val="21"/>
          <w:highlight w:val="none"/>
          <w:lang w:val="zh-CN"/>
        </w:rPr>
        <w:t>以书面形式向</w:t>
      </w:r>
      <w:r>
        <w:rPr>
          <w:rFonts w:hint="eastAsia" w:ascii="宋体" w:hAnsi="宋体" w:eastAsia="宋体" w:cs="Times New Roman"/>
          <w:color w:val="auto"/>
          <w:szCs w:val="21"/>
          <w:highlight w:val="none"/>
          <w:lang w:val="zh-CN"/>
        </w:rPr>
        <w:t>招标代理机构</w:t>
      </w:r>
      <w:r>
        <w:rPr>
          <w:rFonts w:ascii="宋体" w:hAnsi="宋体" w:eastAsia="宋体" w:cs="Times New Roman"/>
          <w:color w:val="auto"/>
          <w:szCs w:val="21"/>
          <w:highlight w:val="none"/>
          <w:lang w:val="zh-CN"/>
        </w:rPr>
        <w:t>提出</w:t>
      </w: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t>并</w:t>
      </w:r>
      <w:r>
        <w:rPr>
          <w:rFonts w:hint="eastAsia" w:ascii="宋体" w:hAnsi="宋体" w:eastAsia="宋体" w:cs="Times New Roman"/>
          <w:color w:val="auto"/>
          <w:szCs w:val="21"/>
          <w:highlight w:val="none"/>
          <w:lang w:val="zh-CN"/>
        </w:rPr>
        <w:t>将材料原件</w:t>
      </w:r>
      <w:r>
        <w:rPr>
          <w:rFonts w:ascii="宋体" w:hAnsi="宋体" w:eastAsia="宋体" w:cs="Times New Roman"/>
          <w:color w:val="auto"/>
          <w:szCs w:val="21"/>
          <w:highlight w:val="none"/>
          <w:lang w:val="zh-CN"/>
        </w:rPr>
        <w:t>送</w:t>
      </w:r>
      <w:r>
        <w:rPr>
          <w:rFonts w:hint="eastAsia" w:ascii="宋体" w:hAnsi="宋体" w:eastAsia="宋体" w:cs="Times New Roman"/>
          <w:color w:val="auto"/>
          <w:szCs w:val="21"/>
          <w:highlight w:val="none"/>
          <w:lang w:val="zh-CN"/>
        </w:rPr>
        <w:t>达招标代理机构</w:t>
      </w:r>
      <w:r>
        <w:rPr>
          <w:rFonts w:ascii="宋体" w:hAnsi="宋体" w:eastAsia="宋体" w:cs="Times New Roman"/>
          <w:color w:val="auto"/>
          <w:szCs w:val="21"/>
          <w:highlight w:val="none"/>
          <w:lang w:val="zh-CN"/>
        </w:rPr>
        <w:t>，逾期则视为</w:t>
      </w:r>
      <w:r>
        <w:rPr>
          <w:rFonts w:hint="eastAsia" w:ascii="宋体" w:hAnsi="宋体" w:eastAsia="宋体" w:cs="Times New Roman"/>
          <w:color w:val="auto"/>
          <w:szCs w:val="21"/>
          <w:highlight w:val="none"/>
          <w:lang w:val="zh-CN"/>
        </w:rPr>
        <w:t>对</w:t>
      </w:r>
      <w:r>
        <w:rPr>
          <w:rFonts w:ascii="宋体" w:hAnsi="宋体" w:eastAsia="宋体" w:cs="Times New Roman"/>
          <w:color w:val="auto"/>
          <w:szCs w:val="21"/>
          <w:highlight w:val="none"/>
          <w:lang w:val="zh-CN"/>
        </w:rPr>
        <w:t>招标文件所有内容</w:t>
      </w:r>
      <w:r>
        <w:rPr>
          <w:rFonts w:hint="eastAsia" w:ascii="宋体" w:hAnsi="宋体" w:eastAsia="宋体" w:cs="Times New Roman"/>
          <w:color w:val="auto"/>
          <w:szCs w:val="21"/>
          <w:highlight w:val="none"/>
          <w:lang w:val="zh-CN"/>
        </w:rPr>
        <w:t>无异议</w:t>
      </w:r>
      <w:r>
        <w:rPr>
          <w:rFonts w:ascii="宋体" w:hAnsi="宋体" w:eastAsia="宋体" w:cs="Times New Roman"/>
          <w:color w:val="auto"/>
          <w:szCs w:val="21"/>
          <w:highlight w:val="none"/>
          <w:lang w:val="zh-CN"/>
        </w:rPr>
        <w:t>。</w:t>
      </w:r>
      <w:r>
        <w:rPr>
          <w:rFonts w:hint="eastAsia" w:ascii="宋体" w:hAnsi="宋体" w:eastAsia="宋体" w:cs="Times New Roman"/>
          <w:bCs/>
          <w:color w:val="auto"/>
          <w:szCs w:val="21"/>
          <w:highlight w:val="none"/>
          <w:lang w:val="zh-CN"/>
        </w:rPr>
        <w:t>异议</w:t>
      </w:r>
      <w:r>
        <w:rPr>
          <w:rFonts w:hint="eastAsia" w:ascii="宋体" w:hAnsi="宋体" w:eastAsia="宋体" w:cs="Times New Roman"/>
          <w:color w:val="auto"/>
          <w:szCs w:val="21"/>
          <w:highlight w:val="none"/>
          <w:lang w:val="zh-CN"/>
        </w:rPr>
        <w:t>书面材料必须</w:t>
      </w:r>
      <w:r>
        <w:rPr>
          <w:rFonts w:ascii="宋体" w:hAnsi="宋体" w:eastAsia="宋体" w:cs="Times New Roman"/>
          <w:color w:val="auto"/>
          <w:szCs w:val="21"/>
          <w:highlight w:val="none"/>
          <w:lang w:val="zh-CN"/>
        </w:rPr>
        <w:t>加盖投标人</w:t>
      </w:r>
      <w:r>
        <w:rPr>
          <w:rFonts w:hint="eastAsia" w:ascii="宋体" w:hAnsi="宋体" w:eastAsia="宋体" w:cs="Times New Roman"/>
          <w:color w:val="auto"/>
          <w:szCs w:val="21"/>
          <w:highlight w:val="none"/>
          <w:lang w:val="zh-CN"/>
        </w:rPr>
        <w:t>法人</w:t>
      </w:r>
      <w:r>
        <w:rPr>
          <w:rFonts w:ascii="宋体" w:hAnsi="宋体" w:eastAsia="宋体" w:cs="Times New Roman"/>
          <w:color w:val="auto"/>
          <w:szCs w:val="21"/>
          <w:highlight w:val="none"/>
          <w:lang w:val="zh-CN"/>
        </w:rPr>
        <w:t>公章</w:t>
      </w:r>
      <w:r>
        <w:rPr>
          <w:rFonts w:hint="eastAsia" w:ascii="宋体" w:hAnsi="宋体" w:eastAsia="宋体" w:cs="Times New Roman"/>
          <w:color w:val="auto"/>
          <w:szCs w:val="21"/>
          <w:highlight w:val="none"/>
          <w:lang w:val="zh-CN"/>
        </w:rPr>
        <w:t>，并注明联系人、联系电话、联系地址。</w:t>
      </w:r>
      <w:r>
        <w:rPr>
          <w:rFonts w:hint="eastAsia" w:ascii="宋体" w:hAnsi="宋体" w:eastAsia="宋体" w:cs="Times New Roman"/>
          <w:bCs/>
          <w:color w:val="auto"/>
          <w:szCs w:val="21"/>
          <w:highlight w:val="none"/>
          <w:lang w:val="zh-CN"/>
        </w:rPr>
        <w:t>超出</w:t>
      </w:r>
      <w:r>
        <w:rPr>
          <w:rFonts w:hint="eastAsia" w:ascii="宋体" w:hAnsi="宋体" w:eastAsia="宋体" w:cs="Times New Roman"/>
          <w:color w:val="auto"/>
          <w:szCs w:val="21"/>
          <w:highlight w:val="none"/>
          <w:lang w:val="zh-CN"/>
        </w:rPr>
        <w:t>提交接收异议截止时间而</w:t>
      </w:r>
      <w:r>
        <w:rPr>
          <w:rFonts w:hint="eastAsia" w:ascii="宋体" w:hAnsi="宋体" w:eastAsia="宋体" w:cs="Times New Roman"/>
          <w:bCs/>
          <w:color w:val="auto"/>
          <w:szCs w:val="21"/>
          <w:highlight w:val="none"/>
          <w:lang w:val="zh-CN"/>
        </w:rPr>
        <w:t>提出的任何疑问，招标代理机构可不予答复。</w:t>
      </w:r>
      <w:r>
        <w:rPr>
          <w:rFonts w:hint="eastAsia" w:ascii="宋体" w:hAnsi="宋体" w:eastAsia="宋体" w:cs="Times New Roman"/>
          <w:b/>
          <w:bCs/>
          <w:color w:val="auto"/>
          <w:szCs w:val="21"/>
          <w:highlight w:val="none"/>
          <w:u w:val="single"/>
          <w:lang w:val="zh-CN"/>
        </w:rPr>
        <w:t>投标人必须在投标文件中提供投标承诺书（格式详见第六篇投标文件格式）</w:t>
      </w:r>
      <w:r>
        <w:rPr>
          <w:rFonts w:hint="eastAsia" w:ascii="宋体" w:hAnsi="宋体" w:eastAsia="宋体" w:cs="宋体"/>
          <w:b/>
          <w:bCs/>
          <w:color w:val="auto"/>
          <w:szCs w:val="21"/>
          <w:highlight w:val="none"/>
          <w:lang w:val="zh-CN"/>
        </w:rPr>
        <w:t>。</w:t>
      </w:r>
    </w:p>
    <w:p w14:paraId="0351908B">
      <w:pPr>
        <w:autoSpaceDE w:val="0"/>
        <w:autoSpaceDN w:val="0"/>
        <w:adjustRightInd w:val="0"/>
        <w:spacing w:line="360" w:lineRule="auto"/>
        <w:ind w:left="290" w:leftChars="137" w:hanging="2" w:hangingChars="1"/>
        <w:rPr>
          <w:rFonts w:ascii="宋体" w:hAnsi="宋体" w:eastAsia="宋体" w:cs="宋体"/>
          <w:b/>
          <w:bCs/>
          <w:color w:val="auto"/>
          <w:szCs w:val="21"/>
          <w:highlight w:val="none"/>
          <w:lang w:val="zh-CN"/>
        </w:rPr>
      </w:pPr>
    </w:p>
    <w:p w14:paraId="114DB55B">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51" w:name="_Toc19224"/>
      <w:bookmarkStart w:id="152" w:name="_Toc17145"/>
      <w:bookmarkStart w:id="153" w:name="_Toc22280"/>
      <w:bookmarkStart w:id="154" w:name="_Toc486167670"/>
      <w:bookmarkStart w:id="155" w:name="_Toc28957"/>
      <w:bookmarkStart w:id="156" w:name="_Toc450662856"/>
      <w:bookmarkStart w:id="157" w:name="_Toc1475"/>
      <w:bookmarkStart w:id="158" w:name="_Toc142508320"/>
      <w:bookmarkStart w:id="159" w:name="_Toc23483_WPSOffice_Level3"/>
      <w:bookmarkStart w:id="160" w:name="_Toc39"/>
      <w:bookmarkStart w:id="161" w:name="_Toc29864"/>
      <w:bookmarkStart w:id="162" w:name="_Toc25696"/>
      <w:bookmarkStart w:id="163" w:name="_Toc13330"/>
      <w:r>
        <w:rPr>
          <w:rFonts w:hint="eastAsia" w:ascii="宋体" w:hAnsi="宋体" w:eastAsia="宋体" w:cs="宋体"/>
          <w:color w:val="auto"/>
          <w:szCs w:val="21"/>
          <w:highlight w:val="none"/>
          <w:lang w:val="zh-CN"/>
        </w:rPr>
        <w:t>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招标文件的澄清及修改</w:t>
      </w:r>
      <w:bookmarkEnd w:id="151"/>
      <w:bookmarkEnd w:id="152"/>
      <w:bookmarkEnd w:id="153"/>
      <w:bookmarkEnd w:id="154"/>
      <w:bookmarkEnd w:id="155"/>
      <w:bookmarkEnd w:id="156"/>
      <w:bookmarkEnd w:id="157"/>
      <w:bookmarkEnd w:id="158"/>
      <w:bookmarkEnd w:id="159"/>
      <w:bookmarkEnd w:id="160"/>
      <w:bookmarkEnd w:id="161"/>
      <w:bookmarkEnd w:id="162"/>
      <w:bookmarkEnd w:id="163"/>
    </w:p>
    <w:p w14:paraId="4ACB313F">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7.1  招标代理机构对已发出的招标文件进行必要澄清或者修改的，将在招标文件要求提交投标文件截止时间1</w:t>
      </w:r>
      <w:r>
        <w:rPr>
          <w:rFonts w:ascii="宋体" w:hAnsi="宋体" w:eastAsia="宋体" w:cs="宋体"/>
          <w:color w:val="auto"/>
          <w:szCs w:val="21"/>
          <w:highlight w:val="none"/>
          <w:lang w:val="zh-CN"/>
        </w:rPr>
        <w:t>5</w:t>
      </w:r>
      <w:r>
        <w:rPr>
          <w:rFonts w:hint="eastAsia" w:ascii="宋体" w:hAnsi="宋体" w:eastAsia="宋体" w:cs="宋体"/>
          <w:color w:val="auto"/>
          <w:szCs w:val="21"/>
          <w:highlight w:val="none"/>
          <w:lang w:val="zh-CN"/>
        </w:rPr>
        <w:t>日前，在招标信息发布媒介上发布更正公告，请各投标人密切留意。该澄清或者修改的内容为招标文件的组成部分。</w:t>
      </w:r>
    </w:p>
    <w:p w14:paraId="7C6D60D8">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项目特定情况下，招标代理机构必须延长投标截止时间和开标时间时，将在招标文件要求提交投标文件的截止时间前，在招标信息发布媒介上发布变更公告。</w:t>
      </w:r>
    </w:p>
    <w:p w14:paraId="39609A79">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7.3  招标文件的修改、补充通知在</w:t>
      </w:r>
      <w:r>
        <w:rPr>
          <w:rFonts w:hint="eastAsia" w:ascii="宋体" w:hAnsi="宋体" w:eastAsia="宋体" w:cs="Times New Roman"/>
          <w:bCs/>
          <w:color w:val="auto"/>
          <w:szCs w:val="21"/>
          <w:highlight w:val="none"/>
          <w:lang w:eastAsia="zh-CN"/>
        </w:rPr>
        <w:t>广东省公共资源交易平台（ygp.gdzwfw.gov.cn）、</w:t>
      </w:r>
      <w:r>
        <w:rPr>
          <w:rFonts w:ascii="宋体" w:hAnsi="宋体" w:eastAsia="宋体" w:cs="Times New Roman"/>
          <w:color w:val="auto"/>
          <w:szCs w:val="21"/>
          <w:highlight w:val="none"/>
          <w:lang w:val="zh-CN"/>
        </w:rPr>
        <w:t>中国招标投标公共服务平台</w:t>
      </w:r>
      <w:r>
        <w:rPr>
          <w:rFonts w:ascii="宋体" w:hAnsi="宋体" w:eastAsia="宋体" w:cs="Times New Roman"/>
          <w:color w:val="auto"/>
          <w:szCs w:val="21"/>
          <w:highlight w:val="none"/>
        </w:rPr>
        <w:t>（</w:t>
      </w:r>
      <w:r>
        <w:rPr>
          <w:color w:val="auto"/>
          <w:highlight w:val="none"/>
        </w:rPr>
        <w:fldChar w:fldCharType="begin"/>
      </w:r>
      <w:r>
        <w:rPr>
          <w:color w:val="auto"/>
          <w:highlight w:val="none"/>
        </w:rPr>
        <w:instrText xml:space="preserve"> HYPERLINK "http://www.cebpubservice.com）、广东省招标投标监管" </w:instrText>
      </w:r>
      <w:r>
        <w:rPr>
          <w:color w:val="auto"/>
          <w:highlight w:val="none"/>
        </w:rPr>
        <w:fldChar w:fldCharType="separate"/>
      </w:r>
      <w:r>
        <w:rPr>
          <w:rFonts w:ascii="宋体" w:hAnsi="宋体" w:eastAsia="宋体" w:cs="Times New Roman"/>
          <w:color w:val="auto"/>
          <w:szCs w:val="21"/>
          <w:highlight w:val="none"/>
        </w:rPr>
        <w:t>www.cebpubservice.com）</w:t>
      </w:r>
      <w:r>
        <w:rPr>
          <w:rFonts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fldChar w:fldCharType="end"/>
      </w:r>
      <w:r>
        <w:rPr>
          <w:rFonts w:ascii="宋体" w:hAnsi="宋体" w:eastAsia="宋体" w:cs="Times New Roman"/>
          <w:color w:val="auto"/>
          <w:szCs w:val="21"/>
          <w:highlight w:val="none"/>
          <w:lang w:val="zh-CN"/>
        </w:rPr>
        <w:t>东莞市水务集团有限公司网</w:t>
      </w:r>
      <w:r>
        <w:rPr>
          <w:rFonts w:ascii="宋体" w:hAnsi="宋体" w:eastAsia="宋体" w:cs="Times New Roman"/>
          <w:color w:val="auto"/>
          <w:szCs w:val="21"/>
          <w:highlight w:val="none"/>
        </w:rPr>
        <w:t>（</w:t>
      </w:r>
      <w:r>
        <w:rPr>
          <w:color w:val="auto"/>
          <w:highlight w:val="none"/>
        </w:rPr>
        <w:fldChar w:fldCharType="begin"/>
      </w:r>
      <w:r>
        <w:rPr>
          <w:color w:val="auto"/>
          <w:highlight w:val="none"/>
        </w:rPr>
        <w:instrText xml:space="preserve"> HYPERLINK "www.dgswjt.cn）、招标代理公司网站（http://%20%20%20%20%20%20%20%20%20%20%20%20%20%20）" </w:instrText>
      </w:r>
      <w:r>
        <w:rPr>
          <w:color w:val="auto"/>
          <w:highlight w:val="none"/>
        </w:rPr>
        <w:fldChar w:fldCharType="separate"/>
      </w:r>
      <w:r>
        <w:rPr>
          <w:rStyle w:val="43"/>
          <w:rFonts w:ascii="宋体" w:hAnsi="宋体" w:eastAsia="宋体" w:cs="Times New Roman"/>
          <w:color w:val="auto"/>
          <w:sz w:val="21"/>
          <w:szCs w:val="21"/>
          <w:highlight w:val="none"/>
        </w:rPr>
        <w:t>www.dgswjt.cn）</w:t>
      </w:r>
      <w:r>
        <w:rPr>
          <w:rStyle w:val="43"/>
          <w:rFonts w:ascii="宋体" w:hAnsi="宋体" w:eastAsia="宋体" w:cs="Times New Roman"/>
          <w:color w:val="auto"/>
          <w:sz w:val="21"/>
          <w:szCs w:val="21"/>
          <w:highlight w:val="none"/>
          <w:lang w:val="zh-CN"/>
        </w:rPr>
        <w:t>、</w:t>
      </w:r>
      <w:r>
        <w:rPr>
          <w:rStyle w:val="43"/>
          <w:rFonts w:hint="eastAsia" w:ascii="宋体" w:hAnsi="宋体" w:eastAsia="宋体" w:cs="Times New Roman"/>
          <w:bCs/>
          <w:color w:val="auto"/>
          <w:kern w:val="0"/>
          <w:sz w:val="21"/>
          <w:szCs w:val="21"/>
          <w:highlight w:val="none"/>
        </w:rPr>
        <w:t>招标代理</w:t>
      </w:r>
      <w:r>
        <w:rPr>
          <w:rStyle w:val="43"/>
          <w:rFonts w:hint="eastAsia" w:ascii="宋体" w:hAnsi="宋体" w:eastAsia="宋体" w:cs="Times New Roman"/>
          <w:bCs/>
          <w:color w:val="auto"/>
          <w:kern w:val="0"/>
          <w:sz w:val="21"/>
          <w:szCs w:val="21"/>
          <w:highlight w:val="none"/>
          <w:lang w:val="en-US" w:eastAsia="zh-CN"/>
        </w:rPr>
        <w:t>机构</w:t>
      </w:r>
      <w:r>
        <w:rPr>
          <w:rStyle w:val="43"/>
          <w:rFonts w:hint="eastAsia" w:ascii="宋体" w:hAnsi="宋体" w:eastAsia="宋体" w:cs="Times New Roman"/>
          <w:bCs/>
          <w:color w:val="auto"/>
          <w:kern w:val="0"/>
          <w:sz w:val="21"/>
          <w:szCs w:val="21"/>
          <w:highlight w:val="none"/>
        </w:rPr>
        <w:t>网站（</w:t>
      </w:r>
      <w:r>
        <w:rPr>
          <w:rStyle w:val="43"/>
          <w:rFonts w:hint="eastAsia" w:ascii="宋体" w:hAnsi="宋体" w:eastAsia="宋体" w:cs="Times New Roman"/>
          <w:bCs/>
          <w:color w:val="auto"/>
          <w:kern w:val="0"/>
          <w:sz w:val="21"/>
          <w:szCs w:val="21"/>
          <w:highlight w:val="none"/>
          <w:u w:val="none"/>
        </w:rPr>
        <w:t>www.dashengtd.com</w:t>
      </w:r>
      <w:r>
        <w:rPr>
          <w:rStyle w:val="43"/>
          <w:rFonts w:ascii="宋体" w:hAnsi="宋体" w:eastAsia="宋体" w:cs="Times New Roman"/>
          <w:bCs/>
          <w:color w:val="auto"/>
          <w:kern w:val="0"/>
          <w:sz w:val="21"/>
          <w:szCs w:val="21"/>
          <w:highlight w:val="none"/>
        </w:rPr>
        <w:t>）</w:t>
      </w:r>
      <w:r>
        <w:rPr>
          <w:rStyle w:val="43"/>
          <w:rFonts w:ascii="宋体" w:hAnsi="宋体" w:eastAsia="宋体" w:cs="Times New Roman"/>
          <w:bCs/>
          <w:color w:val="auto"/>
          <w:kern w:val="0"/>
          <w:sz w:val="21"/>
          <w:szCs w:val="21"/>
          <w:highlight w:val="none"/>
        </w:rPr>
        <w:fldChar w:fldCharType="end"/>
      </w:r>
      <w:r>
        <w:rPr>
          <w:rFonts w:hint="eastAsia" w:ascii="宋体" w:hAnsi="宋体" w:eastAsia="宋体" w:cs="宋体"/>
          <w:color w:val="auto"/>
          <w:szCs w:val="21"/>
          <w:highlight w:val="none"/>
          <w:lang w:val="zh-CN"/>
        </w:rPr>
        <w:t>公布，请各投标人密切留意。</w:t>
      </w:r>
    </w:p>
    <w:p w14:paraId="1F085689">
      <w:pPr>
        <w:autoSpaceDE w:val="0"/>
        <w:autoSpaceDN w:val="0"/>
        <w:adjustRightInd w:val="0"/>
        <w:spacing w:line="360" w:lineRule="auto"/>
        <w:ind w:left="357" w:leftChars="-100" w:hanging="567"/>
        <w:rPr>
          <w:rFonts w:ascii="宋体" w:hAnsi="宋体" w:eastAsia="宋体" w:cs="宋体"/>
          <w:color w:val="auto"/>
          <w:szCs w:val="21"/>
          <w:highlight w:val="none"/>
        </w:rPr>
      </w:pPr>
    </w:p>
    <w:p w14:paraId="2D677F0E">
      <w:pPr>
        <w:keepNext/>
        <w:keepLines/>
        <w:tabs>
          <w:tab w:val="left" w:pos="509"/>
        </w:tab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164" w:name="_Toc3797"/>
      <w:bookmarkStart w:id="165" w:name="_Toc23342"/>
      <w:bookmarkStart w:id="166" w:name="_Toc29855"/>
      <w:bookmarkStart w:id="167" w:name="_Toc486167671"/>
      <w:bookmarkStart w:id="168" w:name="_Toc8711"/>
      <w:bookmarkStart w:id="169" w:name="_Toc142508321"/>
      <w:bookmarkStart w:id="170" w:name="_Toc14358"/>
      <w:bookmarkStart w:id="171" w:name="_Toc27196"/>
      <w:bookmarkStart w:id="172" w:name="_Toc140596880"/>
      <w:bookmarkStart w:id="173" w:name="_Toc20428"/>
      <w:bookmarkStart w:id="174" w:name="_Toc30710"/>
      <w:bookmarkStart w:id="175" w:name="_Toc23595"/>
      <w:bookmarkStart w:id="176" w:name="_Toc29659_WPSOffice_Level2"/>
      <w:bookmarkStart w:id="177" w:name="_Toc450662857"/>
      <w:r>
        <w:rPr>
          <w:rFonts w:hint="eastAsia" w:ascii="宋体" w:hAnsi="宋体" w:eastAsia="宋体" w:cs="宋体"/>
          <w:b/>
          <w:bCs/>
          <w:color w:val="auto"/>
          <w:kern w:val="44"/>
          <w:szCs w:val="21"/>
          <w:highlight w:val="none"/>
          <w:lang w:val="zh-CN"/>
        </w:rPr>
        <w:t>三、投标文件的编制</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14:paraId="565276EE">
      <w:pPr>
        <w:tabs>
          <w:tab w:val="left" w:pos="67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78" w:name="_Toc18125"/>
      <w:bookmarkStart w:id="179" w:name="_Toc6244"/>
      <w:bookmarkStart w:id="180" w:name="_Toc28349"/>
      <w:bookmarkStart w:id="181" w:name="_Toc450662858"/>
      <w:bookmarkStart w:id="182" w:name="_Toc24567"/>
      <w:bookmarkStart w:id="183" w:name="_Toc31162"/>
      <w:bookmarkStart w:id="184" w:name="_Toc566"/>
      <w:bookmarkStart w:id="185" w:name="_Toc9102"/>
      <w:bookmarkStart w:id="186" w:name="_Toc10015_WPSOffice_Level3"/>
      <w:bookmarkStart w:id="187" w:name="_Toc486167672"/>
      <w:bookmarkStart w:id="188" w:name="_Toc29768"/>
      <w:bookmarkStart w:id="189" w:name="_Toc3827"/>
      <w:bookmarkStart w:id="190" w:name="_Toc142508322"/>
      <w:r>
        <w:rPr>
          <w:rFonts w:hint="eastAsia" w:ascii="宋体" w:hAnsi="宋体" w:eastAsia="宋体" w:cs="宋体"/>
          <w:color w:val="auto"/>
          <w:szCs w:val="21"/>
          <w:highlight w:val="none"/>
          <w:lang w:val="zh-CN"/>
        </w:rPr>
        <w:t>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投标使用的文字及度量衡单位</w:t>
      </w:r>
      <w:bookmarkEnd w:id="178"/>
      <w:bookmarkEnd w:id="179"/>
      <w:bookmarkEnd w:id="180"/>
      <w:bookmarkEnd w:id="181"/>
      <w:bookmarkEnd w:id="182"/>
      <w:bookmarkEnd w:id="183"/>
      <w:bookmarkEnd w:id="184"/>
      <w:bookmarkEnd w:id="185"/>
      <w:bookmarkEnd w:id="186"/>
      <w:bookmarkEnd w:id="187"/>
      <w:bookmarkEnd w:id="188"/>
      <w:bookmarkEnd w:id="189"/>
      <w:bookmarkEnd w:id="190"/>
    </w:p>
    <w:p w14:paraId="358EE81E">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8.1  投标人的投标文件以及投标人与招标代理机构就有关投标的所有往来函电均应使用简体中文。</w:t>
      </w:r>
    </w:p>
    <w:p w14:paraId="65B2633B">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8.2  投标文件使用的度量衡单位采用中华人民共和国法定计量单位。</w:t>
      </w:r>
    </w:p>
    <w:p w14:paraId="526EBF6A">
      <w:pPr>
        <w:autoSpaceDE w:val="0"/>
        <w:autoSpaceDN w:val="0"/>
        <w:adjustRightInd w:val="0"/>
        <w:spacing w:line="360" w:lineRule="auto"/>
        <w:rPr>
          <w:rFonts w:ascii="宋体" w:hAnsi="宋体" w:eastAsia="宋体" w:cs="宋体"/>
          <w:color w:val="auto"/>
          <w:szCs w:val="21"/>
          <w:highlight w:val="none"/>
          <w:lang w:val="zh-CN"/>
        </w:rPr>
      </w:pPr>
    </w:p>
    <w:p w14:paraId="7C534AA9">
      <w:pPr>
        <w:tabs>
          <w:tab w:val="left" w:pos="540"/>
        </w:tabs>
        <w:autoSpaceDE w:val="0"/>
        <w:autoSpaceDN w:val="0"/>
        <w:adjustRightInd w:val="0"/>
        <w:spacing w:line="360" w:lineRule="auto"/>
        <w:ind w:left="357" w:leftChars="-100" w:hanging="567"/>
        <w:jc w:val="left"/>
        <w:outlineLvl w:val="2"/>
        <w:rPr>
          <w:rFonts w:ascii="宋体" w:hAnsi="宋体" w:eastAsia="宋体" w:cs="宋体"/>
          <w:color w:val="auto"/>
          <w:sz w:val="24"/>
          <w:szCs w:val="24"/>
          <w:highlight w:val="none"/>
          <w:lang w:val="zh-CN"/>
        </w:rPr>
      </w:pPr>
      <w:bookmarkStart w:id="191" w:name="_Toc7348"/>
      <w:bookmarkStart w:id="192" w:name="_Toc24916_WPSOffice_Level3"/>
      <w:bookmarkStart w:id="193" w:name="_Toc12082"/>
      <w:bookmarkStart w:id="194" w:name="_Toc3566"/>
      <w:bookmarkStart w:id="195" w:name="_Toc142508323"/>
      <w:bookmarkStart w:id="196" w:name="_Toc15936"/>
      <w:bookmarkStart w:id="197" w:name="_Toc450662859"/>
      <w:bookmarkStart w:id="198" w:name="_Toc14943"/>
      <w:bookmarkStart w:id="199" w:name="_Toc28229"/>
      <w:bookmarkStart w:id="200" w:name="_Toc10540"/>
      <w:bookmarkStart w:id="201" w:name="_Toc7793"/>
      <w:bookmarkStart w:id="202" w:name="_Toc486167673"/>
      <w:bookmarkStart w:id="203" w:name="_Toc26462"/>
      <w:r>
        <w:rPr>
          <w:rFonts w:hint="eastAsia" w:ascii="宋体" w:hAnsi="宋体" w:eastAsia="宋体" w:cs="宋体"/>
          <w:color w:val="auto"/>
          <w:szCs w:val="21"/>
          <w:highlight w:val="none"/>
          <w:lang w:val="zh-CN"/>
        </w:rPr>
        <w:t>9</w:t>
      </w:r>
      <w:r>
        <w:rPr>
          <w:rFonts w:ascii="宋体" w:hAnsi="宋体" w:eastAsia="宋体" w:cs="宋体"/>
          <w:color w:val="auto"/>
          <w:sz w:val="24"/>
          <w:szCs w:val="24"/>
          <w:highlight w:val="none"/>
          <w:lang w:val="zh-CN"/>
        </w:rPr>
        <w:t xml:space="preserve"> </w:t>
      </w:r>
      <w:r>
        <w:rPr>
          <w:rFonts w:hint="eastAsia" w:ascii="宋体" w:hAnsi="宋体" w:eastAsia="宋体" w:cs="宋体"/>
          <w:color w:val="auto"/>
          <w:szCs w:val="21"/>
          <w:highlight w:val="none"/>
          <w:lang w:val="zh-CN"/>
        </w:rPr>
        <w:t>投标文件的组成</w:t>
      </w:r>
      <w:bookmarkEnd w:id="191"/>
      <w:bookmarkEnd w:id="192"/>
      <w:bookmarkEnd w:id="193"/>
      <w:bookmarkEnd w:id="194"/>
      <w:bookmarkEnd w:id="195"/>
      <w:bookmarkEnd w:id="196"/>
      <w:bookmarkEnd w:id="197"/>
      <w:bookmarkEnd w:id="198"/>
      <w:bookmarkEnd w:id="199"/>
      <w:bookmarkEnd w:id="200"/>
      <w:bookmarkEnd w:id="201"/>
      <w:bookmarkEnd w:id="202"/>
      <w:bookmarkEnd w:id="203"/>
    </w:p>
    <w:p w14:paraId="7568743D">
      <w:pPr>
        <w:autoSpaceDE w:val="0"/>
        <w:autoSpaceDN w:val="0"/>
        <w:adjustRightInd w:val="0"/>
        <w:spacing w:line="360" w:lineRule="auto"/>
        <w:ind w:left="422" w:leftChars="-100" w:hanging="632" w:hangingChars="300"/>
        <w:rPr>
          <w:rFonts w:ascii="宋体" w:hAnsi="宋体" w:eastAsia="宋体" w:cs="Times New Roman"/>
          <w:b/>
          <w:color w:val="auto"/>
          <w:kern w:val="0"/>
          <w:szCs w:val="21"/>
          <w:highlight w:val="none"/>
        </w:rPr>
      </w:pPr>
      <w:r>
        <w:rPr>
          <w:rFonts w:hint="eastAsia" w:ascii="宋体" w:hAnsi="宋体" w:eastAsia="宋体" w:cs="宋体"/>
          <w:b/>
          <w:color w:val="auto"/>
          <w:kern w:val="0"/>
          <w:szCs w:val="24"/>
          <w:highlight w:val="none"/>
        </w:rPr>
        <w:t xml:space="preserve">9.1  </w:t>
      </w:r>
      <w:r>
        <w:rPr>
          <w:rFonts w:hint="eastAsia" w:ascii="宋体" w:hAnsi="宋体" w:eastAsia="宋体" w:cs="宋体"/>
          <w:color w:val="auto"/>
          <w:kern w:val="0"/>
          <w:szCs w:val="24"/>
          <w:highlight w:val="none"/>
        </w:rPr>
        <w:t>投标文件的组成：</w:t>
      </w:r>
      <w:r>
        <w:rPr>
          <w:rFonts w:hint="eastAsia" w:ascii="宋体" w:hAnsi="宋体" w:eastAsia="宋体" w:cs="Times New Roman"/>
          <w:b/>
          <w:color w:val="auto"/>
          <w:kern w:val="0"/>
          <w:szCs w:val="21"/>
          <w:highlight w:val="none"/>
          <w:u w:val="single"/>
        </w:rPr>
        <w:t>商务文件、技术文件由投标人根据各自文件的实际情况决定是否分册装订，招标文件不做限制</w:t>
      </w:r>
      <w:r>
        <w:rPr>
          <w:rFonts w:hint="eastAsia" w:ascii="宋体" w:hAnsi="宋体" w:eastAsia="宋体" w:cs="Times New Roman"/>
          <w:b/>
          <w:color w:val="auto"/>
          <w:kern w:val="0"/>
          <w:szCs w:val="21"/>
          <w:highlight w:val="none"/>
        </w:rPr>
        <w:t>。</w:t>
      </w:r>
    </w:p>
    <w:p w14:paraId="4FE640EF">
      <w:pPr>
        <w:autoSpaceDE w:val="0"/>
        <w:autoSpaceDN w:val="0"/>
        <w:adjustRightInd w:val="0"/>
        <w:spacing w:line="360" w:lineRule="auto"/>
        <w:ind w:left="422" w:leftChars="-100" w:hanging="632" w:hangingChars="300"/>
        <w:rPr>
          <w:rFonts w:ascii="宋体" w:hAnsi="宋体" w:eastAsia="宋体" w:cs="Times New Roman"/>
          <w:b/>
          <w:color w:val="auto"/>
          <w:kern w:val="0"/>
          <w:szCs w:val="21"/>
          <w:highlight w:val="none"/>
        </w:rPr>
      </w:pPr>
      <w:r>
        <w:rPr>
          <w:rFonts w:hint="eastAsia" w:ascii="宋体" w:hAnsi="宋体" w:eastAsia="宋体" w:cs="宋体"/>
          <w:b/>
          <w:color w:val="auto"/>
          <w:kern w:val="0"/>
          <w:szCs w:val="24"/>
          <w:highlight w:val="none"/>
        </w:rPr>
        <w:t>9.1.1 商务文件：</w:t>
      </w:r>
    </w:p>
    <w:p w14:paraId="393FA1D6">
      <w:pPr>
        <w:autoSpaceDE w:val="0"/>
        <w:autoSpaceDN w:val="0"/>
        <w:adjustRightInd w:val="0"/>
        <w:spacing w:line="360" w:lineRule="auto"/>
        <w:jc w:val="left"/>
        <w:rPr>
          <w:rFonts w:ascii="宋体" w:hAnsi="宋体" w:eastAsia="宋体" w:cs="Times New Roman"/>
          <w:b/>
          <w:color w:val="auto"/>
          <w:kern w:val="0"/>
          <w:szCs w:val="21"/>
          <w:highlight w:val="none"/>
          <w:lang w:val="zh-CN"/>
        </w:rPr>
      </w:pPr>
      <w:r>
        <w:rPr>
          <w:rFonts w:hint="eastAsia" w:ascii="宋体" w:hAnsi="宋体" w:eastAsia="宋体" w:cs="Times New Roman"/>
          <w:color w:val="auto"/>
          <w:kern w:val="0"/>
          <w:sz w:val="24"/>
          <w:szCs w:val="24"/>
          <w:highlight w:val="none"/>
          <w:lang w:val="zh-CN"/>
        </w:rPr>
        <w:t xml:space="preserve">  </w:t>
      </w:r>
      <w:r>
        <w:rPr>
          <w:rFonts w:ascii="宋体" w:hAnsi="宋体" w:eastAsia="宋体" w:cs="Times New Roman"/>
          <w:color w:val="auto"/>
          <w:kern w:val="0"/>
          <w:sz w:val="24"/>
          <w:szCs w:val="24"/>
          <w:highlight w:val="none"/>
          <w:lang w:val="zh-CN"/>
        </w:rPr>
        <w:t xml:space="preserve"> </w:t>
      </w:r>
      <w:r>
        <w:rPr>
          <w:rFonts w:hint="eastAsia" w:ascii="宋体" w:hAnsi="宋体" w:eastAsia="宋体" w:cs="Times New Roman"/>
          <w:b/>
          <w:color w:val="auto"/>
          <w:kern w:val="0"/>
          <w:szCs w:val="21"/>
          <w:highlight w:val="none"/>
          <w:lang w:val="zh-CN"/>
        </w:rPr>
        <w:t>目录：</w:t>
      </w:r>
    </w:p>
    <w:p w14:paraId="59250393">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（1）投标函；</w:t>
      </w:r>
    </w:p>
    <w:p w14:paraId="49DF40BC">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（2）投标承诺书；</w:t>
      </w:r>
    </w:p>
    <w:p w14:paraId="3545AF2E">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ascii="宋体" w:hAnsi="宋体" w:eastAsia="宋体" w:cs="宋体"/>
          <w:color w:val="auto"/>
          <w:szCs w:val="21"/>
          <w:highlight w:val="none"/>
          <w:lang w:val="zh-CN"/>
        </w:rPr>
        <w:t>3</w:t>
      </w:r>
      <w:r>
        <w:rPr>
          <w:rFonts w:hint="eastAsia" w:ascii="宋体" w:hAnsi="宋体" w:eastAsia="宋体" w:cs="宋体"/>
          <w:color w:val="auto"/>
          <w:szCs w:val="21"/>
          <w:highlight w:val="none"/>
          <w:lang w:val="zh-CN"/>
        </w:rPr>
        <w:t>）供货及/或提供服务过程承诺函；</w:t>
      </w:r>
    </w:p>
    <w:p w14:paraId="292DCE08">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zh-CN"/>
        </w:rPr>
        <w:t>）投标报价表；</w:t>
      </w:r>
    </w:p>
    <w:p w14:paraId="0F455313">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rPr>
        <w:t>）投标人资格证明文件：</w:t>
      </w:r>
    </w:p>
    <w:p w14:paraId="16FE7C89">
      <w:pPr>
        <w:autoSpaceDE w:val="0"/>
        <w:autoSpaceDN w:val="0"/>
        <w:adjustRightInd w:val="0"/>
        <w:spacing w:line="360" w:lineRule="auto"/>
        <w:ind w:left="283" w:hanging="283" w:hangingChars="135"/>
        <w:rPr>
          <w:rFonts w:ascii="宋体" w:hAnsi="宋体" w:eastAsia="宋体" w:cs="Times New Roman"/>
          <w:color w:val="auto"/>
          <w:szCs w:val="21"/>
          <w:highlight w:val="none"/>
          <w:lang w:val="zh-CN"/>
        </w:rPr>
      </w:pPr>
      <w:r>
        <w:rPr>
          <w:rFonts w:ascii="宋体" w:hAnsi="宋体" w:eastAsia="宋体" w:cs="Times New Roman"/>
          <w:color w:val="auto"/>
          <w:szCs w:val="21"/>
          <w:highlight w:val="none"/>
          <w:lang w:val="zh-CN"/>
        </w:rPr>
        <w:t>1）多证合一营业执照</w:t>
      </w:r>
      <w:r>
        <w:rPr>
          <w:rFonts w:hint="eastAsia" w:ascii="宋体" w:hAnsi="宋体" w:eastAsia="宋体" w:cs="Times New Roman"/>
          <w:color w:val="auto"/>
          <w:kern w:val="0"/>
          <w:szCs w:val="21"/>
          <w:highlight w:val="none"/>
        </w:rPr>
        <w:t>（或事业单位法人证书）</w:t>
      </w:r>
      <w:r>
        <w:rPr>
          <w:rFonts w:ascii="宋体" w:hAnsi="宋体" w:eastAsia="宋体" w:cs="Times New Roman"/>
          <w:color w:val="auto"/>
          <w:szCs w:val="21"/>
          <w:highlight w:val="none"/>
          <w:lang w:val="zh-CN"/>
        </w:rPr>
        <w:t>复印件；</w:t>
      </w:r>
    </w:p>
    <w:p w14:paraId="0220D7B6">
      <w:pPr>
        <w:autoSpaceDE w:val="0"/>
        <w:autoSpaceDN w:val="0"/>
        <w:adjustRightInd w:val="0"/>
        <w:spacing w:line="360" w:lineRule="auto"/>
        <w:ind w:left="283" w:hanging="283" w:hangingChars="135"/>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t>开户许可证复印件（基本存款账户）</w:t>
      </w:r>
      <w:r>
        <w:rPr>
          <w:rFonts w:hint="eastAsia" w:ascii="宋体" w:hAnsi="宋体" w:eastAsia="宋体" w:cs="Times New Roman"/>
          <w:color w:val="auto"/>
          <w:szCs w:val="21"/>
          <w:highlight w:val="none"/>
          <w:lang w:val="zh-CN"/>
        </w:rPr>
        <w:t>，如投标人企业银行账户开户所在地区已取消企业银行账户许可，投标人应提供基本存款账户开户名称、开户银行、账号、编号等信息及相关备案证明（如有）或其他能证明其为基本存款账户的资料复印件</w:t>
      </w:r>
      <w:r>
        <w:rPr>
          <w:rFonts w:ascii="宋体" w:hAnsi="宋体" w:eastAsia="宋体" w:cs="Times New Roman"/>
          <w:color w:val="auto"/>
          <w:szCs w:val="21"/>
          <w:highlight w:val="none"/>
          <w:lang w:val="zh-CN"/>
        </w:rPr>
        <w:t>；</w:t>
      </w:r>
    </w:p>
    <w:p w14:paraId="79147DB5">
      <w:pPr>
        <w:autoSpaceDE w:val="0"/>
        <w:autoSpaceDN w:val="0"/>
        <w:adjustRightInd w:val="0"/>
        <w:spacing w:line="360" w:lineRule="auto"/>
        <w:ind w:left="283" w:hanging="283" w:hangingChars="135"/>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rPr>
        <w:t>3</w:t>
      </w:r>
      <w:r>
        <w:rPr>
          <w:rFonts w:ascii="宋体" w:hAnsi="宋体" w:eastAsia="宋体" w:cs="Times New Roman"/>
          <w:color w:val="auto"/>
          <w:szCs w:val="21"/>
          <w:highlight w:val="none"/>
          <w:lang w:val="zh-CN"/>
        </w:rPr>
        <w:t>）法定代表人身份证明书和法定代表人授权书原件（法定代表人投标时只提供法定代表人身份证明书，委托</w:t>
      </w:r>
      <w:r>
        <w:rPr>
          <w:rFonts w:ascii="宋体" w:hAnsi="宋体" w:eastAsia="宋体" w:cs="Times New Roman"/>
          <w:color w:val="auto"/>
          <w:szCs w:val="21"/>
          <w:highlight w:val="none"/>
        </w:rPr>
        <w:t>他人</w:t>
      </w:r>
      <w:r>
        <w:rPr>
          <w:rFonts w:ascii="宋体" w:hAnsi="宋体" w:eastAsia="宋体" w:cs="Times New Roman"/>
          <w:color w:val="auto"/>
          <w:szCs w:val="21"/>
          <w:highlight w:val="none"/>
          <w:lang w:val="zh-CN"/>
        </w:rPr>
        <w:t>为投标代表时同时提供法定代表人授权书）；</w:t>
      </w:r>
    </w:p>
    <w:p w14:paraId="352724D7">
      <w:pPr>
        <w:tabs>
          <w:tab w:val="left" w:pos="1276"/>
        </w:tabs>
        <w:spacing w:line="360" w:lineRule="auto"/>
        <w:ind w:left="283" w:hanging="283" w:hangingChars="135"/>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zh-CN"/>
        </w:rPr>
        <w:t>4</w:t>
      </w:r>
      <w:r>
        <w:rPr>
          <w:rFonts w:hint="eastAsia" w:ascii="宋体" w:hAnsi="宋体" w:eastAsia="宋体" w:cs="宋体"/>
          <w:color w:val="auto"/>
          <w:szCs w:val="21"/>
          <w:highlight w:val="none"/>
        </w:rPr>
        <w:t>）资格业绩【</w:t>
      </w:r>
      <w:r>
        <w:rPr>
          <w:rFonts w:hint="eastAsia" w:ascii="宋体" w:hAnsi="宋体" w:eastAsia="宋体" w:cs="宋体"/>
          <w:b w:val="0"/>
          <w:bCs w:val="0"/>
          <w:color w:val="auto"/>
          <w:sz w:val="21"/>
          <w:szCs w:val="21"/>
          <w:highlight w:val="none"/>
          <w:lang w:val="zh-CN"/>
        </w:rPr>
        <w:t>投标</w:t>
      </w:r>
      <w:r>
        <w:rPr>
          <w:rFonts w:hint="eastAsia" w:ascii="宋体" w:hAnsi="宋体" w:eastAsia="宋体" w:cs="宋体"/>
          <w:b w:val="0"/>
          <w:bCs w:val="0"/>
          <w:color w:val="auto"/>
          <w:sz w:val="21"/>
          <w:szCs w:val="21"/>
          <w:highlight w:val="none"/>
          <w:lang w:val="en-US" w:eastAsia="zh-CN"/>
        </w:rPr>
        <w:t>人</w:t>
      </w:r>
      <w:r>
        <w:rPr>
          <w:rFonts w:hint="eastAsia" w:ascii="宋体" w:hAnsi="宋体" w:eastAsia="宋体" w:cs="宋体"/>
          <w:b w:val="0"/>
          <w:bCs w:val="0"/>
          <w:color w:val="auto"/>
          <w:sz w:val="21"/>
          <w:szCs w:val="21"/>
          <w:highlight w:val="none"/>
          <w:lang w:val="zh-CN"/>
        </w:rPr>
        <w:t>具有一份已完成或正在执行运营服务的水质净化厂或生活污水处理厂</w:t>
      </w:r>
      <w:r>
        <w:rPr>
          <w:rFonts w:hint="eastAsia" w:ascii="宋体" w:hAnsi="宋体" w:eastAsia="宋体" w:cs="宋体"/>
          <w:b w:val="0"/>
          <w:bCs w:val="0"/>
          <w:color w:val="auto"/>
          <w:sz w:val="21"/>
          <w:szCs w:val="21"/>
          <w:highlight w:val="none"/>
          <w:lang w:val="zh-CN" w:eastAsia="zh-CN"/>
        </w:rPr>
        <w:t>污泥处理处置服务业绩（合同服务结束日期为2022年1月1日或以后）</w:t>
      </w:r>
      <w:r>
        <w:rPr>
          <w:rFonts w:hint="eastAsia" w:ascii="宋体" w:hAnsi="宋体" w:eastAsia="宋体" w:cs="宋体"/>
          <w:color w:val="auto"/>
          <w:szCs w:val="21"/>
          <w:highlight w:val="none"/>
        </w:rPr>
        <w:t>，资格业绩证明材料提交要求详见招标文件第六篇投标文件格式</w:t>
      </w:r>
      <w:r>
        <w:rPr>
          <w:rFonts w:hint="eastAsia" w:ascii="宋体" w:hAnsi="宋体" w:eastAsia="宋体" w:cs="宋体"/>
          <w:color w:val="auto"/>
          <w:szCs w:val="21"/>
          <w:highlight w:val="none"/>
          <w:u w:val="single"/>
          <w:lang w:val="en-US" w:eastAsia="zh-CN"/>
        </w:rPr>
        <w:t>5</w:t>
      </w:r>
      <w:r>
        <w:rPr>
          <w:rFonts w:hint="eastAsia" w:ascii="宋体" w:hAnsi="宋体" w:eastAsia="宋体" w:cs="宋体"/>
          <w:color w:val="auto"/>
          <w:szCs w:val="21"/>
          <w:highlight w:val="none"/>
          <w:u w:val="single"/>
        </w:rPr>
        <w:t>.4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w:t>
      </w:r>
    </w:p>
    <w:p w14:paraId="3BD4E48B">
      <w:pPr>
        <w:autoSpaceDE w:val="0"/>
        <w:autoSpaceDN w:val="0"/>
        <w:adjustRightInd w:val="0"/>
        <w:spacing w:line="360" w:lineRule="auto"/>
        <w:ind w:left="913" w:hanging="913" w:hangingChars="435"/>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rPr>
        <w:t>最近3年投标人牵涉的其他（失信和违法）</w:t>
      </w:r>
      <w:r>
        <w:rPr>
          <w:rFonts w:hint="eastAsia" w:ascii="宋体" w:hAnsi="宋体" w:eastAsia="宋体" w:cs="宋体"/>
          <w:color w:val="auto"/>
          <w:kern w:val="0"/>
          <w:szCs w:val="21"/>
          <w:highlight w:val="none"/>
        </w:rPr>
        <w:t>处罚说明</w:t>
      </w:r>
      <w:r>
        <w:rPr>
          <w:rFonts w:hint="eastAsia" w:ascii="宋体" w:hAnsi="宋体" w:eastAsia="宋体" w:cs="宋体"/>
          <w:color w:val="auto"/>
          <w:szCs w:val="21"/>
          <w:highlight w:val="none"/>
          <w:lang w:val="zh-CN"/>
        </w:rPr>
        <w:t>；</w:t>
      </w:r>
    </w:p>
    <w:p w14:paraId="6B5C6801">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val="zh-CN"/>
        </w:rPr>
        <w:t>）投标人基本情况一览表；</w:t>
      </w:r>
    </w:p>
    <w:p w14:paraId="01D058D3">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lang w:val="zh-CN"/>
        </w:rPr>
        <w:t>）投标人财务状况表；</w:t>
      </w:r>
    </w:p>
    <w:p w14:paraId="78428964">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）合同条款响应程度（合同条款偏离表）；</w:t>
      </w:r>
    </w:p>
    <w:p w14:paraId="656C0751">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lang w:val="zh-CN"/>
        </w:rPr>
        <w:t>）业绩表；</w:t>
      </w:r>
    </w:p>
    <w:p w14:paraId="5D918BB3">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lang w:val="zh-CN"/>
        </w:rPr>
        <w:t>）投标保证金汇入情况说明；</w:t>
      </w:r>
    </w:p>
    <w:p w14:paraId="49EE0E7B">
      <w:pPr>
        <w:tabs>
          <w:tab w:val="left" w:pos="567"/>
        </w:tabs>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11</w:t>
      </w:r>
      <w:r>
        <w:rPr>
          <w:rFonts w:hint="eastAsia" w:ascii="宋体" w:hAnsi="宋体" w:eastAsia="宋体" w:cs="宋体"/>
          <w:color w:val="auto"/>
          <w:szCs w:val="21"/>
          <w:highlight w:val="none"/>
          <w:lang w:val="zh-CN"/>
        </w:rPr>
        <w:t>）投标人资格证明文件以外的其他资质证书、知识产权证书及获得的相关获奖、认证证书、社会评价资料证明文件复印件等投标人认为有需要证明其具备为本次招标项目提供服务能力的有关其它商务文件（不做强制要求）。</w:t>
      </w:r>
    </w:p>
    <w:p w14:paraId="4ED2D237">
      <w:pPr>
        <w:autoSpaceDE w:val="0"/>
        <w:autoSpaceDN w:val="0"/>
        <w:adjustRightInd w:val="0"/>
        <w:spacing w:line="360" w:lineRule="auto"/>
        <w:ind w:left="422" w:leftChars="-100" w:hanging="632" w:hangingChars="300"/>
        <w:rPr>
          <w:rFonts w:ascii="宋体" w:hAnsi="宋体" w:eastAsia="宋体" w:cs="宋体"/>
          <w:b/>
          <w:color w:val="auto"/>
          <w:kern w:val="0"/>
          <w:szCs w:val="24"/>
          <w:highlight w:val="none"/>
        </w:rPr>
      </w:pPr>
      <w:r>
        <w:rPr>
          <w:rFonts w:hint="eastAsia" w:ascii="宋体" w:hAnsi="宋体" w:eastAsia="宋体" w:cs="宋体"/>
          <w:b/>
          <w:color w:val="auto"/>
          <w:kern w:val="0"/>
          <w:szCs w:val="24"/>
          <w:highlight w:val="none"/>
        </w:rPr>
        <w:t>9.1.2 技术文件：</w:t>
      </w:r>
    </w:p>
    <w:p w14:paraId="6200BDB1">
      <w:pPr>
        <w:autoSpaceDE w:val="0"/>
        <w:autoSpaceDN w:val="0"/>
        <w:adjustRightInd w:val="0"/>
        <w:spacing w:line="360" w:lineRule="auto"/>
        <w:ind w:right="-23" w:rightChars="-11"/>
        <w:jc w:val="left"/>
        <w:rPr>
          <w:rFonts w:ascii="宋体" w:hAnsi="宋体" w:eastAsia="宋体" w:cs="Times New Roman"/>
          <w:b/>
          <w:bCs/>
          <w:color w:val="auto"/>
          <w:kern w:val="0"/>
          <w:szCs w:val="21"/>
          <w:highlight w:val="none"/>
          <w:lang w:val="zh-CN"/>
        </w:rPr>
      </w:pPr>
      <w:r>
        <w:rPr>
          <w:rFonts w:hint="eastAsia" w:ascii="宋体" w:hAnsi="宋体" w:eastAsia="宋体" w:cs="Times New Roman"/>
          <w:b/>
          <w:bCs/>
          <w:color w:val="auto"/>
          <w:kern w:val="0"/>
          <w:szCs w:val="21"/>
          <w:highlight w:val="none"/>
          <w:lang w:val="zh-CN"/>
        </w:rPr>
        <w:t xml:space="preserve"> </w:t>
      </w:r>
      <w:r>
        <w:rPr>
          <w:rFonts w:ascii="宋体" w:hAnsi="宋体" w:eastAsia="宋体" w:cs="Times New Roman"/>
          <w:b/>
          <w:bCs/>
          <w:color w:val="auto"/>
          <w:kern w:val="0"/>
          <w:szCs w:val="21"/>
          <w:highlight w:val="none"/>
          <w:lang w:val="zh-CN"/>
        </w:rPr>
        <w:t xml:space="preserve">   </w:t>
      </w:r>
      <w:r>
        <w:rPr>
          <w:rFonts w:hint="eastAsia" w:ascii="宋体" w:hAnsi="宋体" w:eastAsia="宋体" w:cs="Times New Roman"/>
          <w:b/>
          <w:bCs/>
          <w:color w:val="auto"/>
          <w:kern w:val="0"/>
          <w:szCs w:val="21"/>
          <w:highlight w:val="none"/>
          <w:lang w:val="zh-CN"/>
        </w:rPr>
        <w:t>目录：</w:t>
      </w:r>
    </w:p>
    <w:p w14:paraId="15B4D95F">
      <w:pPr>
        <w:spacing w:line="360" w:lineRule="auto"/>
        <w:ind w:left="105" w:leftChars="-100" w:hanging="315" w:hanging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（1）用户需求响应程度（即用户需求偏离表格式）；</w:t>
      </w:r>
    </w:p>
    <w:p w14:paraId="4467B0A7">
      <w:pPr>
        <w:spacing w:line="360" w:lineRule="auto"/>
        <w:ind w:left="315" w:leftChars="-100" w:hanging="525" w:hangingChars="250"/>
        <w:rPr>
          <w:rFonts w:hint="eastAsia" w:ascii="宋体" w:hAnsi="宋体" w:eastAsia="宋体" w:cs="Times New Roman"/>
          <w:color w:val="auto"/>
          <w:kern w:val="0"/>
          <w:szCs w:val="21"/>
          <w:highlight w:val="none"/>
          <w:lang w:val="zh-CN"/>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项目服务总方案</w:t>
      </w:r>
      <w:r>
        <w:rPr>
          <w:rFonts w:hint="eastAsia" w:ascii="宋体" w:hAnsi="宋体" w:eastAsia="宋体" w:cs="Times New Roman"/>
          <w:color w:val="auto"/>
          <w:kern w:val="0"/>
          <w:szCs w:val="21"/>
          <w:highlight w:val="none"/>
          <w:lang w:val="zh-CN"/>
        </w:rPr>
        <w:t>；</w:t>
      </w:r>
    </w:p>
    <w:p w14:paraId="5D12F684">
      <w:pPr>
        <w:widowControl/>
        <w:spacing w:line="360" w:lineRule="auto"/>
        <w:ind w:left="315" w:leftChars="-100" w:hanging="525" w:hangingChars="25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eastAsia="zh-CN"/>
        </w:rPr>
        <w:t>）项目衔接方案；</w:t>
      </w:r>
    </w:p>
    <w:p w14:paraId="5C4EC560">
      <w:pPr>
        <w:widowControl/>
        <w:spacing w:line="360" w:lineRule="auto"/>
        <w:ind w:left="315" w:leftChars="-100" w:hanging="525" w:hangingChars="25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w:t>
      </w:r>
      <w:r>
        <w:rPr>
          <w:rFonts w:hint="eastAsia" w:ascii="宋体" w:hAnsi="宋体" w:eastAsia="宋体" w:cs="宋体"/>
          <w:color w:val="auto"/>
          <w:kern w:val="0"/>
          <w:sz w:val="20"/>
          <w:szCs w:val="20"/>
          <w:highlight w:val="none"/>
          <w:lang w:val="en-US" w:eastAsia="zh-CN" w:bidi="ar"/>
        </w:rPr>
        <w:t>污泥减量化（脱水至含水率</w:t>
      </w:r>
      <w:r>
        <w:rPr>
          <w:rFonts w:hint="default" w:ascii="宋体" w:hAnsi="宋体" w:eastAsia="宋体" w:cs="宋体"/>
          <w:color w:val="auto"/>
          <w:kern w:val="0"/>
          <w:szCs w:val="21"/>
          <w:highlight w:val="none"/>
          <w:lang w:val="en-US" w:eastAsia="zh-CN"/>
        </w:rPr>
        <w:t>≤</w:t>
      </w:r>
      <w:r>
        <w:rPr>
          <w:rFonts w:hint="default" w:ascii="Times New Roman" w:hAnsi="Times New Roman" w:eastAsia="宋体" w:cs="Times New Roman"/>
          <w:color w:val="auto"/>
          <w:kern w:val="0"/>
          <w:sz w:val="20"/>
          <w:szCs w:val="20"/>
          <w:highlight w:val="none"/>
          <w:lang w:val="en-US" w:eastAsia="zh-CN" w:bidi="ar"/>
        </w:rPr>
        <w:t>50%</w:t>
      </w:r>
      <w:r>
        <w:rPr>
          <w:rFonts w:hint="eastAsia" w:ascii="宋体" w:hAnsi="宋体" w:eastAsia="宋体" w:cs="宋体"/>
          <w:color w:val="auto"/>
          <w:kern w:val="0"/>
          <w:sz w:val="20"/>
          <w:szCs w:val="20"/>
          <w:highlight w:val="none"/>
          <w:lang w:val="en-US" w:eastAsia="zh-CN" w:bidi="ar"/>
        </w:rPr>
        <w:t>）方案；</w:t>
      </w:r>
    </w:p>
    <w:p w14:paraId="181EF497">
      <w:pPr>
        <w:spacing w:line="360" w:lineRule="auto"/>
        <w:ind w:left="315" w:leftChars="-100" w:hanging="525" w:hangingChars="25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泥块外运及最终处置方案</w:t>
      </w:r>
      <w:r>
        <w:rPr>
          <w:rFonts w:hint="eastAsia" w:ascii="宋体" w:hAnsi="宋体" w:eastAsia="宋体" w:cs="宋体"/>
          <w:color w:val="auto"/>
          <w:kern w:val="0"/>
          <w:szCs w:val="21"/>
          <w:highlight w:val="none"/>
          <w:lang w:eastAsia="zh-CN"/>
        </w:rPr>
        <w:t>；</w:t>
      </w:r>
    </w:p>
    <w:p w14:paraId="61829F7C">
      <w:pPr>
        <w:spacing w:line="360" w:lineRule="auto"/>
        <w:ind w:left="105" w:leftChars="-100" w:hanging="315" w:hangingChars="1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）投标人认为有必要提供的其它材料（不做强制要求）。</w:t>
      </w:r>
    </w:p>
    <w:p w14:paraId="047E9616">
      <w:pPr>
        <w:autoSpaceDE w:val="0"/>
        <w:autoSpaceDN w:val="0"/>
        <w:adjustRightInd w:val="0"/>
        <w:spacing w:line="360" w:lineRule="auto"/>
        <w:ind w:left="422" w:leftChars="-100" w:hanging="632" w:hangingChars="300"/>
        <w:rPr>
          <w:rFonts w:ascii="宋体" w:hAnsi="宋体" w:eastAsia="宋体" w:cs="宋体"/>
          <w:color w:val="auto"/>
          <w:kern w:val="0"/>
          <w:szCs w:val="21"/>
          <w:highlight w:val="none"/>
          <w:lang w:val="zh-CN"/>
        </w:rPr>
      </w:pPr>
      <w:r>
        <w:rPr>
          <w:rFonts w:hint="eastAsia" w:ascii="宋体" w:hAnsi="宋体" w:eastAsia="宋体" w:cs="宋体"/>
          <w:b/>
          <w:color w:val="auto"/>
          <w:kern w:val="0"/>
          <w:szCs w:val="21"/>
          <w:highlight w:val="none"/>
        </w:rPr>
        <w:t>9.1.3</w:t>
      </w:r>
      <w:r>
        <w:rPr>
          <w:rFonts w:hint="eastAsia" w:ascii="宋体" w:hAnsi="宋体" w:eastAsia="宋体" w:cs="宋体"/>
          <w:b/>
          <w:color w:val="auto"/>
          <w:kern w:val="0"/>
          <w:szCs w:val="21"/>
          <w:highlight w:val="none"/>
          <w:lang w:val="en-US" w:eastAsia="zh-CN"/>
        </w:rPr>
        <w:t xml:space="preserve"> </w:t>
      </w:r>
      <w:r>
        <w:rPr>
          <w:rFonts w:hint="eastAsia" w:ascii="宋体" w:hAnsi="宋体" w:eastAsia="宋体" w:cs="宋体"/>
          <w:b/>
          <w:bCs/>
          <w:color w:val="auto"/>
          <w:kern w:val="0"/>
          <w:szCs w:val="21"/>
          <w:highlight w:val="none"/>
          <w:lang w:val="zh-CN"/>
        </w:rPr>
        <w:t>投标文件电子文件</w:t>
      </w:r>
      <w:r>
        <w:rPr>
          <w:rFonts w:hint="eastAsia" w:ascii="宋体" w:hAnsi="宋体" w:eastAsia="宋体" w:cs="宋体"/>
          <w:color w:val="auto"/>
          <w:kern w:val="0"/>
          <w:szCs w:val="21"/>
          <w:highlight w:val="none"/>
          <w:lang w:val="zh-CN"/>
        </w:rPr>
        <w:t>（详细要求见本篇第17.</w:t>
      </w:r>
      <w:r>
        <w:rPr>
          <w:rFonts w:ascii="宋体" w:hAnsi="宋体" w:eastAsia="宋体" w:cs="宋体"/>
          <w:color w:val="auto"/>
          <w:kern w:val="0"/>
          <w:szCs w:val="21"/>
          <w:highlight w:val="none"/>
          <w:lang w:val="zh-CN"/>
        </w:rPr>
        <w:t>5</w:t>
      </w:r>
      <w:r>
        <w:rPr>
          <w:rFonts w:hint="eastAsia" w:ascii="宋体" w:hAnsi="宋体" w:eastAsia="宋体" w:cs="宋体"/>
          <w:color w:val="auto"/>
          <w:kern w:val="0"/>
          <w:szCs w:val="21"/>
          <w:highlight w:val="none"/>
          <w:lang w:val="zh-CN"/>
        </w:rPr>
        <w:t>款）</w:t>
      </w:r>
    </w:p>
    <w:p w14:paraId="2D85FF22">
      <w:pPr>
        <w:autoSpaceDE w:val="0"/>
        <w:autoSpaceDN w:val="0"/>
        <w:adjustRightInd w:val="0"/>
        <w:spacing w:line="360" w:lineRule="auto"/>
        <w:ind w:left="35" w:leftChars="-118" w:hanging="283" w:hangingChars="135"/>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（1）签字、盖章后的投标文件扫描版PDF格式电子文件。</w:t>
      </w:r>
    </w:p>
    <w:p w14:paraId="2BAC8A1E">
      <w:pPr>
        <w:autoSpaceDE w:val="0"/>
        <w:autoSpaceDN w:val="0"/>
        <w:adjustRightInd w:val="0"/>
        <w:spacing w:line="360" w:lineRule="auto"/>
        <w:ind w:left="422" w:leftChars="-100" w:hanging="632" w:hangingChars="300"/>
        <w:rPr>
          <w:rFonts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9.1.4 唱标信封（单独密封）</w:t>
      </w:r>
    </w:p>
    <w:p w14:paraId="312626E7">
      <w:pPr>
        <w:spacing w:line="360" w:lineRule="auto"/>
        <w:ind w:left="105" w:leftChars="-100" w:hanging="315" w:hangingChars="15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（1）投标报价表；</w:t>
      </w:r>
    </w:p>
    <w:p w14:paraId="353584AF">
      <w:pPr>
        <w:spacing w:line="360" w:lineRule="auto"/>
        <w:ind w:left="105" w:leftChars="-100" w:hanging="315" w:hangingChars="15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（2）投标保证金汇入情况说明（一式两份）。</w:t>
      </w:r>
    </w:p>
    <w:p w14:paraId="64F9BAFF">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9.2  投标人按照投标文件的组成目录编制投标文件应包括上述内容，但不限于上述内容。招标文件提供了相关格式的，严格按照招标文件的要求编制，投标文件未含格式的，投标人自行编制。投标文件编制中要求的复印件、照片可为该资料扫描件的打印件。</w:t>
      </w:r>
    </w:p>
    <w:p w14:paraId="60F2BE08">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9.3  </w:t>
      </w:r>
      <w:r>
        <w:rPr>
          <w:rFonts w:hint="eastAsia" w:ascii="宋体" w:hAnsi="宋体" w:eastAsia="宋体" w:cs="宋体"/>
          <w:b/>
          <w:color w:val="auto"/>
          <w:szCs w:val="21"/>
          <w:highlight w:val="none"/>
          <w:u w:val="single"/>
          <w:lang w:val="zh-CN"/>
        </w:rPr>
        <w:t>投标文件中相关证件、证书、合同、</w:t>
      </w:r>
      <w:r>
        <w:rPr>
          <w:rFonts w:hint="eastAsia" w:ascii="宋体" w:hAnsi="宋体" w:eastAsia="宋体" w:cs="Times New Roman"/>
          <w:b/>
          <w:color w:val="auto"/>
          <w:szCs w:val="21"/>
          <w:highlight w:val="none"/>
          <w:u w:val="single"/>
          <w:lang w:val="zh-CN"/>
        </w:rPr>
        <w:t>发票、照片</w:t>
      </w:r>
      <w:r>
        <w:rPr>
          <w:rFonts w:hint="eastAsia" w:ascii="宋体" w:hAnsi="宋体" w:eastAsia="宋体" w:cs="宋体"/>
          <w:b/>
          <w:color w:val="auto"/>
          <w:szCs w:val="21"/>
          <w:highlight w:val="none"/>
          <w:u w:val="single"/>
          <w:lang w:val="zh-CN"/>
        </w:rPr>
        <w:t>等证明材料中的原始印章、签名、关键内容必须清晰、可辨认，否则视为无效证明材料；投标文件中存在外文资料的，投标人必须同时提供中文译本，且必须保证中文译本的准确，否则招标人不予认可，视为无效材料；投标人须承担因此对应造成投标无效，或评标时因无效证明材料不得分，或拒绝接受投标的风险</w:t>
      </w:r>
      <w:r>
        <w:rPr>
          <w:rFonts w:hint="eastAsia" w:ascii="宋体" w:hAnsi="宋体" w:eastAsia="宋体" w:cs="宋体"/>
          <w:color w:val="auto"/>
          <w:szCs w:val="21"/>
          <w:highlight w:val="none"/>
          <w:lang w:val="zh-CN"/>
        </w:rPr>
        <w:t>。</w:t>
      </w:r>
    </w:p>
    <w:p w14:paraId="7D50A30B">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p>
    <w:p w14:paraId="76CB5780">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04" w:name="_Toc13214"/>
      <w:bookmarkStart w:id="205" w:name="_Toc31771"/>
      <w:bookmarkStart w:id="206" w:name="_Toc450662860"/>
      <w:bookmarkStart w:id="207" w:name="_Toc16040"/>
      <w:bookmarkStart w:id="208" w:name="_Toc15454"/>
      <w:bookmarkStart w:id="209" w:name="_Toc26794"/>
      <w:bookmarkStart w:id="210" w:name="_Toc486167674"/>
      <w:bookmarkStart w:id="211" w:name="_Toc24506"/>
      <w:bookmarkStart w:id="212" w:name="_Toc16851"/>
      <w:bookmarkStart w:id="213" w:name="_Toc20464"/>
      <w:bookmarkStart w:id="214" w:name="_Toc8675_WPSOffice_Level3"/>
      <w:bookmarkStart w:id="215" w:name="_Toc11170"/>
      <w:bookmarkStart w:id="216" w:name="_Toc142508324"/>
      <w:r>
        <w:rPr>
          <w:rFonts w:hint="eastAsia" w:ascii="宋体" w:hAnsi="宋体" w:eastAsia="宋体" w:cs="宋体"/>
          <w:color w:val="auto"/>
          <w:szCs w:val="21"/>
          <w:highlight w:val="none"/>
          <w:lang w:val="zh-CN"/>
        </w:rPr>
        <w:t>10</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投标函</w:t>
      </w:r>
      <w:bookmarkEnd w:id="204"/>
      <w:bookmarkEnd w:id="205"/>
      <w:bookmarkEnd w:id="206"/>
      <w:bookmarkEnd w:id="207"/>
      <w:bookmarkEnd w:id="208"/>
      <w:bookmarkEnd w:id="209"/>
      <w:bookmarkEnd w:id="210"/>
      <w:bookmarkEnd w:id="211"/>
      <w:bookmarkEnd w:id="212"/>
      <w:bookmarkEnd w:id="213"/>
      <w:bookmarkEnd w:id="214"/>
      <w:bookmarkEnd w:id="215"/>
      <w:bookmarkEnd w:id="216"/>
    </w:p>
    <w:p w14:paraId="01618D3E">
      <w:pPr>
        <w:autoSpaceDE w:val="0"/>
        <w:autoSpaceDN w:val="0"/>
        <w:adjustRightInd w:val="0"/>
        <w:spacing w:line="360" w:lineRule="auto"/>
        <w:ind w:left="265" w:leftChars="119" w:hanging="15"/>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投标人应完整填写投标文件格式中规定的投标函。</w:t>
      </w:r>
    </w:p>
    <w:p w14:paraId="68D10963">
      <w:pPr>
        <w:autoSpaceDE w:val="0"/>
        <w:autoSpaceDN w:val="0"/>
        <w:adjustRightInd w:val="0"/>
        <w:spacing w:line="360" w:lineRule="auto"/>
        <w:ind w:left="265" w:leftChars="119" w:hanging="15"/>
        <w:rPr>
          <w:rFonts w:ascii="宋体" w:hAnsi="宋体" w:eastAsia="宋体" w:cs="宋体"/>
          <w:color w:val="auto"/>
          <w:szCs w:val="21"/>
          <w:highlight w:val="none"/>
          <w:lang w:val="zh-CN"/>
        </w:rPr>
      </w:pPr>
    </w:p>
    <w:p w14:paraId="16DAFED5">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17" w:name="_Toc142508325"/>
      <w:bookmarkStart w:id="218" w:name="_Toc28048"/>
      <w:bookmarkStart w:id="219" w:name="_Toc486167675"/>
      <w:bookmarkStart w:id="220" w:name="_Toc20526"/>
      <w:bookmarkStart w:id="221" w:name="_Toc24311"/>
      <w:bookmarkStart w:id="222" w:name="_Toc450662861"/>
      <w:bookmarkStart w:id="223" w:name="_Toc20186"/>
      <w:bookmarkStart w:id="224" w:name="_Toc4385_WPSOffice_Level3"/>
      <w:bookmarkStart w:id="225" w:name="_Toc15427"/>
      <w:bookmarkStart w:id="226" w:name="_Toc2427"/>
      <w:bookmarkStart w:id="227" w:name="_Toc26974"/>
      <w:bookmarkStart w:id="228" w:name="_Toc1717"/>
      <w:bookmarkStart w:id="229" w:name="_Toc14944"/>
      <w:r>
        <w:rPr>
          <w:rFonts w:hint="eastAsia" w:ascii="宋体" w:hAnsi="宋体" w:eastAsia="宋体" w:cs="宋体"/>
          <w:color w:val="auto"/>
          <w:szCs w:val="21"/>
          <w:highlight w:val="none"/>
          <w:lang w:val="zh-CN"/>
        </w:rPr>
        <w:t>11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投标报价</w:t>
      </w:r>
      <w:bookmarkEnd w:id="217"/>
      <w:bookmarkEnd w:id="218"/>
      <w:bookmarkEnd w:id="219"/>
      <w:bookmarkEnd w:id="220"/>
      <w:bookmarkEnd w:id="221"/>
      <w:bookmarkEnd w:id="222"/>
      <w:bookmarkEnd w:id="223"/>
      <w:bookmarkEnd w:id="224"/>
      <w:bookmarkEnd w:id="225"/>
      <w:bookmarkEnd w:id="226"/>
      <w:bookmarkEnd w:id="227"/>
      <w:bookmarkEnd w:id="228"/>
      <w:bookmarkEnd w:id="229"/>
    </w:p>
    <w:p w14:paraId="18E16784">
      <w:pPr>
        <w:tabs>
          <w:tab w:val="left" w:pos="567"/>
        </w:tabs>
        <w:autoSpaceDE w:val="0"/>
        <w:autoSpaceDN w:val="0"/>
        <w:adjustRightInd w:val="0"/>
        <w:spacing w:line="360" w:lineRule="auto"/>
        <w:ind w:left="357" w:leftChars="-100" w:hanging="567"/>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11.1 本项目</w:t>
      </w:r>
      <w:r>
        <w:rPr>
          <w:rFonts w:hint="eastAsia" w:ascii="宋体" w:hAnsi="宋体" w:eastAsia="宋体" w:cs="Times New Roman"/>
          <w:b/>
          <w:color w:val="auto"/>
          <w:szCs w:val="21"/>
          <w:highlight w:val="none"/>
          <w:lang w:val="zh-CN"/>
        </w:rPr>
        <w:t>只允许有一个报价价格，任何有选择的或</w:t>
      </w:r>
      <w:r>
        <w:rPr>
          <w:rFonts w:hint="eastAsia" w:ascii="宋体" w:hAnsi="宋体" w:eastAsia="宋体" w:cs="Times New Roman"/>
          <w:b/>
          <w:color w:val="auto"/>
          <w:kern w:val="0"/>
          <w:szCs w:val="21"/>
          <w:highlight w:val="none"/>
          <w:lang w:val="zh-CN"/>
        </w:rPr>
        <w:t>不是固定价的</w:t>
      </w:r>
      <w:r>
        <w:rPr>
          <w:rFonts w:hint="eastAsia" w:ascii="宋体" w:hAnsi="宋体" w:eastAsia="宋体" w:cs="Times New Roman"/>
          <w:b/>
          <w:color w:val="auto"/>
          <w:szCs w:val="21"/>
          <w:highlight w:val="none"/>
          <w:lang w:val="zh-CN"/>
        </w:rPr>
        <w:t>投标报价将不予接受，</w:t>
      </w:r>
      <w:r>
        <w:rPr>
          <w:rFonts w:hint="eastAsia" w:ascii="宋体" w:hAnsi="宋体" w:eastAsia="宋体" w:cs="Times New Roman"/>
          <w:b/>
          <w:color w:val="auto"/>
          <w:kern w:val="0"/>
          <w:szCs w:val="21"/>
          <w:highlight w:val="none"/>
          <w:lang w:val="zh-CN"/>
        </w:rPr>
        <w:t>作为非实质性响应投标而予以拒绝。</w:t>
      </w:r>
      <w:r>
        <w:rPr>
          <w:rFonts w:hint="eastAsia" w:ascii="宋体" w:hAnsi="宋体" w:eastAsia="宋体" w:cs="Times New Roman"/>
          <w:b/>
          <w:color w:val="auto"/>
          <w:kern w:val="0"/>
          <w:szCs w:val="21"/>
          <w:highlight w:val="none"/>
        </w:rPr>
        <w:t>投标人不得以低于企业自身成本的价格竞投</w:t>
      </w:r>
      <w:r>
        <w:rPr>
          <w:rFonts w:hint="eastAsia" w:ascii="宋体" w:hAnsi="宋体" w:eastAsia="宋体" w:cs="宋体"/>
          <w:b/>
          <w:color w:val="auto"/>
          <w:szCs w:val="21"/>
          <w:highlight w:val="none"/>
          <w:lang w:val="zh-CN"/>
        </w:rPr>
        <w:t>。</w:t>
      </w:r>
    </w:p>
    <w:p w14:paraId="5E5ABDBD">
      <w:pPr>
        <w:tabs>
          <w:tab w:val="left" w:pos="567"/>
        </w:tabs>
        <w:autoSpaceDE w:val="0"/>
        <w:autoSpaceDN w:val="0"/>
        <w:adjustRightInd w:val="0"/>
        <w:spacing w:line="360" w:lineRule="auto"/>
        <w:ind w:firstLine="567"/>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若投标人出现超低报价，有可能影响服务质量和不能诚信履约的，评标委员会将要求该投标人作出书面说明并提供相关证明材料，以确定投标人是否以低于企业成本价报价。若投标人不能合理说明或不能提供相关证明材料的，评标委员会将认定其投标报价低于成本，同时否决其投标。</w:t>
      </w:r>
    </w:p>
    <w:p w14:paraId="65C879AF">
      <w:pPr>
        <w:tabs>
          <w:tab w:val="left" w:pos="567"/>
        </w:tabs>
        <w:autoSpaceDE w:val="0"/>
        <w:autoSpaceDN w:val="0"/>
        <w:adjustRightInd w:val="0"/>
        <w:spacing w:line="360" w:lineRule="auto"/>
        <w:ind w:firstLine="567"/>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对是否低于企业成本价报价的事宜有争议的投标文件，评标委员会成员将以记名方式表决，</w:t>
      </w:r>
      <w:r>
        <w:rPr>
          <w:rFonts w:hint="eastAsia" w:ascii="宋体" w:hAnsi="宋体" w:eastAsia="宋体" w:cs="宋体"/>
          <w:b/>
          <w:color w:val="auto"/>
          <w:szCs w:val="21"/>
          <w:highlight w:val="none"/>
          <w:lang w:val="en-US" w:eastAsia="zh-CN"/>
        </w:rPr>
        <w:t>根据少数服从多数的原则，获多数表决通过</w:t>
      </w:r>
      <w:r>
        <w:rPr>
          <w:rFonts w:hint="eastAsia" w:ascii="宋体" w:hAnsi="宋体" w:eastAsia="宋体" w:cs="宋体"/>
          <w:b/>
          <w:color w:val="auto"/>
          <w:szCs w:val="21"/>
          <w:highlight w:val="none"/>
          <w:lang w:val="zh-CN"/>
        </w:rPr>
        <w:t>的投标人才有资格进入下一阶段的评审，否则将按无效投标处理。</w:t>
      </w:r>
    </w:p>
    <w:p w14:paraId="160E6BF7">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11.2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eastAsia="zh-CN"/>
        </w:rPr>
        <w:t>投标报价采用固定综合单价报价（按含水率80%污泥进行投标报价），综合单价为不含税价</w:t>
      </w:r>
      <w:r>
        <w:rPr>
          <w:rFonts w:hint="eastAsia" w:ascii="宋体" w:hAnsi="宋体" w:eastAsia="宋体" w:cs="Times New Roman"/>
          <w:b/>
          <w:color w:val="auto"/>
          <w:szCs w:val="21"/>
          <w:highlight w:val="none"/>
          <w:u w:val="single"/>
          <w:lang w:val="zh-CN"/>
        </w:rPr>
        <w:t>，即为《中华人民共和国增值税暂行条例》（国务院令第6</w:t>
      </w:r>
      <w:r>
        <w:rPr>
          <w:rFonts w:ascii="宋体" w:hAnsi="宋体" w:eastAsia="宋体" w:cs="Times New Roman"/>
          <w:b/>
          <w:color w:val="auto"/>
          <w:szCs w:val="21"/>
          <w:highlight w:val="none"/>
          <w:u w:val="single"/>
          <w:lang w:val="zh-CN"/>
        </w:rPr>
        <w:t>91</w:t>
      </w:r>
      <w:r>
        <w:rPr>
          <w:rFonts w:hint="eastAsia" w:ascii="宋体" w:hAnsi="宋体" w:eastAsia="宋体" w:cs="Times New Roman"/>
          <w:b/>
          <w:color w:val="auto"/>
          <w:szCs w:val="21"/>
          <w:highlight w:val="none"/>
          <w:u w:val="single"/>
          <w:lang w:val="zh-CN"/>
        </w:rPr>
        <w:t>号修订版）规定的销售额</w:t>
      </w:r>
      <w:r>
        <w:rPr>
          <w:rFonts w:hint="eastAsia" w:ascii="宋体" w:hAnsi="宋体" w:eastAsia="宋体" w:cs="Times New Roman"/>
          <w:color w:val="auto"/>
          <w:szCs w:val="21"/>
          <w:highlight w:val="none"/>
          <w:lang w:val="zh-CN"/>
        </w:rPr>
        <w:t>。本招标文件所称的不含税价和暂定合同总价是指不含本采购项目投标人的销项税额，包含了投标人完成合同义务（含投标人代缴代扣、分包及委外服务、安装、采购货物等所产生的价税）的其他全部费用。本采购项目的销项税额由招标人承担，不计入投标报价。</w:t>
      </w:r>
      <w:r>
        <w:rPr>
          <w:rFonts w:hint="eastAsia" w:ascii="宋体" w:hAnsi="宋体" w:eastAsia="宋体" w:cs="宋体"/>
          <w:color w:val="auto"/>
          <w:kern w:val="0"/>
          <w:szCs w:val="21"/>
          <w:highlight w:val="none"/>
        </w:rPr>
        <w:t xml:space="preserve">本采购项目投标报价已含投标人履行本招标内容全部义务的一切费用，包括但不限于： </w:t>
      </w:r>
    </w:p>
    <w:p w14:paraId="1A896B9E">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zh-CN" w:eastAsia="zh-CN"/>
        </w:rPr>
        <w:t>履行本服务所发生的人工费、水电费、药剂费、设备设施及其维护费、运输费、处置费、保险费、称重计量及检测费、污泥处置后的副产品检测费、管理费、场地使用费（如有）等费用；</w:t>
      </w:r>
    </w:p>
    <w:p w14:paraId="52067030">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val="zh-CN" w:eastAsia="zh-CN"/>
        </w:rPr>
        <w:t>）本项目所发生的</w:t>
      </w:r>
      <w:r>
        <w:rPr>
          <w:rFonts w:hint="eastAsia" w:ascii="宋体" w:hAnsi="宋体" w:eastAsia="宋体" w:cs="宋体"/>
          <w:color w:val="auto"/>
          <w:szCs w:val="21"/>
          <w:highlight w:val="none"/>
          <w:lang w:val="en-US" w:eastAsia="zh-CN"/>
        </w:rPr>
        <w:t>中标人</w:t>
      </w:r>
      <w:r>
        <w:rPr>
          <w:rFonts w:hint="eastAsia" w:ascii="宋体" w:hAnsi="宋体" w:eastAsia="宋体" w:cs="宋体"/>
          <w:color w:val="auto"/>
          <w:szCs w:val="21"/>
          <w:highlight w:val="none"/>
          <w:lang w:val="zh-CN" w:eastAsia="zh-CN"/>
        </w:rPr>
        <w:t xml:space="preserve">销项税额以外的税费、利润等； </w:t>
      </w:r>
    </w:p>
    <w:p w14:paraId="1B7D191C">
      <w:pPr>
        <w:autoSpaceDE w:val="0"/>
        <w:autoSpaceDN w:val="0"/>
        <w:adjustRightInd w:val="0"/>
        <w:spacing w:line="360" w:lineRule="auto"/>
        <w:ind w:left="357" w:leftChars="-100" w:hanging="567"/>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val="zh-CN" w:eastAsia="zh-CN"/>
        </w:rPr>
        <w:t>）其他完成本合同下服务相关的直接及间接费用。</w:t>
      </w:r>
    </w:p>
    <w:p w14:paraId="15BF5CC3">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11.3</w:t>
      </w:r>
      <w:r>
        <w:rPr>
          <w:rFonts w:ascii="宋体" w:hAnsi="宋体" w:eastAsia="宋体" w:cs="宋体"/>
          <w:color w:val="auto"/>
          <w:kern w:val="0"/>
          <w:szCs w:val="21"/>
          <w:highlight w:val="none"/>
        </w:rPr>
        <w:t xml:space="preserve"> </w:t>
      </w:r>
      <w:r>
        <w:rPr>
          <w:rFonts w:hint="eastAsia" w:ascii="宋体" w:hAnsi="宋体" w:eastAsia="宋体" w:cs="Times New Roman"/>
          <w:color w:val="auto"/>
          <w:szCs w:val="21"/>
          <w:highlight w:val="none"/>
          <w:lang w:val="zh-CN"/>
        </w:rPr>
        <w:t>投标人根据</w:t>
      </w:r>
      <w:r>
        <w:rPr>
          <w:color w:val="auto"/>
          <w:highlight w:val="none"/>
        </w:rPr>
        <w:fldChar w:fldCharType="begin"/>
      </w:r>
      <w:r>
        <w:rPr>
          <w:color w:val="auto"/>
          <w:highlight w:val="none"/>
        </w:rPr>
        <w:instrText xml:space="preserve"> HYPERLINK "file:///E:\\招标文件\\用户目录\\Documents\\WeChat%20Files\\wxid_d71qzxy6fjr811\\FileStorage\\File\\2021-09\\1、挂网资料、呈批表-抽取专家模板\\挂网资料（东莞市水务集团净水有限公司保安服务定点采购项目）\\挂网资料（东莞市长安锦厦三洲水质净化厂提标工程新增格栅机、闸门等设备采购项目）\\石鼓工作（201807）\\01%20%20项目资料\\Administrator\\AppData\\Roaming\\Microsoft\\Word\\AppData\\审核工作\\审核的文件\\l" </w:instrText>
      </w:r>
      <w:r>
        <w:rPr>
          <w:color w:val="auto"/>
          <w:highlight w:val="none"/>
        </w:rPr>
        <w:fldChar w:fldCharType="separate"/>
      </w:r>
      <w:r>
        <w:rPr>
          <w:rFonts w:hint="eastAsia" w:ascii="宋体" w:hAnsi="宋体" w:eastAsia="宋体" w:cs="Times New Roman"/>
          <w:color w:val="auto"/>
          <w:szCs w:val="21"/>
          <w:highlight w:val="none"/>
          <w:lang w:val="zh-CN"/>
        </w:rPr>
        <w:t>第</w:t>
      </w:r>
      <w:r>
        <w:rPr>
          <w:rFonts w:ascii="宋体" w:hAnsi="宋体" w:eastAsia="宋体" w:cs="Times New Roman"/>
          <w:color w:val="auto"/>
          <w:szCs w:val="21"/>
          <w:highlight w:val="none"/>
          <w:lang w:val="zh-CN"/>
        </w:rPr>
        <w:t>11.</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zh-CN"/>
        </w:rPr>
        <w:t>款</w:t>
      </w:r>
      <w:r>
        <w:rPr>
          <w:rFonts w:hint="eastAsia" w:ascii="宋体" w:hAnsi="宋体" w:eastAsia="宋体" w:cs="Times New Roman"/>
          <w:color w:val="auto"/>
          <w:szCs w:val="21"/>
          <w:highlight w:val="none"/>
          <w:lang w:val="zh-CN"/>
        </w:rPr>
        <w:fldChar w:fldCharType="end"/>
      </w:r>
      <w:r>
        <w:rPr>
          <w:rFonts w:hint="eastAsia" w:ascii="宋体" w:hAnsi="宋体" w:eastAsia="宋体" w:cs="Times New Roman"/>
          <w:color w:val="auto"/>
          <w:szCs w:val="21"/>
          <w:highlight w:val="none"/>
          <w:lang w:val="zh-CN"/>
        </w:rPr>
        <w:t>所报的价格分项仅供评标委员会评审时使用；在任何情况下不限制投标人以不同的条件中标的权利。</w:t>
      </w:r>
    </w:p>
    <w:p w14:paraId="5F99386C">
      <w:pPr>
        <w:autoSpaceDE w:val="0"/>
        <w:autoSpaceDN w:val="0"/>
        <w:adjustRightInd w:val="0"/>
        <w:spacing w:line="360" w:lineRule="auto"/>
        <w:ind w:left="268" w:leftChars="-100" w:hanging="478" w:hangingChars="228"/>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11.4 在合同期间，投标报价不随国家政策或法规、标准、市场因素及采购数量的变化而进行调整</w:t>
      </w:r>
      <w:r>
        <w:rPr>
          <w:rFonts w:hint="eastAsia" w:ascii="宋体" w:hAnsi="宋体" w:eastAsia="宋体" w:cs="Times New Roman"/>
          <w:color w:val="auto"/>
          <w:kern w:val="0"/>
          <w:szCs w:val="21"/>
          <w:highlight w:val="none"/>
          <w:lang w:val="zh-CN"/>
        </w:rPr>
        <w:t>。</w:t>
      </w:r>
      <w:r>
        <w:rPr>
          <w:rFonts w:hint="eastAsia" w:ascii="宋体" w:hAnsi="宋体" w:eastAsia="宋体" w:cs="宋体"/>
          <w:color w:val="auto"/>
          <w:kern w:val="0"/>
          <w:szCs w:val="21"/>
          <w:highlight w:val="none"/>
        </w:rPr>
        <w:t xml:space="preserve"> </w:t>
      </w:r>
    </w:p>
    <w:p w14:paraId="6A572969">
      <w:pPr>
        <w:autoSpaceDE w:val="0"/>
        <w:autoSpaceDN w:val="0"/>
        <w:adjustRightInd w:val="0"/>
        <w:spacing w:line="360" w:lineRule="auto"/>
        <w:ind w:left="357" w:leftChars="-100" w:hanging="567"/>
        <w:rPr>
          <w:rFonts w:ascii="宋体" w:hAnsi="宋体" w:eastAsia="宋体" w:cs="Times New Roman"/>
          <w:b/>
          <w:bCs/>
          <w:color w:val="auto"/>
          <w:szCs w:val="21"/>
          <w:highlight w:val="none"/>
          <w:lang w:val="zh-CN"/>
        </w:rPr>
      </w:pPr>
      <w:r>
        <w:rPr>
          <w:rFonts w:hint="eastAsia" w:ascii="宋体" w:hAnsi="宋体" w:eastAsia="宋体" w:cs="宋体"/>
          <w:color w:val="auto"/>
          <w:szCs w:val="21"/>
          <w:highlight w:val="none"/>
          <w:lang w:val="zh-CN"/>
        </w:rPr>
        <w:t xml:space="preserve">11.5 </w:t>
      </w:r>
      <w:r>
        <w:rPr>
          <w:rFonts w:hint="eastAsia" w:ascii="宋体" w:hAnsi="宋体" w:eastAsia="宋体" w:cs="Times New Roman"/>
          <w:b/>
          <w:bCs/>
          <w:color w:val="auto"/>
          <w:szCs w:val="21"/>
          <w:highlight w:val="none"/>
          <w:lang w:val="zh-CN"/>
        </w:rPr>
        <w:t>合同项下，招标人需要的</w:t>
      </w:r>
      <w:r>
        <w:rPr>
          <w:rFonts w:hint="eastAsia" w:ascii="宋体" w:hAnsi="宋体" w:eastAsia="宋体" w:cs="Times New Roman"/>
          <w:b/>
          <w:bCs/>
          <w:color w:val="auto"/>
          <w:szCs w:val="21"/>
          <w:highlight w:val="none"/>
          <w:lang w:val="en-US" w:eastAsia="zh-CN"/>
        </w:rPr>
        <w:t>相关</w:t>
      </w:r>
      <w:r>
        <w:rPr>
          <w:rFonts w:hint="eastAsia" w:ascii="宋体" w:hAnsi="宋体" w:eastAsia="宋体" w:cs="Times New Roman"/>
          <w:b/>
          <w:bCs/>
          <w:color w:val="auto"/>
          <w:szCs w:val="21"/>
          <w:highlight w:val="none"/>
          <w:lang w:val="zh-CN"/>
        </w:rPr>
        <w:t>服务所需的费用，投标人都应计入投标报价。</w:t>
      </w:r>
    </w:p>
    <w:p w14:paraId="4A7C78EE">
      <w:pPr>
        <w:autoSpaceDE w:val="0"/>
        <w:autoSpaceDN w:val="0"/>
        <w:adjustRightInd w:val="0"/>
        <w:spacing w:line="360" w:lineRule="auto"/>
        <w:ind w:left="357" w:leftChars="-100" w:hanging="567"/>
        <w:rPr>
          <w:rFonts w:ascii="宋体" w:hAnsi="宋体" w:eastAsia="宋体" w:cs="宋体"/>
          <w:b/>
          <w:color w:val="auto"/>
          <w:szCs w:val="21"/>
          <w:highlight w:val="none"/>
          <w:lang w:val="zh-CN"/>
        </w:rPr>
      </w:pPr>
      <w:r>
        <w:rPr>
          <w:rFonts w:hint="eastAsia" w:ascii="宋体" w:hAnsi="宋体" w:eastAsia="宋体" w:cs="宋体"/>
          <w:color w:val="auto"/>
          <w:szCs w:val="21"/>
          <w:highlight w:val="none"/>
          <w:lang w:val="zh-CN"/>
        </w:rPr>
        <w:t>11.6</w:t>
      </w:r>
      <w:r>
        <w:rPr>
          <w:rFonts w:hint="eastAsia" w:ascii="宋体" w:hAnsi="宋体" w:eastAsia="宋体" w:cs="Times New Roman"/>
          <w:b/>
          <w:bCs/>
          <w:color w:val="auto"/>
          <w:szCs w:val="21"/>
          <w:highlight w:val="none"/>
          <w:u w:val="single"/>
        </w:rPr>
        <w:t xml:space="preserve"> </w:t>
      </w:r>
      <w:r>
        <w:rPr>
          <w:rFonts w:hint="eastAsia" w:ascii="宋体" w:hAnsi="宋体" w:eastAsia="宋体" w:cs="宋体"/>
          <w:b/>
          <w:color w:val="auto"/>
          <w:szCs w:val="21"/>
          <w:highlight w:val="none"/>
          <w:u w:val="single"/>
          <w:lang w:val="zh-CN"/>
        </w:rPr>
        <w:t>投标人</w:t>
      </w:r>
      <w:r>
        <w:rPr>
          <w:rFonts w:hint="eastAsia" w:ascii="宋体" w:hAnsi="宋体" w:eastAsia="宋体" w:cs="Times New Roman"/>
          <w:b/>
          <w:bCs/>
          <w:color w:val="auto"/>
          <w:kern w:val="0"/>
          <w:szCs w:val="24"/>
          <w:highlight w:val="none"/>
          <w:u w:val="single"/>
        </w:rPr>
        <w:t>的投标报价高于</w:t>
      </w:r>
      <w:r>
        <w:rPr>
          <w:rFonts w:hint="eastAsia" w:ascii="宋体" w:hAnsi="宋体" w:eastAsia="宋体" w:cs="宋体"/>
          <w:b/>
          <w:color w:val="auto"/>
          <w:szCs w:val="21"/>
          <w:highlight w:val="none"/>
          <w:u w:val="single"/>
          <w:lang w:val="zh-CN"/>
        </w:rPr>
        <w:t>不含税</w:t>
      </w:r>
      <w:r>
        <w:rPr>
          <w:rFonts w:hint="eastAsia" w:ascii="宋体" w:hAnsi="宋体" w:eastAsia="宋体" w:cs="Times New Roman"/>
          <w:b/>
          <w:bCs/>
          <w:color w:val="auto"/>
          <w:kern w:val="0"/>
          <w:szCs w:val="24"/>
          <w:highlight w:val="none"/>
          <w:u w:val="single"/>
        </w:rPr>
        <w:t>最高投标限价的，该投标人的投标文件将被视为无效投标</w:t>
      </w:r>
      <w:r>
        <w:rPr>
          <w:rFonts w:hint="eastAsia" w:ascii="宋体" w:hAnsi="宋体" w:eastAsia="宋体" w:cs="宋体"/>
          <w:b/>
          <w:color w:val="auto"/>
          <w:szCs w:val="21"/>
          <w:highlight w:val="none"/>
          <w:u w:val="single"/>
          <w:lang w:val="zh-CN"/>
        </w:rPr>
        <w:t>。本项目的不含税最高投标限价</w:t>
      </w:r>
      <w:r>
        <w:rPr>
          <w:rFonts w:hint="eastAsia" w:ascii="宋体" w:hAnsi="宋体" w:eastAsia="宋体" w:cs="Times New Roman"/>
          <w:b/>
          <w:bCs/>
          <w:color w:val="auto"/>
          <w:szCs w:val="21"/>
          <w:highlight w:val="none"/>
          <w:u w:val="single"/>
          <w:lang w:val="zh-CN"/>
        </w:rPr>
        <w:t>为</w:t>
      </w:r>
      <w:r>
        <w:rPr>
          <w:rFonts w:hint="eastAsia" w:ascii="宋体" w:hAnsi="宋体" w:eastAsia="宋体" w:cs="Times New Roman"/>
          <w:b/>
          <w:bCs/>
          <w:color w:val="auto"/>
          <w:szCs w:val="21"/>
          <w:highlight w:val="none"/>
          <w:u w:val="single"/>
          <w:lang w:val="zh-CN" w:eastAsia="zh-CN"/>
        </w:rPr>
        <w:t>357.23</w:t>
      </w:r>
      <w:r>
        <w:rPr>
          <w:rFonts w:hint="eastAsia" w:ascii="宋体" w:hAnsi="宋体" w:eastAsia="宋体" w:cs="Times New Roman"/>
          <w:b/>
          <w:bCs/>
          <w:color w:val="auto"/>
          <w:szCs w:val="21"/>
          <w:highlight w:val="none"/>
          <w:u w:val="single"/>
          <w:lang w:val="zh-CN"/>
        </w:rPr>
        <w:t>元</w:t>
      </w:r>
      <w:r>
        <w:rPr>
          <w:rFonts w:hint="eastAsia" w:ascii="宋体" w:hAnsi="宋体" w:eastAsia="宋体" w:cs="Times New Roman"/>
          <w:b/>
          <w:bCs/>
          <w:color w:val="auto"/>
          <w:szCs w:val="21"/>
          <w:highlight w:val="none"/>
          <w:u w:val="single"/>
          <w:lang w:val="en-US" w:eastAsia="zh-CN"/>
        </w:rPr>
        <w:t>/吨</w:t>
      </w:r>
      <w:r>
        <w:rPr>
          <w:rFonts w:hint="eastAsia" w:ascii="宋体" w:hAnsi="宋体" w:eastAsia="宋体" w:cs="宋体"/>
          <w:b/>
          <w:color w:val="auto"/>
          <w:szCs w:val="21"/>
          <w:highlight w:val="none"/>
          <w:u w:val="single"/>
          <w:lang w:val="zh-CN"/>
        </w:rPr>
        <w:t>。</w:t>
      </w:r>
    </w:p>
    <w:p w14:paraId="49E76CF1">
      <w:pPr>
        <w:autoSpaceDE w:val="0"/>
        <w:autoSpaceDN w:val="0"/>
        <w:adjustRightInd w:val="0"/>
        <w:spacing w:line="360" w:lineRule="auto"/>
        <w:ind w:left="357" w:leftChars="-100" w:hanging="567"/>
        <w:rPr>
          <w:rFonts w:ascii="宋体" w:hAnsi="宋体" w:eastAsia="宋体" w:cs="宋体"/>
          <w:color w:val="auto"/>
          <w:szCs w:val="21"/>
          <w:highlight w:val="none"/>
        </w:rPr>
      </w:pPr>
      <w:r>
        <w:rPr>
          <w:rFonts w:ascii="宋体" w:hAnsi="宋体" w:eastAsia="宋体" w:cs="宋体"/>
          <w:color w:val="auto"/>
          <w:szCs w:val="21"/>
          <w:highlight w:val="none"/>
          <w:lang w:val="zh-CN"/>
        </w:rPr>
        <w:t xml:space="preserve">     </w:t>
      </w:r>
    </w:p>
    <w:p w14:paraId="0C68EEAB">
      <w:pPr>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lang w:val="zh-CN"/>
        </w:rPr>
      </w:pPr>
      <w:bookmarkStart w:id="230" w:name="_Toc142508326"/>
      <w:bookmarkStart w:id="231" w:name="_Toc8937"/>
      <w:bookmarkStart w:id="232" w:name="_Toc486167676"/>
      <w:bookmarkStart w:id="233" w:name="_Toc3854"/>
      <w:bookmarkStart w:id="234" w:name="_Toc4236"/>
      <w:bookmarkStart w:id="235" w:name="_Toc19906"/>
      <w:bookmarkStart w:id="236" w:name="_Toc27318"/>
      <w:bookmarkStart w:id="237" w:name="_Toc17717"/>
      <w:bookmarkStart w:id="238" w:name="_Toc20312"/>
      <w:bookmarkStart w:id="239" w:name="_Toc23550"/>
      <w:bookmarkStart w:id="240" w:name="_Toc450662862"/>
      <w:bookmarkStart w:id="241" w:name="_Toc3469"/>
      <w:bookmarkStart w:id="242" w:name="_Toc30042_WPSOffice_Level3"/>
      <w:r>
        <w:rPr>
          <w:rFonts w:hint="eastAsia" w:ascii="宋体" w:hAnsi="宋体" w:eastAsia="宋体" w:cs="宋体"/>
          <w:b/>
          <w:color w:val="auto"/>
          <w:szCs w:val="21"/>
          <w:highlight w:val="none"/>
          <w:lang w:val="zh-CN"/>
        </w:rPr>
        <w:t>12</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投标报价货币</w:t>
      </w:r>
      <w:bookmarkEnd w:id="230"/>
      <w:bookmarkEnd w:id="231"/>
      <w:bookmarkEnd w:id="232"/>
      <w:bookmarkEnd w:id="233"/>
      <w:bookmarkEnd w:id="234"/>
      <w:bookmarkEnd w:id="235"/>
      <w:bookmarkEnd w:id="236"/>
      <w:bookmarkEnd w:id="237"/>
      <w:bookmarkEnd w:id="238"/>
      <w:bookmarkEnd w:id="239"/>
      <w:bookmarkEnd w:id="240"/>
      <w:bookmarkEnd w:id="241"/>
      <w:bookmarkEnd w:id="242"/>
    </w:p>
    <w:p w14:paraId="2FD44B8C">
      <w:pPr>
        <w:autoSpaceDE w:val="0"/>
        <w:autoSpaceDN w:val="0"/>
        <w:adjustRightInd w:val="0"/>
        <w:spacing w:line="360" w:lineRule="auto"/>
        <w:ind w:left="265" w:leftChars="119" w:hanging="15"/>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投标</w:t>
      </w:r>
      <w:r>
        <w:rPr>
          <w:rFonts w:hint="eastAsia" w:ascii="宋体" w:hAnsi="宋体" w:eastAsia="宋体" w:cs="Times New Roman"/>
          <w:b/>
          <w:color w:val="auto"/>
          <w:szCs w:val="21"/>
          <w:highlight w:val="none"/>
          <w:lang w:val="zh-CN"/>
        </w:rPr>
        <w:t>报价表上的价格须以人民币报价，以其</w:t>
      </w:r>
      <w:r>
        <w:rPr>
          <w:rFonts w:hint="eastAsia" w:ascii="宋体" w:hAnsi="宋体" w:eastAsia="宋体" w:cs="Times New Roman"/>
          <w:b/>
          <w:color w:val="auto"/>
          <w:szCs w:val="21"/>
          <w:highlight w:val="none"/>
          <w:lang w:val="en-US" w:eastAsia="zh-CN"/>
        </w:rPr>
        <w:t>他</w:t>
      </w:r>
      <w:r>
        <w:rPr>
          <w:rFonts w:hint="eastAsia" w:ascii="宋体" w:hAnsi="宋体" w:eastAsia="宋体" w:cs="Times New Roman"/>
          <w:b/>
          <w:color w:val="auto"/>
          <w:szCs w:val="21"/>
          <w:highlight w:val="none"/>
          <w:lang w:val="zh-CN"/>
        </w:rPr>
        <w:t>货币标价的投标将予以拒绝</w:t>
      </w:r>
      <w:r>
        <w:rPr>
          <w:rFonts w:hint="eastAsia" w:ascii="宋体" w:hAnsi="宋体" w:eastAsia="宋体" w:cs="宋体"/>
          <w:b/>
          <w:color w:val="auto"/>
          <w:szCs w:val="21"/>
          <w:highlight w:val="none"/>
          <w:lang w:val="zh-CN"/>
        </w:rPr>
        <w:t>。</w:t>
      </w:r>
    </w:p>
    <w:p w14:paraId="089504AE">
      <w:pPr>
        <w:autoSpaceDE w:val="0"/>
        <w:autoSpaceDN w:val="0"/>
        <w:adjustRightInd w:val="0"/>
        <w:spacing w:line="360" w:lineRule="auto"/>
        <w:ind w:left="265" w:leftChars="119" w:hanging="15"/>
        <w:rPr>
          <w:rFonts w:ascii="宋体" w:hAnsi="宋体" w:eastAsia="宋体" w:cs="宋体"/>
          <w:color w:val="auto"/>
          <w:szCs w:val="21"/>
          <w:highlight w:val="none"/>
        </w:rPr>
      </w:pPr>
    </w:p>
    <w:p w14:paraId="34199608">
      <w:pPr>
        <w:tabs>
          <w:tab w:val="left" w:pos="57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43" w:name="_Toc20031"/>
      <w:bookmarkStart w:id="244" w:name="_Toc1091"/>
      <w:bookmarkStart w:id="245" w:name="_Toc918"/>
      <w:bookmarkStart w:id="246" w:name="_Toc486167677"/>
      <w:bookmarkStart w:id="247" w:name="_Toc29612"/>
      <w:bookmarkStart w:id="248" w:name="_Toc9411_WPSOffice_Level3"/>
      <w:bookmarkStart w:id="249" w:name="_Toc4774"/>
      <w:bookmarkStart w:id="250" w:name="_Toc450662863"/>
      <w:bookmarkStart w:id="251" w:name="_Toc3961"/>
      <w:bookmarkStart w:id="252" w:name="_Toc11679"/>
      <w:bookmarkStart w:id="253" w:name="_Toc4820"/>
      <w:bookmarkStart w:id="254" w:name="_Toc8001"/>
      <w:bookmarkStart w:id="255" w:name="_Toc142508327"/>
      <w:r>
        <w:rPr>
          <w:rFonts w:hint="eastAsia" w:ascii="宋体" w:hAnsi="宋体" w:eastAsia="宋体" w:cs="宋体"/>
          <w:color w:val="auto"/>
          <w:szCs w:val="21"/>
          <w:highlight w:val="none"/>
          <w:lang w:val="zh-CN"/>
        </w:rPr>
        <w:t>13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证明投标人的合格性和资格的声明文件</w:t>
      </w:r>
      <w:bookmarkEnd w:id="243"/>
      <w:bookmarkEnd w:id="244"/>
      <w:bookmarkEnd w:id="245"/>
      <w:bookmarkEnd w:id="246"/>
      <w:bookmarkEnd w:id="247"/>
      <w:bookmarkEnd w:id="248"/>
      <w:bookmarkEnd w:id="249"/>
      <w:bookmarkEnd w:id="250"/>
      <w:bookmarkEnd w:id="251"/>
      <w:bookmarkEnd w:id="252"/>
      <w:bookmarkEnd w:id="253"/>
      <w:bookmarkEnd w:id="254"/>
      <w:bookmarkEnd w:id="255"/>
    </w:p>
    <w:p w14:paraId="57541704">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根据第2条、第13.2款规定，投标人须提交证明其有资格进行投标和有能力履行合同的文件，作为投标文件的一部分。</w:t>
      </w:r>
    </w:p>
    <w:p w14:paraId="39E3D5F7">
      <w:pPr>
        <w:autoSpaceDE w:val="0"/>
        <w:autoSpaceDN w:val="0"/>
        <w:adjustRightInd w:val="0"/>
        <w:spacing w:line="360" w:lineRule="auto"/>
        <w:ind w:left="357" w:leftChars="-100" w:hanging="567"/>
        <w:rPr>
          <w:rFonts w:ascii="宋体" w:hAnsi="宋体" w:eastAsia="宋体" w:cs="宋体"/>
          <w:color w:val="auto"/>
          <w:szCs w:val="21"/>
          <w:highlight w:val="none"/>
          <w:vertAlign w:val="superscript"/>
          <w:lang w:val="zh-CN"/>
        </w:rPr>
      </w:pPr>
      <w:r>
        <w:rPr>
          <w:rFonts w:hint="eastAsia" w:ascii="宋体" w:hAnsi="宋体" w:eastAsia="宋体" w:cs="宋体"/>
          <w:color w:val="auto"/>
          <w:szCs w:val="21"/>
          <w:highlight w:val="none"/>
          <w:lang w:val="zh-CN"/>
        </w:rPr>
        <w:t>13.2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投标人提供的履行合同的资格声明文件应符合：</w:t>
      </w:r>
    </w:p>
    <w:p w14:paraId="78F1A39D">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（1）符合《中华人民共和国招标投标法》《中华人民共和国招标投标法实施条例》投标人应当具备的条件；</w:t>
      </w:r>
    </w:p>
    <w:p w14:paraId="1D29F865">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（2）投标人具有履行本项目所必须的证明文件；</w:t>
      </w:r>
    </w:p>
    <w:p w14:paraId="428C52AB">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（3）投标人证明其相应资格</w:t>
      </w:r>
      <w:r>
        <w:rPr>
          <w:rFonts w:hint="eastAsia" w:ascii="宋体" w:hAnsi="宋体" w:eastAsia="宋体" w:cs="Times New Roman"/>
          <w:color w:val="auto"/>
          <w:szCs w:val="21"/>
          <w:highlight w:val="none"/>
          <w:lang w:val="zh-CN"/>
        </w:rPr>
        <w:t>符合或</w:t>
      </w:r>
      <w:r>
        <w:rPr>
          <w:rFonts w:hint="eastAsia" w:ascii="宋体" w:hAnsi="宋体" w:eastAsia="宋体" w:cs="宋体"/>
          <w:color w:val="auto"/>
          <w:szCs w:val="21"/>
          <w:highlight w:val="none"/>
          <w:lang w:val="zh-CN"/>
        </w:rPr>
        <w:t>优于招标文件要求的其它文件。</w:t>
      </w:r>
    </w:p>
    <w:p w14:paraId="3F145453">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13.3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投标人</w:t>
      </w:r>
      <w:r>
        <w:rPr>
          <w:rFonts w:hint="eastAsia" w:ascii="宋体" w:hAnsi="宋体" w:eastAsia="宋体" w:cs="Times New Roman"/>
          <w:color w:val="auto"/>
          <w:szCs w:val="21"/>
          <w:highlight w:val="none"/>
          <w:lang w:val="zh-CN"/>
        </w:rPr>
        <w:t>根据招标文件载明的相关服务要求的实际情况，拟在中标后将中标项目的非主体、非关键性专业工作交由他人完成的，应当在投标文件中载明，并提供他人的资质、能力证明材料</w:t>
      </w:r>
      <w:r>
        <w:rPr>
          <w:rFonts w:hint="eastAsia" w:ascii="宋体" w:hAnsi="宋体" w:eastAsia="宋体" w:cs="宋体"/>
          <w:color w:val="auto"/>
          <w:szCs w:val="21"/>
          <w:highlight w:val="none"/>
          <w:lang w:val="zh-CN"/>
        </w:rPr>
        <w:t>。</w:t>
      </w:r>
    </w:p>
    <w:p w14:paraId="243BAF46">
      <w:pPr>
        <w:autoSpaceDE w:val="0"/>
        <w:autoSpaceDN w:val="0"/>
        <w:adjustRightInd w:val="0"/>
        <w:spacing w:line="360" w:lineRule="auto"/>
        <w:ind w:left="560" w:leftChars="128" w:hanging="291" w:hangingChars="139"/>
        <w:rPr>
          <w:rFonts w:ascii="宋体" w:hAnsi="宋体" w:eastAsia="宋体" w:cs="宋体"/>
          <w:color w:val="auto"/>
          <w:szCs w:val="21"/>
          <w:highlight w:val="none"/>
        </w:rPr>
      </w:pPr>
    </w:p>
    <w:p w14:paraId="7763A27D">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56" w:name="_Toc16467"/>
      <w:bookmarkStart w:id="257" w:name="_Toc2793"/>
      <w:bookmarkStart w:id="258" w:name="_Toc1675"/>
      <w:bookmarkStart w:id="259" w:name="_Toc8615"/>
      <w:bookmarkStart w:id="260" w:name="_Toc13630"/>
      <w:bookmarkStart w:id="261" w:name="_Toc142508328"/>
      <w:bookmarkStart w:id="262" w:name="_Toc15539"/>
      <w:bookmarkStart w:id="263" w:name="_Toc27771_WPSOffice_Level3"/>
      <w:bookmarkStart w:id="264" w:name="_Toc486167678"/>
      <w:bookmarkStart w:id="265" w:name="_Toc24720"/>
      <w:bookmarkStart w:id="266" w:name="_Toc450662864"/>
      <w:bookmarkStart w:id="267" w:name="_Toc17429"/>
      <w:bookmarkStart w:id="268" w:name="_Toc29754"/>
      <w:r>
        <w:rPr>
          <w:rFonts w:hint="eastAsia" w:ascii="宋体" w:hAnsi="宋体" w:eastAsia="宋体" w:cs="宋体"/>
          <w:color w:val="auto"/>
          <w:szCs w:val="21"/>
          <w:highlight w:val="none"/>
          <w:lang w:val="zh-CN"/>
        </w:rPr>
        <w:t>14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证明服务的合格性并符合招标文件规定的声明文件</w:t>
      </w:r>
      <w:bookmarkEnd w:id="256"/>
      <w:bookmarkEnd w:id="257"/>
      <w:bookmarkEnd w:id="258"/>
      <w:bookmarkEnd w:id="259"/>
      <w:bookmarkEnd w:id="260"/>
      <w:bookmarkEnd w:id="261"/>
      <w:bookmarkEnd w:id="262"/>
      <w:bookmarkEnd w:id="263"/>
      <w:bookmarkEnd w:id="264"/>
      <w:bookmarkEnd w:id="265"/>
      <w:bookmarkEnd w:id="266"/>
      <w:bookmarkEnd w:id="267"/>
      <w:bookmarkEnd w:id="268"/>
    </w:p>
    <w:p w14:paraId="434C2F67">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14.1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w:t>
      </w:r>
      <w:r>
        <w:rPr>
          <w:rFonts w:hint="eastAsia" w:ascii="宋体" w:hAnsi="宋体" w:eastAsia="宋体" w:cs="宋体"/>
          <w:color w:val="auto"/>
          <w:kern w:val="0"/>
          <w:szCs w:val="21"/>
          <w:highlight w:val="none"/>
        </w:rPr>
        <w:t>第9</w:t>
      </w:r>
      <w:r>
        <w:rPr>
          <w:rFonts w:hint="eastAsia" w:ascii="宋体" w:hAnsi="宋体" w:eastAsia="宋体" w:cs="宋体"/>
          <w:color w:val="auto"/>
          <w:szCs w:val="21"/>
          <w:highlight w:val="none"/>
          <w:lang w:val="zh-CN"/>
        </w:rPr>
        <w:t>条规定，投标人须提交证明其拟供</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lang w:val="zh-CN"/>
        </w:rPr>
        <w:t>的合格性并符合招标文件规定的声明文件，作为投标文件的一部分。</w:t>
      </w:r>
    </w:p>
    <w:p w14:paraId="59108311">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14.2  证明</w:t>
      </w:r>
      <w:r>
        <w:rPr>
          <w:rFonts w:hint="eastAsia" w:ascii="宋体" w:hAnsi="宋体" w:eastAsia="宋体" w:cs="宋体"/>
          <w:color w:val="auto"/>
          <w:kern w:val="0"/>
          <w:szCs w:val="21"/>
          <w:highlight w:val="none"/>
          <w:lang w:eastAsia="zh-CN"/>
        </w:rPr>
        <w:t>相关</w:t>
      </w:r>
      <w:r>
        <w:rPr>
          <w:rFonts w:hint="eastAsia" w:ascii="宋体" w:hAnsi="宋体" w:eastAsia="宋体" w:cs="宋体"/>
          <w:color w:val="auto"/>
          <w:kern w:val="0"/>
          <w:szCs w:val="21"/>
          <w:highlight w:val="none"/>
        </w:rPr>
        <w:t>服务</w:t>
      </w:r>
      <w:r>
        <w:rPr>
          <w:rFonts w:hint="eastAsia" w:ascii="宋体" w:hAnsi="宋体" w:eastAsia="宋体" w:cs="宋体"/>
          <w:color w:val="auto"/>
          <w:szCs w:val="21"/>
          <w:highlight w:val="none"/>
          <w:lang w:val="zh-CN"/>
        </w:rPr>
        <w:t>与招标文件的要求相一致的文件可以是文字资料、图纸和数据资料。</w:t>
      </w:r>
    </w:p>
    <w:p w14:paraId="58FBC13D">
      <w:pPr>
        <w:autoSpaceDE w:val="0"/>
        <w:autoSpaceDN w:val="0"/>
        <w:adjustRightInd w:val="0"/>
        <w:spacing w:line="360" w:lineRule="auto"/>
        <w:ind w:left="317" w:leftChars="-100" w:hanging="527" w:hangingChars="251"/>
        <w:rPr>
          <w:rFonts w:ascii="宋体" w:hAnsi="宋体" w:eastAsia="宋体" w:cs="宋体"/>
          <w:b/>
          <w:color w:val="auto"/>
          <w:szCs w:val="21"/>
          <w:highlight w:val="none"/>
          <w:lang w:val="zh-CN"/>
        </w:rPr>
      </w:pPr>
      <w:r>
        <w:rPr>
          <w:rFonts w:hint="eastAsia" w:ascii="宋体" w:hAnsi="宋体" w:eastAsia="宋体" w:cs="宋体"/>
          <w:color w:val="auto"/>
          <w:szCs w:val="21"/>
          <w:highlight w:val="none"/>
          <w:lang w:val="zh-CN"/>
        </w:rPr>
        <w:t xml:space="preserve">14.3 </w:t>
      </w:r>
      <w:r>
        <w:rPr>
          <w:rFonts w:hint="eastAsia" w:ascii="宋体" w:hAnsi="宋体" w:eastAsia="宋体" w:cs="宋体"/>
          <w:b/>
          <w:color w:val="auto"/>
          <w:szCs w:val="21"/>
          <w:highlight w:val="none"/>
          <w:lang w:val="zh-CN"/>
        </w:rPr>
        <w:t>为说明第14.2款的规定，投标人应注意本招标文件在《用户需求书》中对服务要求</w:t>
      </w:r>
      <w:r>
        <w:rPr>
          <w:rFonts w:hint="eastAsia" w:ascii="宋体" w:hAnsi="宋体" w:eastAsia="宋体" w:cs="宋体"/>
          <w:b/>
          <w:color w:val="auto"/>
          <w:szCs w:val="21"/>
          <w:highlight w:val="none"/>
          <w:lang w:val="en-US" w:eastAsia="zh-CN"/>
        </w:rPr>
        <w:t>的</w:t>
      </w:r>
      <w:r>
        <w:rPr>
          <w:rFonts w:hint="eastAsia" w:ascii="宋体" w:hAnsi="宋体" w:eastAsia="宋体" w:cs="宋体"/>
          <w:b/>
          <w:color w:val="auto"/>
          <w:szCs w:val="21"/>
          <w:highlight w:val="none"/>
          <w:lang w:val="zh-CN"/>
        </w:rPr>
        <w:t>说明只是概括性的，不能理解为所需要的全部服务的要求，投标人应按国家、行业相关技术标准、规范和以往的服务经验，合格优质的完成采购内容和包含的全部服务。但凡标有“★”的地方均被视为重要的技术指标要求或性能要求。投标人要特别加以注意，必须对此回答并完全满足这些要求，否则若有一项带“★”的指标未响应或不满足，将按无效投标处理。</w:t>
      </w:r>
    </w:p>
    <w:p w14:paraId="530DEE9C">
      <w:pPr>
        <w:autoSpaceDE w:val="0"/>
        <w:autoSpaceDN w:val="0"/>
        <w:adjustRightInd w:val="0"/>
        <w:spacing w:line="360" w:lineRule="auto"/>
        <w:rPr>
          <w:rFonts w:ascii="宋体" w:hAnsi="宋体" w:eastAsia="宋体" w:cs="Times New Roman"/>
          <w:color w:val="auto"/>
          <w:kern w:val="0"/>
          <w:sz w:val="24"/>
          <w:szCs w:val="24"/>
          <w:highlight w:val="none"/>
        </w:rPr>
      </w:pPr>
    </w:p>
    <w:p w14:paraId="0038E3C7">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69" w:name="_Toc27892"/>
      <w:bookmarkStart w:id="270" w:name="_Toc3545"/>
      <w:bookmarkStart w:id="271" w:name="_Toc24800"/>
      <w:bookmarkStart w:id="272" w:name="_Toc30555"/>
      <w:bookmarkStart w:id="273" w:name="_Toc17597"/>
      <w:bookmarkStart w:id="274" w:name="_Toc16762"/>
      <w:bookmarkStart w:id="275" w:name="_Toc28127"/>
      <w:bookmarkStart w:id="276" w:name="_Toc8644"/>
      <w:bookmarkStart w:id="277" w:name="_Toc16828"/>
      <w:bookmarkStart w:id="278" w:name="_Toc142508329"/>
      <w:bookmarkStart w:id="279" w:name="_Toc5356_WPSOffice_Level3"/>
      <w:bookmarkStart w:id="280" w:name="_Toc486167679"/>
      <w:r>
        <w:rPr>
          <w:rFonts w:hint="eastAsia" w:ascii="宋体" w:hAnsi="宋体" w:eastAsia="宋体" w:cs="宋体"/>
          <w:color w:val="auto"/>
          <w:szCs w:val="21"/>
          <w:highlight w:val="none"/>
          <w:lang w:val="zh-CN"/>
        </w:rPr>
        <w:t>15</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投标保证金</w:t>
      </w:r>
      <w:bookmarkEnd w:id="269"/>
      <w:bookmarkEnd w:id="270"/>
      <w:bookmarkEnd w:id="271"/>
      <w:bookmarkEnd w:id="272"/>
      <w:bookmarkEnd w:id="273"/>
      <w:bookmarkEnd w:id="274"/>
      <w:bookmarkEnd w:id="275"/>
      <w:bookmarkEnd w:id="276"/>
      <w:bookmarkEnd w:id="277"/>
      <w:bookmarkEnd w:id="278"/>
      <w:bookmarkEnd w:id="279"/>
      <w:bookmarkEnd w:id="280"/>
    </w:p>
    <w:p w14:paraId="2392CA3A">
      <w:pPr>
        <w:tabs>
          <w:tab w:val="left" w:pos="567"/>
        </w:tabs>
        <w:autoSpaceDE w:val="0"/>
        <w:autoSpaceDN w:val="0"/>
        <w:adjustRightInd w:val="0"/>
        <w:spacing w:line="360" w:lineRule="auto"/>
        <w:ind w:left="357" w:leftChars="-100" w:hanging="567"/>
        <w:jc w:val="left"/>
        <w:rPr>
          <w:rFonts w:ascii="宋体" w:hAnsi="宋体" w:eastAsia="宋体" w:cs="宋体"/>
          <w:color w:val="auto"/>
          <w:kern w:val="0"/>
          <w:szCs w:val="21"/>
          <w:highlight w:val="none"/>
        </w:rPr>
      </w:pPr>
      <w:r>
        <w:rPr>
          <w:rFonts w:hint="eastAsia" w:ascii="宋体" w:hAnsi="宋体" w:eastAsia="宋体" w:cs="宋体"/>
          <w:bCs/>
          <w:color w:val="auto"/>
          <w:kern w:val="0"/>
          <w:szCs w:val="21"/>
          <w:highlight w:val="none"/>
          <w:lang w:val="zh-CN"/>
        </w:rPr>
        <w:t>15.1</w:t>
      </w:r>
      <w:r>
        <w:rPr>
          <w:rFonts w:ascii="宋体" w:hAnsi="宋体" w:eastAsia="宋体" w:cs="宋体"/>
          <w:b/>
          <w:bCs/>
          <w:color w:val="auto"/>
          <w:kern w:val="0"/>
          <w:szCs w:val="21"/>
          <w:highlight w:val="none"/>
          <w:lang w:val="zh-CN"/>
        </w:rPr>
        <w:t xml:space="preserve"> </w:t>
      </w:r>
      <w:r>
        <w:rPr>
          <w:rFonts w:hint="eastAsia" w:ascii="宋体" w:hAnsi="宋体" w:eastAsia="宋体" w:cs="宋体"/>
          <w:b/>
          <w:bCs/>
          <w:color w:val="auto"/>
          <w:kern w:val="0"/>
          <w:szCs w:val="21"/>
          <w:highlight w:val="none"/>
          <w:u w:val="single"/>
          <w:lang w:val="zh-CN"/>
        </w:rPr>
        <w:t>投标人投标时须附有投标保证金756</w:t>
      </w:r>
      <w:r>
        <w:rPr>
          <w:rFonts w:hint="eastAsia" w:ascii="宋体" w:hAnsi="宋体" w:eastAsia="宋体" w:cs="宋体"/>
          <w:b/>
          <w:bCs/>
          <w:color w:val="auto"/>
          <w:kern w:val="0"/>
          <w:szCs w:val="21"/>
          <w:highlight w:val="none"/>
          <w:u w:val="single"/>
          <w:lang w:val="en-US" w:eastAsia="zh-CN"/>
        </w:rPr>
        <w:t>,000.00</w:t>
      </w:r>
      <w:r>
        <w:rPr>
          <w:rFonts w:hint="eastAsia" w:ascii="宋体" w:hAnsi="宋体" w:eastAsia="宋体" w:cs="宋体"/>
          <w:b/>
          <w:color w:val="auto"/>
          <w:kern w:val="0"/>
          <w:szCs w:val="21"/>
          <w:highlight w:val="none"/>
          <w:u w:val="single"/>
        </w:rPr>
        <w:t>元（大写：人民币</w:t>
      </w:r>
      <w:r>
        <w:rPr>
          <w:rFonts w:hint="eastAsia" w:ascii="宋体" w:hAnsi="宋体" w:eastAsia="宋体" w:cs="宋体"/>
          <w:b/>
          <w:color w:val="auto"/>
          <w:kern w:val="0"/>
          <w:szCs w:val="21"/>
          <w:highlight w:val="none"/>
          <w:u w:val="single"/>
          <w:lang w:val="en-US" w:eastAsia="zh-CN"/>
        </w:rPr>
        <w:t>柒拾伍万陆仟元整</w:t>
      </w:r>
      <w:r>
        <w:rPr>
          <w:rFonts w:hint="eastAsia" w:ascii="宋体" w:hAnsi="宋体" w:eastAsia="宋体" w:cs="宋体"/>
          <w:b/>
          <w:color w:val="auto"/>
          <w:kern w:val="0"/>
          <w:szCs w:val="21"/>
          <w:highlight w:val="none"/>
          <w:u w:val="single"/>
        </w:rPr>
        <w:t>）</w:t>
      </w:r>
      <w:r>
        <w:rPr>
          <w:rFonts w:hint="eastAsia" w:ascii="宋体" w:hAnsi="宋体" w:eastAsia="宋体" w:cs="宋体"/>
          <w:b/>
          <w:color w:val="auto"/>
          <w:kern w:val="0"/>
          <w:szCs w:val="21"/>
          <w:highlight w:val="none"/>
        </w:rPr>
        <w:t>。</w:t>
      </w:r>
    </w:p>
    <w:p w14:paraId="59807E48">
      <w:pPr>
        <w:spacing w:line="360" w:lineRule="auto"/>
        <w:ind w:left="315" w:leftChars="-100" w:hanging="525" w:hangingChars="250"/>
        <w:rPr>
          <w:rFonts w:ascii="宋体" w:hAnsi="宋体" w:eastAsia="宋体" w:cs="宋体"/>
          <w:b/>
          <w:color w:val="auto"/>
          <w:kern w:val="0"/>
          <w:szCs w:val="21"/>
          <w:highlight w:val="none"/>
        </w:rPr>
      </w:pPr>
      <w:r>
        <w:rPr>
          <w:rFonts w:hint="eastAsia" w:ascii="宋体" w:hAnsi="宋体" w:eastAsia="宋体" w:cs="宋体"/>
          <w:bCs/>
          <w:color w:val="auto"/>
          <w:kern w:val="0"/>
          <w:szCs w:val="21"/>
          <w:highlight w:val="none"/>
          <w:lang w:val="zh-CN"/>
        </w:rPr>
        <w:t xml:space="preserve">15.2 </w:t>
      </w: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rPr>
        <w:t>应按要求提交投标保证金，</w:t>
      </w:r>
      <w:r>
        <w:rPr>
          <w:rFonts w:hint="eastAsia" w:ascii="宋体" w:hAnsi="宋体" w:eastAsia="宋体" w:cs="Times New Roman"/>
          <w:b/>
          <w:color w:val="auto"/>
          <w:kern w:val="0"/>
          <w:szCs w:val="21"/>
          <w:highlight w:val="none"/>
          <w:u w:val="single"/>
        </w:rPr>
        <w:t>投标人必须通过本单位银行基本账户采用银行转账、电汇形式缴交，投标人与交款人名称必须一致，非投标人缴纳的或未通过其基本账户提交的投标保证金无效</w:t>
      </w:r>
      <w:r>
        <w:rPr>
          <w:rFonts w:hint="eastAsia" w:ascii="宋体" w:hAnsi="宋体" w:eastAsia="宋体" w:cs="宋体"/>
          <w:b/>
          <w:color w:val="auto"/>
          <w:kern w:val="0"/>
          <w:szCs w:val="21"/>
          <w:highlight w:val="none"/>
        </w:rPr>
        <w:t>。</w:t>
      </w:r>
    </w:p>
    <w:p w14:paraId="6693EF47">
      <w:pPr>
        <w:tabs>
          <w:tab w:val="left" w:pos="567"/>
        </w:tabs>
        <w:autoSpaceDE w:val="0"/>
        <w:autoSpaceDN w:val="0"/>
        <w:adjustRightInd w:val="0"/>
        <w:spacing w:line="360" w:lineRule="auto"/>
        <w:ind w:left="357" w:leftChars="-100" w:hanging="567"/>
        <w:jc w:val="left"/>
        <w:rPr>
          <w:rFonts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15.3 提交保证金时应符合下列规定：</w:t>
      </w:r>
    </w:p>
    <w:p w14:paraId="6B0F2403">
      <w:pPr>
        <w:spacing w:line="360" w:lineRule="auto"/>
        <w:ind w:firstLine="777" w:firstLineChars="37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必须通过本单位基本账户采用银行转账、电汇方式提交，且在递交投标文件截止时间前</w:t>
      </w:r>
      <w:r>
        <w:rPr>
          <w:rFonts w:hint="eastAsia" w:ascii="宋体" w:hAnsi="宋体" w:eastAsia="宋体" w:cs="Times New Roman"/>
          <w:color w:val="auto"/>
          <w:kern w:val="0"/>
          <w:szCs w:val="21"/>
          <w:highlight w:val="none"/>
        </w:rPr>
        <w:t>到达</w:t>
      </w:r>
      <w:r>
        <w:rPr>
          <w:rFonts w:hint="eastAsia" w:ascii="宋体" w:hAnsi="宋体" w:eastAsia="宋体" w:cs="宋体"/>
          <w:color w:val="auto"/>
          <w:kern w:val="0"/>
          <w:szCs w:val="21"/>
          <w:highlight w:val="none"/>
        </w:rPr>
        <w:t>以下账户上。</w:t>
      </w:r>
    </w:p>
    <w:p w14:paraId="0580B843">
      <w:pPr>
        <w:autoSpaceDE w:val="0"/>
        <w:autoSpaceDN w:val="0"/>
        <w:adjustRightInd w:val="0"/>
        <w:spacing w:line="360" w:lineRule="auto"/>
        <w:ind w:left="225" w:leftChars="107" w:firstLine="489" w:firstLineChars="233"/>
        <w:jc w:val="left"/>
        <w:rPr>
          <w:rFonts w:ascii="宋体" w:hAnsi="宋体" w:eastAsia="宋体" w:cs="Times New Roman"/>
          <w:color w:val="auto"/>
          <w:kern w:val="0"/>
          <w:szCs w:val="21"/>
          <w:highlight w:val="none"/>
          <w:lang w:val="zh-CN"/>
        </w:rPr>
      </w:pPr>
      <w:r>
        <w:rPr>
          <w:rFonts w:hint="eastAsia" w:ascii="宋体" w:hAnsi="宋体" w:eastAsia="宋体" w:cs="Times New Roman"/>
          <w:color w:val="auto"/>
          <w:kern w:val="0"/>
          <w:szCs w:val="21"/>
          <w:highlight w:val="none"/>
          <w:lang w:val="zh-CN"/>
        </w:rPr>
        <w:t>开户名称：</w:t>
      </w:r>
      <w:r>
        <w:rPr>
          <w:rFonts w:hint="eastAsia" w:ascii="宋体" w:hAnsi="宋体" w:eastAsia="宋体" w:cs="Times New Roman"/>
          <w:b/>
          <w:bCs/>
          <w:color w:val="auto"/>
          <w:kern w:val="0"/>
          <w:szCs w:val="21"/>
          <w:highlight w:val="none"/>
        </w:rPr>
        <w:t>东莞市樟村水质净化有限公司</w:t>
      </w:r>
    </w:p>
    <w:p w14:paraId="36AE7018">
      <w:pPr>
        <w:autoSpaceDE w:val="0"/>
        <w:autoSpaceDN w:val="0"/>
        <w:adjustRightInd w:val="0"/>
        <w:spacing w:line="360" w:lineRule="auto"/>
        <w:ind w:left="225" w:leftChars="107" w:firstLine="489" w:firstLineChars="233"/>
        <w:jc w:val="left"/>
        <w:rPr>
          <w:rFonts w:ascii="宋体" w:hAnsi="宋体" w:eastAsia="宋体" w:cs="Times New Roman"/>
          <w:b/>
          <w:bCs/>
          <w:color w:val="auto"/>
          <w:kern w:val="0"/>
          <w:szCs w:val="21"/>
          <w:highlight w:val="none"/>
          <w:lang w:val="zh-CN"/>
        </w:rPr>
      </w:pPr>
      <w:r>
        <w:rPr>
          <w:rFonts w:hint="eastAsia" w:ascii="宋体" w:hAnsi="宋体" w:eastAsia="宋体" w:cs="Times New Roman"/>
          <w:color w:val="auto"/>
          <w:kern w:val="0"/>
          <w:szCs w:val="21"/>
          <w:highlight w:val="none"/>
          <w:lang w:val="zh-CN"/>
        </w:rPr>
        <w:t>开户银行：</w:t>
      </w:r>
      <w:r>
        <w:rPr>
          <w:rFonts w:hint="eastAsia" w:ascii="宋体" w:hAnsi="宋体" w:eastAsia="宋体" w:cs="Times New Roman"/>
          <w:b/>
          <w:bCs/>
          <w:color w:val="auto"/>
          <w:kern w:val="0"/>
          <w:szCs w:val="21"/>
          <w:highlight w:val="none"/>
          <w:lang w:val="zh-CN"/>
        </w:rPr>
        <w:t>东莞银行股份有限公司东莞分行营业部</w:t>
      </w:r>
    </w:p>
    <w:p w14:paraId="3FA38F33">
      <w:pPr>
        <w:autoSpaceDE w:val="0"/>
        <w:autoSpaceDN w:val="0"/>
        <w:adjustRightInd w:val="0"/>
        <w:spacing w:line="360" w:lineRule="auto"/>
        <w:ind w:left="225" w:leftChars="107" w:firstLine="489" w:firstLineChars="233"/>
        <w:jc w:val="left"/>
        <w:rPr>
          <w:rFonts w:ascii="宋体" w:hAnsi="宋体" w:eastAsia="宋体" w:cs="Times New Roman"/>
          <w:b/>
          <w:bCs/>
          <w:color w:val="auto"/>
          <w:kern w:val="0"/>
          <w:szCs w:val="21"/>
          <w:highlight w:val="none"/>
          <w:u w:val="single"/>
        </w:rPr>
      </w:pPr>
      <w:r>
        <w:rPr>
          <w:rFonts w:hint="eastAsia" w:ascii="宋体" w:hAnsi="宋体" w:eastAsia="宋体" w:cs="Times New Roman"/>
          <w:color w:val="auto"/>
          <w:kern w:val="0"/>
          <w:szCs w:val="21"/>
          <w:highlight w:val="none"/>
          <w:lang w:val="zh-CN"/>
        </w:rPr>
        <w:t>银行账号：</w:t>
      </w:r>
      <w:r>
        <w:rPr>
          <w:rFonts w:hint="eastAsia" w:ascii="宋体" w:hAnsi="宋体" w:eastAsia="宋体" w:cs="Times New Roman"/>
          <w:b/>
          <w:bCs/>
          <w:color w:val="auto"/>
          <w:kern w:val="0"/>
          <w:szCs w:val="21"/>
          <w:highlight w:val="none"/>
          <w:u w:val="single"/>
        </w:rPr>
        <w:t>528000014812535</w:t>
      </w:r>
    </w:p>
    <w:p w14:paraId="7705C00F">
      <w:pPr>
        <w:spacing w:line="360" w:lineRule="auto"/>
        <w:ind w:left="210" w:leftChars="100" w:firstLine="211" w:firstLineChars="1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u w:val="single"/>
        </w:rPr>
        <w:t>投标保证金未按规定时间到达指定账户或提交金额不足的，将被视为无效投标保证金</w:t>
      </w:r>
      <w:r>
        <w:rPr>
          <w:rFonts w:hint="eastAsia" w:ascii="宋体" w:hAnsi="宋体" w:eastAsia="宋体" w:cs="宋体"/>
          <w:b/>
          <w:color w:val="auto"/>
          <w:kern w:val="0"/>
          <w:szCs w:val="21"/>
          <w:highlight w:val="none"/>
        </w:rPr>
        <w:t>。</w:t>
      </w:r>
    </w:p>
    <w:p w14:paraId="5625B7FB">
      <w:pPr>
        <w:autoSpaceDE w:val="0"/>
        <w:autoSpaceDN w:val="0"/>
        <w:adjustRightInd w:val="0"/>
        <w:spacing w:line="360" w:lineRule="auto"/>
        <w:ind w:left="357" w:leftChars="-100" w:hanging="567" w:hangingChars="270"/>
        <w:jc w:val="left"/>
        <w:rPr>
          <w:rFonts w:hint="eastAsia" w:ascii="宋体" w:hAnsi="宋体" w:eastAsia="宋体" w:cs="宋体"/>
          <w:b/>
          <w:color w:val="auto"/>
          <w:kern w:val="0"/>
          <w:szCs w:val="24"/>
          <w:highlight w:val="none"/>
        </w:rPr>
      </w:pPr>
      <w:r>
        <w:rPr>
          <w:rFonts w:hint="eastAsia" w:ascii="宋体" w:hAnsi="宋体" w:eastAsia="宋体" w:cs="宋体"/>
          <w:bCs/>
          <w:color w:val="auto"/>
          <w:szCs w:val="21"/>
          <w:highlight w:val="none"/>
          <w:lang w:val="zh-CN"/>
        </w:rPr>
        <w:t>15.4</w:t>
      </w:r>
      <w:r>
        <w:rPr>
          <w:rFonts w:ascii="宋体" w:hAnsi="宋体" w:eastAsia="宋体" w:cs="宋体"/>
          <w:bCs/>
          <w:color w:val="auto"/>
          <w:szCs w:val="21"/>
          <w:highlight w:val="none"/>
          <w:lang w:val="zh-CN"/>
        </w:rPr>
        <w:t xml:space="preserve"> </w:t>
      </w:r>
      <w:r>
        <w:rPr>
          <w:rFonts w:hint="eastAsia" w:ascii="宋体" w:hAnsi="宋体" w:eastAsia="宋体" w:cs="宋体"/>
          <w:b/>
          <w:color w:val="auto"/>
          <w:kern w:val="0"/>
          <w:szCs w:val="24"/>
          <w:highlight w:val="none"/>
          <w:u w:val="single"/>
        </w:rPr>
        <w:t>任何未按第15.1款、第15.2款、第15.3款规定提交投标保证金的投标，将被视为无效投标</w:t>
      </w:r>
      <w:r>
        <w:rPr>
          <w:rFonts w:hint="eastAsia" w:ascii="宋体" w:hAnsi="宋体" w:eastAsia="宋体" w:cs="宋体"/>
          <w:b/>
          <w:color w:val="auto"/>
          <w:kern w:val="0"/>
          <w:szCs w:val="24"/>
          <w:highlight w:val="none"/>
        </w:rPr>
        <w:t>。</w:t>
      </w:r>
    </w:p>
    <w:p w14:paraId="69CE6BB3">
      <w:pPr>
        <w:pStyle w:val="15"/>
        <w:ind w:left="315" w:leftChars="150"/>
        <w:rPr>
          <w:color w:val="auto"/>
          <w:highlight w:val="none"/>
        </w:rPr>
      </w:pPr>
      <w:r>
        <w:rPr>
          <w:rFonts w:hint="eastAsia" w:ascii="宋体" w:hAnsi="宋体" w:eastAsia="宋体" w:cs="宋体"/>
          <w:b/>
          <w:bCs w:val="0"/>
          <w:snapToGrid/>
          <w:color w:val="auto"/>
          <w:szCs w:val="24"/>
          <w:highlight w:val="none"/>
          <w:u w:val="single"/>
        </w:rPr>
        <w:t>为更快捷将投标保证金关联到本项目，投标人应在转账时注明招标编号，否则因此导致的无法识别投标保证金对应项目等不利后果将由投标人承担。</w:t>
      </w:r>
    </w:p>
    <w:p w14:paraId="3C3F1413">
      <w:pPr>
        <w:spacing w:line="360" w:lineRule="auto"/>
        <w:ind w:left="315" w:leftChars="-100" w:hanging="525" w:hangingChars="250"/>
        <w:rPr>
          <w:rFonts w:ascii="宋体" w:hAnsi="宋体" w:eastAsia="宋体" w:cs="宋体"/>
          <w:color w:val="auto"/>
          <w:kern w:val="0"/>
          <w:szCs w:val="21"/>
          <w:highlight w:val="none"/>
        </w:rPr>
      </w:pPr>
      <w:r>
        <w:rPr>
          <w:rFonts w:hint="eastAsia" w:ascii="宋体" w:hAnsi="宋体" w:eastAsia="宋体" w:cs="宋体"/>
          <w:bCs/>
          <w:color w:val="auto"/>
          <w:szCs w:val="21"/>
          <w:highlight w:val="none"/>
          <w:lang w:val="zh-CN"/>
        </w:rPr>
        <w:t xml:space="preserve">15.5 </w:t>
      </w:r>
      <w:r>
        <w:rPr>
          <w:rFonts w:hint="eastAsia" w:ascii="宋体" w:hAnsi="宋体" w:eastAsia="宋体" w:cs="宋体"/>
          <w:color w:val="auto"/>
          <w:kern w:val="0"/>
          <w:szCs w:val="21"/>
          <w:highlight w:val="none"/>
        </w:rPr>
        <w:t>未</w:t>
      </w:r>
      <w:r>
        <w:rPr>
          <w:rFonts w:hint="eastAsia" w:ascii="宋体" w:hAnsi="宋体" w:eastAsia="宋体" w:cs="宋体"/>
          <w:color w:val="auto"/>
          <w:szCs w:val="21"/>
          <w:highlight w:val="none"/>
          <w:lang w:val="zh-CN"/>
        </w:rPr>
        <w:t>中标</w:t>
      </w:r>
      <w:r>
        <w:rPr>
          <w:rFonts w:hint="eastAsia" w:ascii="宋体" w:hAnsi="宋体" w:eastAsia="宋体" w:cs="宋体"/>
          <w:color w:val="auto"/>
          <w:kern w:val="0"/>
          <w:szCs w:val="21"/>
          <w:highlight w:val="none"/>
        </w:rPr>
        <w:t>的投标人的投标保证金，最迟应</w:t>
      </w:r>
      <w:r>
        <w:rPr>
          <w:rFonts w:hint="eastAsia" w:ascii="宋体" w:hAnsi="宋体" w:eastAsia="宋体" w:cs="宋体"/>
          <w:color w:val="auto"/>
          <w:kern w:val="0"/>
          <w:szCs w:val="21"/>
          <w:highlight w:val="none"/>
          <w:lang w:eastAsia="zh-CN"/>
        </w:rPr>
        <w:t>在本项目的书面合同签订后5日内</w:t>
      </w:r>
      <w:r>
        <w:rPr>
          <w:rFonts w:hint="eastAsia" w:ascii="宋体" w:hAnsi="宋体" w:eastAsia="宋体" w:cs="宋体"/>
          <w:color w:val="auto"/>
          <w:kern w:val="0"/>
          <w:szCs w:val="21"/>
          <w:highlight w:val="none"/>
        </w:rPr>
        <w:t>，按照其投标保证金支付凭证上注明的收款人名称和账号予以退还，除非</w:t>
      </w:r>
      <w:r>
        <w:rPr>
          <w:rFonts w:hint="eastAsia" w:ascii="宋体" w:hAnsi="宋体" w:eastAsia="宋体" w:cs="Times New Roman"/>
          <w:color w:val="auto"/>
          <w:kern w:val="0"/>
          <w:szCs w:val="21"/>
          <w:highlight w:val="none"/>
        </w:rPr>
        <w:t>投标保证金</w:t>
      </w:r>
      <w:r>
        <w:rPr>
          <w:rFonts w:hint="eastAsia" w:ascii="宋体" w:hAnsi="宋体" w:eastAsia="宋体" w:cs="宋体"/>
          <w:color w:val="auto"/>
          <w:kern w:val="0"/>
          <w:szCs w:val="21"/>
          <w:highlight w:val="none"/>
        </w:rPr>
        <w:t>有效期已延长。</w:t>
      </w:r>
    </w:p>
    <w:p w14:paraId="2F74AB42">
      <w:pPr>
        <w:spacing w:line="360" w:lineRule="auto"/>
        <w:ind w:left="357" w:leftChars="-100" w:hanging="567" w:hangingChars="270"/>
        <w:rPr>
          <w:rFonts w:ascii="宋体" w:hAnsi="宋体" w:eastAsia="宋体" w:cs="宋体"/>
          <w:color w:val="auto"/>
          <w:kern w:val="0"/>
          <w:szCs w:val="21"/>
          <w:highlight w:val="none"/>
        </w:rPr>
      </w:pPr>
      <w:r>
        <w:rPr>
          <w:rFonts w:hint="eastAsia" w:ascii="宋体" w:hAnsi="宋体" w:eastAsia="宋体" w:cs="宋体"/>
          <w:bCs/>
          <w:color w:val="auto"/>
          <w:szCs w:val="21"/>
          <w:highlight w:val="none"/>
          <w:lang w:val="zh-CN"/>
        </w:rPr>
        <w:t xml:space="preserve">15.6 </w:t>
      </w:r>
      <w:r>
        <w:rPr>
          <w:rFonts w:hint="eastAsia" w:ascii="宋体" w:hAnsi="宋体" w:eastAsia="宋体" w:cs="宋体"/>
          <w:color w:val="auto"/>
          <w:kern w:val="0"/>
          <w:szCs w:val="21"/>
          <w:highlight w:val="none"/>
        </w:rPr>
        <w:t>中标人的投标保证金，满足下列要求，并最迟应在合同签订后的5日内退还。</w:t>
      </w:r>
    </w:p>
    <w:p w14:paraId="5216E552">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（1）中标</w:t>
      </w:r>
      <w:r>
        <w:rPr>
          <w:rFonts w:hint="eastAsia" w:ascii="宋体" w:hAnsi="宋体" w:eastAsia="宋体" w:cs="宋体"/>
          <w:color w:val="auto"/>
          <w:szCs w:val="21"/>
          <w:highlight w:val="none"/>
          <w:lang w:val="zh-CN"/>
        </w:rPr>
        <w:t>人提交了履约担保；</w:t>
      </w:r>
    </w:p>
    <w:p w14:paraId="0C0F66CB">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（2）在投标过程中</w:t>
      </w:r>
      <w:r>
        <w:rPr>
          <w:rFonts w:hint="eastAsia" w:ascii="宋体" w:hAnsi="宋体" w:eastAsia="宋体" w:cs="宋体"/>
          <w:color w:val="auto"/>
          <w:kern w:val="0"/>
          <w:szCs w:val="21"/>
          <w:highlight w:val="none"/>
        </w:rPr>
        <w:t>不存在违反本招标文件或《中华人民共和国招标投标法》及其实施条例等规定的行为。</w:t>
      </w:r>
    </w:p>
    <w:p w14:paraId="5B0BDDB6">
      <w:pPr>
        <w:spacing w:line="360" w:lineRule="auto"/>
        <w:ind w:left="315" w:leftChars="-100" w:hanging="525" w:hangingChars="250"/>
        <w:rPr>
          <w:rFonts w:ascii="宋体" w:hAnsi="宋体" w:eastAsia="宋体" w:cs="宋体"/>
          <w:b/>
          <w:bCs/>
          <w:color w:val="auto"/>
          <w:kern w:val="0"/>
          <w:szCs w:val="20"/>
          <w:highlight w:val="none"/>
        </w:rPr>
      </w:pPr>
      <w:r>
        <w:rPr>
          <w:rFonts w:hint="eastAsia" w:ascii="宋体" w:hAnsi="宋体" w:eastAsia="宋体" w:cs="宋体"/>
          <w:bCs/>
          <w:color w:val="auto"/>
          <w:szCs w:val="21"/>
          <w:highlight w:val="none"/>
          <w:lang w:val="zh-CN"/>
        </w:rPr>
        <w:t xml:space="preserve">15.7 </w:t>
      </w:r>
      <w:r>
        <w:rPr>
          <w:rFonts w:hint="eastAsia" w:ascii="宋体" w:hAnsi="宋体" w:eastAsia="宋体" w:cs="宋体"/>
          <w:color w:val="auto"/>
          <w:kern w:val="0"/>
          <w:szCs w:val="20"/>
          <w:highlight w:val="none"/>
        </w:rPr>
        <w:t>若</w:t>
      </w:r>
      <w:r>
        <w:rPr>
          <w:rFonts w:hint="eastAsia" w:ascii="宋体" w:hAnsi="宋体" w:eastAsia="宋体" w:cs="宋体"/>
          <w:color w:val="auto"/>
          <w:szCs w:val="21"/>
          <w:highlight w:val="none"/>
          <w:lang w:val="zh-CN"/>
        </w:rPr>
        <w:t>发生</w:t>
      </w:r>
      <w:r>
        <w:rPr>
          <w:rFonts w:hint="eastAsia" w:ascii="宋体" w:hAnsi="宋体" w:eastAsia="宋体" w:cs="宋体"/>
          <w:color w:val="auto"/>
          <w:kern w:val="0"/>
          <w:szCs w:val="20"/>
          <w:highlight w:val="none"/>
        </w:rPr>
        <w:t>下列情况，招标人在书面通知投标人（或中标人）后有权不予退还投标保证金：</w:t>
      </w:r>
    </w:p>
    <w:p w14:paraId="7F28C50A">
      <w:pPr>
        <w:numPr>
          <w:ilvl w:val="2"/>
          <w:numId w:val="0"/>
        </w:numPr>
        <w:autoSpaceDE w:val="0"/>
        <w:autoSpaceDN w:val="0"/>
        <w:adjustRightInd w:val="0"/>
        <w:spacing w:line="360" w:lineRule="auto"/>
        <w:ind w:left="853" w:leftChars="136" w:hanging="567"/>
        <w:jc w:val="left"/>
        <w:rPr>
          <w:rFonts w:ascii="宋体" w:hAnsi="宋体" w:eastAsia="宋体" w:cs="宋体"/>
          <w:color w:val="auto"/>
          <w:kern w:val="0"/>
          <w:szCs w:val="24"/>
          <w:highlight w:val="none"/>
        </w:rPr>
      </w:pPr>
      <w:r>
        <w:rPr>
          <w:rFonts w:hint="eastAsia" w:ascii="宋体" w:hAnsi="宋体" w:eastAsia="宋体" w:cs="宋体"/>
          <w:color w:val="auto"/>
          <w:kern w:val="0"/>
          <w:szCs w:val="24"/>
          <w:highlight w:val="none"/>
        </w:rPr>
        <w:t>如果投标人（或中标人）：</w:t>
      </w:r>
    </w:p>
    <w:p w14:paraId="5ECF6860">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（1）投标</w:t>
      </w:r>
      <w:r>
        <w:rPr>
          <w:rFonts w:hint="eastAsia" w:ascii="宋体" w:hAnsi="宋体" w:eastAsia="宋体" w:cs="宋体"/>
          <w:color w:val="auto"/>
          <w:szCs w:val="21"/>
          <w:highlight w:val="none"/>
          <w:lang w:val="zh-CN"/>
        </w:rPr>
        <w:t>人在规定的投标截止时间后至投标有效期满之前撤销或修改其投标文件；</w:t>
      </w:r>
    </w:p>
    <w:p w14:paraId="0E2AF2B8">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（2）中标人未能在规定期限内提交履约担保；</w:t>
      </w:r>
    </w:p>
    <w:p w14:paraId="09818C4C">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（3）未根据第34条规定签署合同；</w:t>
      </w:r>
    </w:p>
    <w:p w14:paraId="44284BAD">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ascii="宋体" w:hAnsi="宋体" w:eastAsia="宋体" w:cs="宋体"/>
          <w:color w:val="auto"/>
          <w:szCs w:val="21"/>
          <w:highlight w:val="none"/>
          <w:lang w:val="zh-CN"/>
        </w:rPr>
        <w:t>4</w:t>
      </w:r>
      <w:r>
        <w:rPr>
          <w:rFonts w:hint="eastAsia" w:ascii="宋体" w:hAnsi="宋体" w:eastAsia="宋体" w:cs="宋体"/>
          <w:color w:val="auto"/>
          <w:szCs w:val="21"/>
          <w:highlight w:val="none"/>
          <w:lang w:val="zh-CN"/>
        </w:rPr>
        <w:t>）将中标项目转让给他人，或者在投标文件中未说明，且未经招标人同意，将中标项目的合同</w:t>
      </w:r>
      <w:r>
        <w:rPr>
          <w:rFonts w:ascii="宋体" w:hAnsi="宋体" w:eastAsia="宋体" w:cs="宋体"/>
          <w:color w:val="auto"/>
          <w:szCs w:val="21"/>
          <w:highlight w:val="none"/>
          <w:lang w:val="zh-CN"/>
        </w:rPr>
        <w:t>的权利义务转让</w:t>
      </w:r>
      <w:r>
        <w:rPr>
          <w:rFonts w:hint="eastAsia" w:ascii="宋体" w:hAnsi="宋体" w:eastAsia="宋体" w:cs="宋体"/>
          <w:color w:val="auto"/>
          <w:szCs w:val="21"/>
          <w:highlight w:val="none"/>
          <w:lang w:val="zh-CN"/>
        </w:rPr>
        <w:t>给第三</w:t>
      </w:r>
      <w:r>
        <w:rPr>
          <w:rFonts w:ascii="宋体" w:hAnsi="宋体" w:eastAsia="宋体" w:cs="宋体"/>
          <w:color w:val="auto"/>
          <w:szCs w:val="21"/>
          <w:highlight w:val="none"/>
          <w:lang w:val="zh-CN"/>
        </w:rPr>
        <w:t>方</w:t>
      </w:r>
      <w:r>
        <w:rPr>
          <w:rFonts w:hint="eastAsia" w:ascii="宋体" w:hAnsi="宋体" w:eastAsia="宋体" w:cs="宋体"/>
          <w:color w:val="auto"/>
          <w:szCs w:val="21"/>
          <w:highlight w:val="none"/>
          <w:lang w:val="zh-CN"/>
        </w:rPr>
        <w:t>的；</w:t>
      </w:r>
    </w:p>
    <w:p w14:paraId="2B797DFD">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w:t>
      </w:r>
      <w:r>
        <w:rPr>
          <w:rFonts w:ascii="宋体" w:hAnsi="宋体" w:eastAsia="宋体" w:cs="宋体"/>
          <w:color w:val="auto"/>
          <w:szCs w:val="21"/>
          <w:highlight w:val="none"/>
          <w:lang w:val="zh-CN"/>
        </w:rPr>
        <w:t>5</w:t>
      </w:r>
      <w:r>
        <w:rPr>
          <w:rFonts w:hint="eastAsia" w:ascii="宋体" w:hAnsi="宋体" w:eastAsia="宋体" w:cs="宋体"/>
          <w:color w:val="auto"/>
          <w:szCs w:val="21"/>
          <w:highlight w:val="none"/>
          <w:lang w:val="zh-CN"/>
        </w:rPr>
        <w:t>）提供虚假投标文</w:t>
      </w:r>
      <w:r>
        <w:rPr>
          <w:rFonts w:hint="eastAsia" w:ascii="宋体" w:hAnsi="宋体" w:eastAsia="宋体" w:cs="宋体"/>
          <w:color w:val="auto"/>
          <w:kern w:val="0"/>
          <w:szCs w:val="21"/>
          <w:highlight w:val="none"/>
        </w:rPr>
        <w:t>件或虚假补充文件的，或违反《中华人民共和国招标投标法》等有关法律、法规、规章及招标投标相关规定的行为。</w:t>
      </w:r>
    </w:p>
    <w:p w14:paraId="4FEC9536">
      <w:pPr>
        <w:tabs>
          <w:tab w:val="left" w:pos="1134"/>
        </w:tabs>
        <w:autoSpaceDE w:val="0"/>
        <w:autoSpaceDN w:val="0"/>
        <w:adjustRightInd w:val="0"/>
        <w:spacing w:line="360" w:lineRule="auto"/>
        <w:ind w:left="840" w:leftChars="150" w:hanging="525" w:hangingChars="250"/>
        <w:jc w:val="left"/>
        <w:rPr>
          <w:rFonts w:ascii="宋体" w:hAnsi="宋体" w:eastAsia="宋体" w:cs="宋体"/>
          <w:color w:val="auto"/>
          <w:kern w:val="0"/>
          <w:szCs w:val="21"/>
          <w:highlight w:val="none"/>
        </w:rPr>
      </w:pPr>
    </w:p>
    <w:p w14:paraId="21FB719D">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81" w:name="_Toc450662865"/>
      <w:bookmarkStart w:id="282" w:name="_Toc486167680"/>
      <w:bookmarkStart w:id="283" w:name="_Toc4396"/>
      <w:bookmarkStart w:id="284" w:name="_Toc13999"/>
      <w:bookmarkStart w:id="285" w:name="_Toc1458"/>
      <w:bookmarkStart w:id="286" w:name="_Toc2284"/>
      <w:bookmarkStart w:id="287" w:name="_Toc29607"/>
      <w:bookmarkStart w:id="288" w:name="_Toc17072"/>
      <w:bookmarkStart w:id="289" w:name="_Toc19349"/>
      <w:bookmarkStart w:id="290" w:name="_Toc23267"/>
      <w:bookmarkStart w:id="291" w:name="_Toc7269"/>
      <w:bookmarkStart w:id="292" w:name="_Toc22649_WPSOffice_Level3"/>
      <w:bookmarkStart w:id="293" w:name="_Toc142508330"/>
      <w:r>
        <w:rPr>
          <w:rFonts w:hint="eastAsia" w:ascii="宋体" w:hAnsi="宋体" w:eastAsia="宋体" w:cs="宋体"/>
          <w:color w:val="auto"/>
          <w:szCs w:val="21"/>
          <w:highlight w:val="none"/>
          <w:lang w:val="zh-CN"/>
        </w:rPr>
        <w:t>16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投标有效期</w:t>
      </w:r>
      <w:bookmarkEnd w:id="281"/>
      <w:bookmarkEnd w:id="282"/>
      <w:bookmarkEnd w:id="283"/>
      <w:bookmarkEnd w:id="284"/>
      <w:bookmarkEnd w:id="285"/>
      <w:bookmarkEnd w:id="286"/>
      <w:bookmarkEnd w:id="287"/>
      <w:bookmarkEnd w:id="288"/>
      <w:bookmarkEnd w:id="289"/>
      <w:bookmarkEnd w:id="290"/>
      <w:bookmarkEnd w:id="291"/>
      <w:bookmarkEnd w:id="292"/>
      <w:bookmarkEnd w:id="293"/>
    </w:p>
    <w:p w14:paraId="333AF5C4">
      <w:pPr>
        <w:tabs>
          <w:tab w:val="left" w:pos="567"/>
        </w:tabs>
        <w:autoSpaceDE w:val="0"/>
        <w:autoSpaceDN w:val="0"/>
        <w:adjustRightInd w:val="0"/>
        <w:spacing w:line="360" w:lineRule="auto"/>
        <w:ind w:left="357" w:leftChars="-100" w:hanging="567"/>
        <w:rPr>
          <w:rFonts w:ascii="宋体" w:hAnsi="宋体" w:eastAsia="宋体" w:cs="宋体"/>
          <w:b/>
          <w:bCs/>
          <w:color w:val="auto"/>
          <w:szCs w:val="21"/>
          <w:highlight w:val="none"/>
          <w:lang w:val="zh-CN"/>
        </w:rPr>
      </w:pPr>
      <w:r>
        <w:rPr>
          <w:rFonts w:hint="eastAsia" w:ascii="宋体" w:hAnsi="宋体" w:eastAsia="宋体" w:cs="宋体"/>
          <w:color w:val="auto"/>
          <w:szCs w:val="21"/>
          <w:highlight w:val="none"/>
          <w:lang w:val="zh-CN"/>
        </w:rPr>
        <w:t>16.1</w:t>
      </w:r>
      <w:r>
        <w:rPr>
          <w:rFonts w:hint="eastAsia" w:ascii="宋体" w:hAnsi="宋体" w:eastAsia="宋体" w:cs="宋体"/>
          <w:color w:val="auto"/>
          <w:szCs w:val="21"/>
          <w:highlight w:val="none"/>
          <w:lang w:val="zh-CN"/>
        </w:rPr>
        <w:tab/>
      </w:r>
      <w:r>
        <w:rPr>
          <w:rFonts w:hint="eastAsia" w:ascii="宋体" w:hAnsi="宋体" w:eastAsia="宋体" w:cs="宋体"/>
          <w:b/>
          <w:bCs/>
          <w:color w:val="auto"/>
          <w:szCs w:val="21"/>
          <w:highlight w:val="none"/>
          <w:u w:val="single"/>
          <w:lang w:val="zh-CN"/>
        </w:rPr>
        <w:t>投标文件将在递交投标文件截止时间届满后90日内有效。投标有效期比规定时间短的按无效投标文件处理</w:t>
      </w:r>
      <w:r>
        <w:rPr>
          <w:rFonts w:hint="eastAsia" w:ascii="宋体" w:hAnsi="宋体" w:eastAsia="宋体" w:cs="宋体"/>
          <w:b/>
          <w:bCs/>
          <w:color w:val="auto"/>
          <w:szCs w:val="21"/>
          <w:highlight w:val="none"/>
          <w:lang w:val="zh-CN"/>
        </w:rPr>
        <w:t>。</w:t>
      </w:r>
    </w:p>
    <w:p w14:paraId="4FC20E2D">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16.2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中标人的投标文件作为合同附件，合同失效时同时失效。</w:t>
      </w:r>
    </w:p>
    <w:p w14:paraId="5063B424">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16.3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在特殊情况下，招标代理机构可于投标有效期满之前要求投标人同意延长投标有效期。要求与答复均应为书面形式往来。投标人可以拒绝上述要求</w:t>
      </w:r>
      <w:r>
        <w:rPr>
          <w:rFonts w:hint="eastAsia" w:ascii="宋体" w:hAnsi="宋体" w:eastAsia="宋体" w:cs="Times New Roman"/>
          <w:color w:val="auto"/>
          <w:szCs w:val="21"/>
          <w:highlight w:val="none"/>
          <w:lang w:val="zh-CN"/>
        </w:rPr>
        <w:t>，招标</w:t>
      </w:r>
      <w:r>
        <w:rPr>
          <w:rFonts w:hint="eastAsia" w:ascii="宋体" w:hAnsi="宋体" w:eastAsia="宋体" w:cs="Times New Roman"/>
          <w:color w:val="auto"/>
          <w:szCs w:val="21"/>
          <w:highlight w:val="none"/>
          <w:lang w:val="en-US" w:eastAsia="zh-CN"/>
        </w:rPr>
        <w:t>人</w:t>
      </w:r>
      <w:r>
        <w:rPr>
          <w:rFonts w:hint="eastAsia" w:ascii="宋体" w:hAnsi="宋体" w:eastAsia="宋体" w:cs="Times New Roman"/>
          <w:color w:val="auto"/>
          <w:szCs w:val="21"/>
          <w:highlight w:val="none"/>
          <w:lang w:val="zh-CN"/>
        </w:rPr>
        <w:t>将退还</w:t>
      </w:r>
      <w:r>
        <w:rPr>
          <w:rFonts w:hint="eastAsia" w:ascii="宋体" w:hAnsi="宋体" w:eastAsia="宋体" w:cs="宋体"/>
          <w:color w:val="auto"/>
          <w:szCs w:val="21"/>
          <w:highlight w:val="none"/>
          <w:lang w:val="zh-CN"/>
        </w:rPr>
        <w:t>其投标保证金。对于同意该要求的投标人，既不要求也不允许其修改投标文件，但将要求其相应延长投标保证金的有效期。第15条投标保证金的有关规定在投标保证金延长期内仍适用。</w:t>
      </w:r>
    </w:p>
    <w:p w14:paraId="490E310C">
      <w:pPr>
        <w:autoSpaceDE w:val="0"/>
        <w:autoSpaceDN w:val="0"/>
        <w:adjustRightInd w:val="0"/>
        <w:spacing w:line="360" w:lineRule="auto"/>
        <w:ind w:left="357" w:leftChars="-100" w:hanging="567"/>
        <w:rPr>
          <w:rFonts w:ascii="宋体" w:hAnsi="宋体" w:eastAsia="宋体" w:cs="宋体"/>
          <w:color w:val="auto"/>
          <w:szCs w:val="21"/>
          <w:highlight w:val="none"/>
          <w:lang w:val="zh-CN"/>
        </w:rPr>
      </w:pPr>
    </w:p>
    <w:p w14:paraId="76ED7D29">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94" w:name="_Toc15544"/>
      <w:bookmarkStart w:id="295" w:name="_Toc20422"/>
      <w:bookmarkStart w:id="296" w:name="_Toc450662866"/>
      <w:bookmarkStart w:id="297" w:name="_Toc25004"/>
      <w:bookmarkStart w:id="298" w:name="_Toc13982"/>
      <w:bookmarkStart w:id="299" w:name="_Toc25637_WPSOffice_Level3"/>
      <w:bookmarkStart w:id="300" w:name="_Toc25123"/>
      <w:bookmarkStart w:id="301" w:name="_Toc28454"/>
      <w:bookmarkStart w:id="302" w:name="_Toc8063"/>
      <w:bookmarkStart w:id="303" w:name="_Toc142508331"/>
      <w:bookmarkStart w:id="304" w:name="_Toc8997"/>
      <w:bookmarkStart w:id="305" w:name="_Toc486167681"/>
      <w:bookmarkStart w:id="306" w:name="_Toc932"/>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投标文件的式样和签署</w:t>
      </w:r>
      <w:bookmarkEnd w:id="294"/>
      <w:bookmarkEnd w:id="295"/>
      <w:bookmarkEnd w:id="296"/>
      <w:bookmarkEnd w:id="297"/>
      <w:bookmarkEnd w:id="298"/>
      <w:bookmarkEnd w:id="299"/>
      <w:bookmarkEnd w:id="300"/>
      <w:bookmarkEnd w:id="301"/>
      <w:bookmarkEnd w:id="302"/>
      <w:bookmarkEnd w:id="303"/>
      <w:bookmarkEnd w:id="304"/>
      <w:bookmarkEnd w:id="305"/>
      <w:bookmarkEnd w:id="306"/>
    </w:p>
    <w:p w14:paraId="28C478A3">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17.1</w:t>
      </w:r>
      <w:r>
        <w:rPr>
          <w:rFonts w:hint="eastAsia" w:ascii="宋体" w:hAnsi="宋体" w:eastAsia="宋体" w:cs="宋体"/>
          <w:color w:val="auto"/>
          <w:szCs w:val="21"/>
          <w:highlight w:val="none"/>
          <w:lang w:val="zh-CN"/>
        </w:rPr>
        <w:tab/>
      </w:r>
      <w:r>
        <w:rPr>
          <w:rFonts w:hint="eastAsia" w:ascii="宋体" w:hAnsi="宋体" w:eastAsia="宋体" w:cs="宋体"/>
          <w:b/>
          <w:color w:val="auto"/>
          <w:szCs w:val="21"/>
          <w:highlight w:val="none"/>
          <w:u w:val="single"/>
          <w:lang w:val="zh-CN"/>
        </w:rPr>
        <w:t>投标人应准备一份“唱标信封”、</w:t>
      </w:r>
      <w:r>
        <w:rPr>
          <w:rFonts w:hint="eastAsia" w:ascii="宋体" w:hAnsi="宋体" w:eastAsia="宋体" w:cs="Times New Roman"/>
          <w:b/>
          <w:color w:val="auto"/>
          <w:szCs w:val="21"/>
          <w:highlight w:val="none"/>
          <w:u w:val="single"/>
          <w:lang w:val="zh-CN"/>
        </w:rPr>
        <w:t>一份投标文件电子文件、</w:t>
      </w:r>
      <w:r>
        <w:rPr>
          <w:rFonts w:hint="eastAsia" w:ascii="宋体" w:hAnsi="宋体" w:eastAsia="宋体" w:cs="宋体"/>
          <w:b/>
          <w:color w:val="auto"/>
          <w:szCs w:val="21"/>
          <w:highlight w:val="none"/>
          <w:u w:val="single"/>
          <w:lang w:val="zh-CN"/>
        </w:rPr>
        <w:t>一份正本和七份副本“投标文件”</w:t>
      </w:r>
      <w:r>
        <w:rPr>
          <w:rFonts w:hint="eastAsia" w:ascii="宋体" w:hAnsi="宋体" w:eastAsia="宋体" w:cs="宋体"/>
          <w:color w:val="auto"/>
          <w:szCs w:val="21"/>
          <w:highlight w:val="none"/>
          <w:lang w:val="zh-CN"/>
        </w:rPr>
        <w:t>，</w:t>
      </w:r>
      <w:r>
        <w:rPr>
          <w:rFonts w:hint="eastAsia" w:ascii="宋体" w:hAnsi="宋体" w:eastAsia="宋体" w:cs="Times New Roman"/>
          <w:color w:val="auto"/>
          <w:szCs w:val="21"/>
          <w:highlight w:val="none"/>
          <w:lang w:val="zh-CN"/>
        </w:rPr>
        <w:t>在每一份投标文件上编上目录（目录内的页码必须与实际内容对应）、页次，装订成册（不允许使用活页夹），并要明确注明“正本”或“副本”，一旦正本和副本发现差异，以正本为准</w:t>
      </w:r>
      <w:r>
        <w:rPr>
          <w:rFonts w:hint="eastAsia" w:ascii="宋体" w:hAnsi="宋体" w:eastAsia="宋体" w:cs="宋体"/>
          <w:color w:val="auto"/>
          <w:szCs w:val="21"/>
          <w:highlight w:val="none"/>
          <w:lang w:val="zh-CN"/>
        </w:rPr>
        <w:t>。</w:t>
      </w:r>
    </w:p>
    <w:p w14:paraId="20E26709">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17.2</w:t>
      </w:r>
      <w:r>
        <w:rPr>
          <w:rFonts w:hint="eastAsia" w:ascii="宋体" w:hAnsi="宋体" w:eastAsia="宋体" w:cs="宋体"/>
          <w:color w:val="auto"/>
          <w:szCs w:val="21"/>
          <w:highlight w:val="none"/>
          <w:lang w:val="zh-CN"/>
        </w:rPr>
        <w:tab/>
      </w:r>
      <w:r>
        <w:rPr>
          <w:rFonts w:hint="eastAsia" w:ascii="宋体" w:hAnsi="宋体" w:eastAsia="宋体" w:cs="Times New Roman"/>
          <w:bCs/>
          <w:color w:val="auto"/>
          <w:szCs w:val="21"/>
          <w:highlight w:val="none"/>
          <w:lang w:val="zh-CN"/>
        </w:rPr>
        <w:t>投标文件正本和副本须打印或用不褪色墨水书写，招标文件提供的格式文件或投标文件中明确要求签署的，由投标人法定代表人或其授权代表签字（或盖私章），后者须将</w:t>
      </w:r>
      <w:r>
        <w:rPr>
          <w:rFonts w:ascii="宋体" w:hAnsi="宋体" w:eastAsia="宋体" w:cs="Times New Roman"/>
          <w:bCs/>
          <w:color w:val="auto"/>
          <w:szCs w:val="21"/>
          <w:highlight w:val="none"/>
          <w:lang w:val="zh-CN"/>
        </w:rPr>
        <w:t>“</w:t>
      </w:r>
      <w:r>
        <w:rPr>
          <w:rFonts w:hint="eastAsia" w:ascii="宋体" w:hAnsi="宋体" w:eastAsia="宋体" w:cs="Times New Roman"/>
          <w:bCs/>
          <w:color w:val="auto"/>
          <w:szCs w:val="21"/>
          <w:highlight w:val="none"/>
          <w:lang w:val="zh-CN"/>
        </w:rPr>
        <w:t>法人授权委托证明书</w:t>
      </w:r>
      <w:r>
        <w:rPr>
          <w:rFonts w:ascii="宋体" w:hAnsi="宋体" w:eastAsia="宋体" w:cs="Times New Roman"/>
          <w:bCs/>
          <w:color w:val="auto"/>
          <w:szCs w:val="21"/>
          <w:highlight w:val="none"/>
          <w:lang w:val="zh-CN"/>
        </w:rPr>
        <w:t>”</w:t>
      </w:r>
      <w:r>
        <w:rPr>
          <w:rFonts w:hint="eastAsia" w:ascii="宋体" w:hAnsi="宋体" w:eastAsia="宋体" w:cs="Times New Roman"/>
          <w:bCs/>
          <w:color w:val="auto"/>
          <w:szCs w:val="21"/>
          <w:highlight w:val="none"/>
          <w:lang w:val="zh-CN"/>
        </w:rPr>
        <w:t>以书面形式附在投标文件中。</w:t>
      </w:r>
      <w:r>
        <w:rPr>
          <w:rFonts w:hint="eastAsia" w:ascii="宋体" w:hAnsi="宋体" w:eastAsia="宋体" w:cs="Times New Roman"/>
          <w:color w:val="auto"/>
          <w:szCs w:val="21"/>
          <w:highlight w:val="none"/>
          <w:lang w:val="zh-CN"/>
        </w:rPr>
        <w:t>副本文件可由正本文件复印而成。</w:t>
      </w:r>
    </w:p>
    <w:p w14:paraId="4816009E">
      <w:pPr>
        <w:autoSpaceDE w:val="0"/>
        <w:autoSpaceDN w:val="0"/>
        <w:adjustRightInd w:val="0"/>
        <w:spacing w:line="360" w:lineRule="auto"/>
        <w:ind w:left="357" w:leftChars="-100" w:hanging="567"/>
        <w:rPr>
          <w:rFonts w:ascii="宋体" w:hAnsi="宋体" w:eastAsia="宋体" w:cs="宋体"/>
          <w:bCs/>
          <w:color w:val="auto"/>
          <w:szCs w:val="21"/>
          <w:highlight w:val="non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除投标人对错处作必要修改外，投标文件中不许有加行、涂抹或改写。</w:t>
      </w:r>
      <w:r>
        <w:rPr>
          <w:rFonts w:hint="eastAsia" w:ascii="宋体" w:hAnsi="宋体" w:eastAsia="宋体" w:cs="宋体"/>
          <w:bCs/>
          <w:color w:val="auto"/>
          <w:szCs w:val="21"/>
          <w:highlight w:val="none"/>
          <w:lang w:val="zh-CN"/>
        </w:rPr>
        <w:t>若有修改须由签署投标文件的人进行签字（或盖私章），并加盖投标人</w:t>
      </w:r>
      <w:r>
        <w:rPr>
          <w:rFonts w:hint="eastAsia" w:ascii="宋体" w:hAnsi="宋体" w:eastAsia="宋体" w:cs="Times New Roman"/>
          <w:bCs/>
          <w:color w:val="auto"/>
          <w:szCs w:val="21"/>
          <w:highlight w:val="none"/>
          <w:lang w:val="zh-CN"/>
        </w:rPr>
        <w:t>法人</w:t>
      </w:r>
      <w:r>
        <w:rPr>
          <w:rFonts w:hint="eastAsia" w:ascii="宋体" w:hAnsi="宋体" w:eastAsia="宋体" w:cs="宋体"/>
          <w:bCs/>
          <w:color w:val="auto"/>
          <w:szCs w:val="21"/>
          <w:highlight w:val="none"/>
          <w:lang w:val="zh-CN"/>
        </w:rPr>
        <w:t>公章。</w:t>
      </w:r>
    </w:p>
    <w:p w14:paraId="713E476F">
      <w:pPr>
        <w:autoSpaceDE w:val="0"/>
        <w:autoSpaceDN w:val="0"/>
        <w:adjustRightInd w:val="0"/>
        <w:spacing w:line="360" w:lineRule="auto"/>
        <w:ind w:left="357" w:leftChars="-100" w:hanging="567"/>
        <w:rPr>
          <w:rFonts w:ascii="宋体" w:hAnsi="宋体" w:eastAsia="宋体" w:cs="宋体"/>
          <w:b/>
          <w:bCs/>
          <w:color w:val="auto"/>
          <w:szCs w:val="21"/>
          <w:highlight w:val="none"/>
          <w:u w:val="singl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4</w:t>
      </w:r>
      <w:r>
        <w:rPr>
          <w:rFonts w:hint="eastAsia" w:ascii="宋体" w:hAnsi="宋体" w:eastAsia="宋体" w:cs="宋体"/>
          <w:color w:val="auto"/>
          <w:szCs w:val="21"/>
          <w:highlight w:val="none"/>
          <w:lang w:val="zh-CN"/>
        </w:rPr>
        <w:t xml:space="preserve">  投标文件的封面应注明“项目名称、招标编号、投标人名称、投标日期等”。</w:t>
      </w:r>
    </w:p>
    <w:p w14:paraId="2682739D">
      <w:pPr>
        <w:autoSpaceDE w:val="0"/>
        <w:autoSpaceDN w:val="0"/>
        <w:adjustRightInd w:val="0"/>
        <w:spacing w:line="360" w:lineRule="auto"/>
        <w:ind w:left="357" w:leftChars="-100" w:hanging="567"/>
        <w:rPr>
          <w:rFonts w:ascii="宋体" w:hAnsi="宋体" w:eastAsia="宋体" w:cs="宋体"/>
          <w:b/>
          <w:bCs/>
          <w:color w:val="auto"/>
          <w:szCs w:val="21"/>
          <w:highlight w:val="non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5</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电子文件内容包括：电子文件不可设置密码，用DVD或CD-R光盘或U盘储存，</w:t>
      </w:r>
      <w:r>
        <w:rPr>
          <w:rFonts w:hint="eastAsia" w:ascii="宋体" w:hAnsi="宋体" w:eastAsia="宋体" w:cs="Times New Roman"/>
          <w:color w:val="auto"/>
          <w:szCs w:val="21"/>
          <w:highlight w:val="none"/>
          <w:lang w:val="zh-CN"/>
        </w:rPr>
        <w:t>可密封于</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唱标信封</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内（若电子文件单独密封，其包装封面需注明项目名称、招标编号、投标人单位名称，并加盖投标人法人公章）</w:t>
      </w:r>
      <w:r>
        <w:rPr>
          <w:rFonts w:hint="eastAsia" w:ascii="宋体" w:hAnsi="宋体" w:eastAsia="宋体" w:cs="宋体"/>
          <w:color w:val="auto"/>
          <w:szCs w:val="21"/>
          <w:highlight w:val="none"/>
          <w:lang w:val="zh-CN"/>
        </w:rPr>
        <w:t>。</w:t>
      </w:r>
    </w:p>
    <w:p w14:paraId="4CEC3053">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6</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电报、电传、传真的投标概不接受。</w:t>
      </w:r>
    </w:p>
    <w:p w14:paraId="2463285A">
      <w:pPr>
        <w:autoSpaceDE w:val="0"/>
        <w:autoSpaceDN w:val="0"/>
        <w:adjustRightInd w:val="0"/>
        <w:jc w:val="left"/>
        <w:rPr>
          <w:rFonts w:ascii="宋体" w:hAnsi="宋体" w:eastAsia="宋体" w:cs="宋体"/>
          <w:color w:val="auto"/>
          <w:kern w:val="0"/>
          <w:sz w:val="24"/>
          <w:szCs w:val="24"/>
          <w:highlight w:val="none"/>
        </w:rPr>
      </w:pPr>
      <w:bookmarkStart w:id="307" w:name="_Toc450662867"/>
    </w:p>
    <w:p w14:paraId="0890F9BA">
      <w:pPr>
        <w:keepNext/>
        <w:keepLines/>
        <w:tabs>
          <w:tab w:val="left" w:pos="509"/>
        </w:tabs>
        <w:autoSpaceDE w:val="0"/>
        <w:autoSpaceDN w:val="0"/>
        <w:adjustRightInd w:val="0"/>
        <w:spacing w:line="360" w:lineRule="auto"/>
        <w:jc w:val="left"/>
        <w:outlineLvl w:val="0"/>
        <w:rPr>
          <w:rFonts w:ascii="宋体" w:hAnsi="宋体" w:eastAsia="宋体" w:cs="宋体"/>
          <w:color w:val="auto"/>
          <w:kern w:val="0"/>
          <w:sz w:val="24"/>
          <w:szCs w:val="24"/>
          <w:highlight w:val="none"/>
        </w:rPr>
      </w:pPr>
      <w:bookmarkStart w:id="308" w:name="_Toc29558"/>
      <w:bookmarkStart w:id="309" w:name="_Toc486167682"/>
      <w:bookmarkStart w:id="310" w:name="_Toc2227"/>
      <w:bookmarkStart w:id="311" w:name="_Toc32185"/>
      <w:bookmarkStart w:id="312" w:name="_Toc22356_WPSOffice_Level2"/>
      <w:bookmarkStart w:id="313" w:name="_Toc3352"/>
      <w:bookmarkStart w:id="314" w:name="_Toc142508332"/>
      <w:bookmarkStart w:id="315" w:name="_Toc30110"/>
      <w:bookmarkStart w:id="316" w:name="_Toc140596891"/>
      <w:bookmarkStart w:id="317" w:name="_Toc17199"/>
      <w:bookmarkStart w:id="318" w:name="_Toc11463"/>
      <w:bookmarkStart w:id="319" w:name="_Toc16145"/>
      <w:bookmarkStart w:id="320" w:name="_Toc26605"/>
      <w:r>
        <w:rPr>
          <w:rFonts w:hint="eastAsia" w:ascii="宋体" w:hAnsi="宋体" w:eastAsia="宋体" w:cs="宋体"/>
          <w:b/>
          <w:bCs/>
          <w:color w:val="auto"/>
          <w:kern w:val="44"/>
          <w:szCs w:val="21"/>
          <w:highlight w:val="none"/>
          <w:lang w:val="zh-CN"/>
        </w:rPr>
        <w:t>四、投标文件的递交</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 w14:paraId="54059976">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21" w:name="_Toc29359"/>
      <w:bookmarkStart w:id="322" w:name="_Toc29885"/>
      <w:bookmarkStart w:id="323" w:name="_Toc4649"/>
      <w:bookmarkStart w:id="324" w:name="_Toc18066"/>
      <w:bookmarkStart w:id="325" w:name="_Toc16778"/>
      <w:bookmarkStart w:id="326" w:name="_Toc29038"/>
      <w:bookmarkStart w:id="327" w:name="_Toc31551"/>
      <w:bookmarkStart w:id="328" w:name="_Toc28944"/>
      <w:bookmarkStart w:id="329" w:name="_Toc12192_WPSOffice_Level3"/>
      <w:bookmarkStart w:id="330" w:name="_Toc1239"/>
      <w:bookmarkStart w:id="331" w:name="_Toc486167683"/>
      <w:bookmarkStart w:id="332" w:name="_Toc142508333"/>
      <w:bookmarkStart w:id="333" w:name="_Toc450662868"/>
      <w:r>
        <w:rPr>
          <w:rFonts w:hint="eastAsia" w:ascii="宋体" w:hAnsi="宋体" w:eastAsia="宋体" w:cs="宋体"/>
          <w:color w:val="auto"/>
          <w:szCs w:val="21"/>
          <w:highlight w:val="none"/>
          <w:lang w:val="zh-CN"/>
        </w:rPr>
        <w:t>18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投标文件的密封和标记</w:t>
      </w:r>
      <w:bookmarkEnd w:id="321"/>
      <w:bookmarkEnd w:id="322"/>
      <w:bookmarkEnd w:id="323"/>
      <w:bookmarkEnd w:id="324"/>
      <w:bookmarkEnd w:id="325"/>
      <w:bookmarkEnd w:id="326"/>
      <w:bookmarkEnd w:id="327"/>
      <w:bookmarkEnd w:id="328"/>
      <w:bookmarkEnd w:id="329"/>
      <w:bookmarkEnd w:id="330"/>
      <w:bookmarkEnd w:id="331"/>
      <w:bookmarkEnd w:id="332"/>
      <w:bookmarkEnd w:id="333"/>
    </w:p>
    <w:p w14:paraId="4EED11C2">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投标人应将正本和副本投标文件（本处不含唱标信封</w:t>
      </w:r>
      <w:r>
        <w:rPr>
          <w:rFonts w:hint="eastAsia" w:ascii="宋体" w:hAnsi="宋体" w:eastAsia="宋体" w:cs="Times New Roman"/>
          <w:color w:val="auto"/>
          <w:szCs w:val="21"/>
          <w:highlight w:val="none"/>
          <w:lang w:val="zh-CN"/>
        </w:rPr>
        <w:t>、投标文件电子文件</w:t>
      </w:r>
      <w:r>
        <w:rPr>
          <w:rFonts w:hint="eastAsia" w:ascii="宋体" w:hAnsi="宋体" w:eastAsia="宋体" w:cs="宋体"/>
          <w:color w:val="auto"/>
          <w:szCs w:val="21"/>
          <w:highlight w:val="none"/>
          <w:lang w:val="zh-CN"/>
        </w:rPr>
        <w:t>）密封在不透明的外层封装中。</w:t>
      </w:r>
    </w:p>
    <w:p w14:paraId="55A5267C">
      <w:pPr>
        <w:autoSpaceDE w:val="0"/>
        <w:autoSpaceDN w:val="0"/>
        <w:adjustRightInd w:val="0"/>
        <w:spacing w:line="360" w:lineRule="auto"/>
        <w:ind w:left="357" w:leftChars="-100" w:hanging="567"/>
        <w:rPr>
          <w:rFonts w:ascii="宋体" w:hAnsi="宋体" w:eastAsia="宋体" w:cs="宋体"/>
          <w:b/>
          <w:bCs/>
          <w:color w:val="auto"/>
          <w:szCs w:val="21"/>
          <w:highlight w:val="none"/>
          <w:u w:val="single"/>
          <w:lang w:val="zh-CN"/>
        </w:rPr>
      </w:pPr>
      <w:r>
        <w:rPr>
          <w:rFonts w:hint="eastAsia" w:ascii="宋体" w:hAnsi="宋体" w:eastAsia="宋体" w:cs="宋体"/>
          <w:color w:val="auto"/>
          <w:szCs w:val="21"/>
          <w:highlight w:val="none"/>
          <w:lang w:val="zh-CN"/>
        </w:rPr>
        <w:t>18.2</w:t>
      </w:r>
      <w:r>
        <w:rPr>
          <w:rFonts w:hint="eastAsia" w:ascii="宋体" w:hAnsi="宋体" w:eastAsia="宋体" w:cs="宋体"/>
          <w:color w:val="auto"/>
          <w:szCs w:val="21"/>
          <w:highlight w:val="none"/>
          <w:lang w:val="zh-CN"/>
        </w:rPr>
        <w:tab/>
      </w:r>
      <w:r>
        <w:rPr>
          <w:rFonts w:hint="eastAsia" w:ascii="宋体" w:hAnsi="宋体" w:eastAsia="宋体" w:cs="宋体"/>
          <w:b/>
          <w:bCs/>
          <w:color w:val="auto"/>
          <w:szCs w:val="21"/>
          <w:highlight w:val="none"/>
          <w:lang w:val="zh-CN"/>
        </w:rPr>
        <w:t>唱标信封应单独密封</w:t>
      </w:r>
      <w:r>
        <w:rPr>
          <w:rFonts w:hint="eastAsia" w:ascii="宋体" w:hAnsi="宋体" w:eastAsia="宋体" w:cs="Times New Roman"/>
          <w:b/>
          <w:bCs/>
          <w:color w:val="auto"/>
          <w:szCs w:val="21"/>
          <w:highlight w:val="none"/>
          <w:lang w:val="zh-CN"/>
        </w:rPr>
        <w:t>，与18.1款的投标文件一同提交。</w:t>
      </w:r>
    </w:p>
    <w:p w14:paraId="69C9746A">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投标文件密封封装标记：</w:t>
      </w:r>
    </w:p>
    <w:p w14:paraId="17AC2A02">
      <w:pPr>
        <w:autoSpaceDE w:val="0"/>
        <w:autoSpaceDN w:val="0"/>
        <w:adjustRightInd w:val="0"/>
        <w:spacing w:line="360" w:lineRule="auto"/>
        <w:ind w:left="319" w:leftChars="-118" w:hanging="567" w:hangingChars="27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lang w:val="zh-CN"/>
        </w:rPr>
        <w:t>）外层密封封装表面应正确注明项目名称、招标编号、投标人单位名称、并注明投标文件递交截止时间之前不得开封（在封口位置的封条上标注注明），封口位置的封条上须加盖投标人法人公章；</w:t>
      </w:r>
    </w:p>
    <w:p w14:paraId="36937B5B">
      <w:pPr>
        <w:autoSpaceDE w:val="0"/>
        <w:autoSpaceDN w:val="0"/>
        <w:adjustRightInd w:val="0"/>
        <w:spacing w:line="360" w:lineRule="auto"/>
        <w:ind w:left="319" w:leftChars="-118" w:hanging="567" w:hangingChars="27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lang w:val="zh-CN"/>
        </w:rPr>
        <w:t>）投标文件已密封但不按前述标志封包，由此而引起的提前开封或错放责任由投标人承担；</w:t>
      </w:r>
    </w:p>
    <w:p w14:paraId="1C1959E4">
      <w:pPr>
        <w:autoSpaceDE w:val="0"/>
        <w:autoSpaceDN w:val="0"/>
        <w:adjustRightInd w:val="0"/>
        <w:spacing w:line="360" w:lineRule="auto"/>
        <w:ind w:left="319" w:leftChars="-118" w:hanging="567" w:hangingChars="27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（3）不足以造成投标文件可以从外包装内散出而导致投标文件泄密的，不认定为投标文件未密封。</w:t>
      </w:r>
    </w:p>
    <w:p w14:paraId="7BE903DF">
      <w:pPr>
        <w:tabs>
          <w:tab w:val="left" w:pos="567"/>
        </w:tabs>
        <w:autoSpaceDE w:val="0"/>
        <w:autoSpaceDN w:val="0"/>
        <w:adjustRightInd w:val="0"/>
        <w:spacing w:line="360" w:lineRule="auto"/>
        <w:ind w:left="357" w:leftChars="-100" w:right="15" w:rightChars="7" w:hanging="567"/>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18.4</w:t>
      </w:r>
      <w:r>
        <w:rPr>
          <w:rFonts w:hint="eastAsia" w:ascii="宋体" w:hAnsi="宋体" w:eastAsia="宋体" w:cs="宋体"/>
          <w:b/>
          <w:color w:val="auto"/>
          <w:szCs w:val="21"/>
          <w:highlight w:val="none"/>
          <w:lang w:val="zh-CN"/>
        </w:rPr>
        <w:tab/>
      </w:r>
      <w:r>
        <w:rPr>
          <w:rFonts w:hint="eastAsia" w:ascii="宋体" w:hAnsi="宋体" w:eastAsia="宋体" w:cs="宋体"/>
          <w:b/>
          <w:color w:val="auto"/>
          <w:szCs w:val="21"/>
          <w:highlight w:val="none"/>
          <w:lang w:val="zh-CN"/>
        </w:rPr>
        <w:t>如果</w:t>
      </w:r>
      <w:r>
        <w:rPr>
          <w:rFonts w:hint="eastAsia" w:ascii="宋体" w:hAnsi="宋体" w:eastAsia="宋体" w:cs="Times New Roman"/>
          <w:b/>
          <w:color w:val="auto"/>
          <w:szCs w:val="21"/>
          <w:highlight w:val="none"/>
          <w:lang w:val="zh-CN"/>
        </w:rPr>
        <w:t>密封封装未按本款规定密封和标记，招标代理机构对投标文件的误投或提前拆封不负责任。对由此造成提前开封的投标文件，招标代理机构予以拒绝，并退回投标人</w:t>
      </w:r>
      <w:r>
        <w:rPr>
          <w:rFonts w:hint="eastAsia" w:ascii="宋体" w:hAnsi="宋体" w:eastAsia="宋体" w:cs="宋体"/>
          <w:b/>
          <w:color w:val="auto"/>
          <w:szCs w:val="21"/>
          <w:highlight w:val="none"/>
          <w:lang w:val="zh-CN"/>
        </w:rPr>
        <w:t>。</w:t>
      </w:r>
    </w:p>
    <w:p w14:paraId="093A70B7">
      <w:pPr>
        <w:autoSpaceDE w:val="0"/>
        <w:autoSpaceDN w:val="0"/>
        <w:adjustRightInd w:val="0"/>
        <w:spacing w:line="360" w:lineRule="auto"/>
        <w:ind w:left="355" w:leftChars="-101" w:right="15" w:rightChars="7" w:hanging="567" w:hangingChars="27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18.5 开标前，</w:t>
      </w:r>
      <w:r>
        <w:rPr>
          <w:rFonts w:hint="eastAsia" w:ascii="宋体" w:hAnsi="宋体" w:eastAsia="宋体" w:cs="Times New Roman"/>
          <w:color w:val="auto"/>
          <w:szCs w:val="21"/>
          <w:highlight w:val="none"/>
          <w:lang w:val="zh-CN"/>
        </w:rPr>
        <w:t>由投标人代表</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第一位递交投标文件的投标人代表及主动自愿参与检查的投标人代表</w:t>
      </w:r>
      <w:r>
        <w:rPr>
          <w:rFonts w:ascii="宋体" w:hAnsi="宋体" w:eastAsia="宋体" w:cs="Times New Roman"/>
          <w:color w:val="auto"/>
          <w:szCs w:val="21"/>
          <w:highlight w:val="none"/>
          <w:lang w:val="zh-CN"/>
        </w:rPr>
        <w:t>）和招标人代表</w:t>
      </w:r>
      <w:r>
        <w:rPr>
          <w:rFonts w:hint="eastAsia" w:ascii="宋体" w:hAnsi="宋体" w:eastAsia="宋体" w:cs="Times New Roman"/>
          <w:color w:val="auto"/>
          <w:kern w:val="0"/>
          <w:szCs w:val="21"/>
          <w:highlight w:val="none"/>
          <w:lang w:val="zh-CN"/>
        </w:rPr>
        <w:t>将对所有的投标文件的密封性进行检查</w:t>
      </w:r>
      <w:r>
        <w:rPr>
          <w:rFonts w:ascii="宋体" w:hAnsi="宋体" w:eastAsia="宋体" w:cs="Times New Roman"/>
          <w:color w:val="auto"/>
          <w:szCs w:val="21"/>
          <w:highlight w:val="none"/>
          <w:lang w:val="zh-CN"/>
        </w:rPr>
        <w:t>，并签署进行确认</w:t>
      </w:r>
      <w:r>
        <w:rPr>
          <w:rFonts w:hint="eastAsia" w:ascii="宋体" w:hAnsi="宋体" w:eastAsia="宋体" w:cs="宋体"/>
          <w:color w:val="auto"/>
          <w:szCs w:val="21"/>
          <w:highlight w:val="none"/>
          <w:lang w:val="zh-CN"/>
        </w:rPr>
        <w:t>。</w:t>
      </w:r>
    </w:p>
    <w:p w14:paraId="5AF12826">
      <w:pPr>
        <w:tabs>
          <w:tab w:val="left" w:pos="567"/>
        </w:tabs>
        <w:autoSpaceDE w:val="0"/>
        <w:autoSpaceDN w:val="0"/>
        <w:adjustRightInd w:val="0"/>
        <w:spacing w:line="360" w:lineRule="auto"/>
        <w:ind w:right="15" w:rightChars="7" w:firstLine="525" w:firstLineChars="250"/>
        <w:rPr>
          <w:rFonts w:ascii="宋体" w:hAnsi="宋体" w:eastAsia="宋体" w:cs="宋体"/>
          <w:color w:val="auto"/>
          <w:szCs w:val="21"/>
          <w:highlight w:val="none"/>
          <w:lang w:val="zh-CN"/>
        </w:rPr>
      </w:pPr>
    </w:p>
    <w:p w14:paraId="0C19E443">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34" w:name="_Toc8478"/>
      <w:bookmarkStart w:id="335" w:name="_Toc6661"/>
      <w:bookmarkStart w:id="336" w:name="_Toc19112"/>
      <w:bookmarkStart w:id="337" w:name="_Toc4257"/>
      <w:bookmarkStart w:id="338" w:name="_Toc4979"/>
      <w:bookmarkStart w:id="339" w:name="_Toc12582"/>
      <w:bookmarkStart w:id="340" w:name="_Toc450662869"/>
      <w:bookmarkStart w:id="341" w:name="_Toc29665_WPSOffice_Level3"/>
      <w:bookmarkStart w:id="342" w:name="_Toc25636"/>
      <w:bookmarkStart w:id="343" w:name="_Toc486167684"/>
      <w:bookmarkStart w:id="344" w:name="_Toc23369"/>
      <w:bookmarkStart w:id="345" w:name="_Toc142508334"/>
      <w:bookmarkStart w:id="346" w:name="_Toc2770"/>
      <w:r>
        <w:rPr>
          <w:rFonts w:hint="eastAsia" w:ascii="宋体" w:hAnsi="宋体" w:eastAsia="宋体" w:cs="宋体"/>
          <w:color w:val="auto"/>
          <w:szCs w:val="21"/>
          <w:highlight w:val="none"/>
          <w:lang w:val="zh-CN"/>
        </w:rPr>
        <w:t>19</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递交投标文件的截止日期</w:t>
      </w:r>
      <w:bookmarkEnd w:id="334"/>
      <w:bookmarkEnd w:id="335"/>
      <w:bookmarkEnd w:id="336"/>
      <w:bookmarkEnd w:id="337"/>
      <w:bookmarkEnd w:id="338"/>
      <w:bookmarkEnd w:id="339"/>
      <w:bookmarkEnd w:id="340"/>
      <w:bookmarkEnd w:id="341"/>
      <w:bookmarkEnd w:id="342"/>
      <w:bookmarkEnd w:id="343"/>
      <w:bookmarkEnd w:id="344"/>
      <w:bookmarkEnd w:id="345"/>
      <w:bookmarkEnd w:id="346"/>
    </w:p>
    <w:p w14:paraId="69D17E4C">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19.1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w:t>
      </w:r>
      <w:r>
        <w:rPr>
          <w:rFonts w:hint="eastAsia" w:ascii="宋体" w:hAnsi="宋体" w:eastAsia="宋体" w:cs="Times New Roman"/>
          <w:color w:val="auto"/>
          <w:szCs w:val="21"/>
          <w:highlight w:val="none"/>
          <w:lang w:val="zh-CN"/>
        </w:rPr>
        <w:t>收到投标文件的时间不得迟于第一篇</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招标公告</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中规定的截止时间</w:t>
      </w:r>
      <w:r>
        <w:rPr>
          <w:rFonts w:hint="eastAsia" w:ascii="宋体" w:hAnsi="宋体" w:eastAsia="宋体" w:cs="宋体"/>
          <w:color w:val="auto"/>
          <w:szCs w:val="21"/>
          <w:highlight w:val="none"/>
          <w:lang w:val="zh-CN"/>
        </w:rPr>
        <w:t>。</w:t>
      </w:r>
    </w:p>
    <w:p w14:paraId="48E98919">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19.2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w:t>
      </w:r>
      <w:r>
        <w:rPr>
          <w:rFonts w:hint="eastAsia" w:ascii="宋体" w:hAnsi="宋体" w:eastAsia="宋体" w:cs="Times New Roman"/>
          <w:color w:val="auto"/>
          <w:szCs w:val="21"/>
          <w:highlight w:val="none"/>
          <w:lang w:val="zh-CN"/>
        </w:rPr>
        <w:t>可按照第</w:t>
      </w:r>
      <w:r>
        <w:rPr>
          <w:rFonts w:ascii="宋体" w:hAnsi="宋体" w:eastAsia="宋体" w:cs="Times New Roman"/>
          <w:color w:val="auto"/>
          <w:szCs w:val="21"/>
          <w:highlight w:val="none"/>
          <w:lang w:val="zh-CN"/>
        </w:rPr>
        <w:t>7</w:t>
      </w:r>
      <w:r>
        <w:rPr>
          <w:rFonts w:hint="eastAsia" w:ascii="宋体" w:hAnsi="宋体" w:eastAsia="宋体" w:cs="Times New Roman"/>
          <w:color w:val="auto"/>
          <w:szCs w:val="21"/>
          <w:highlight w:val="none"/>
          <w:lang w:val="zh-CN"/>
        </w:rPr>
        <w:t>条的规定修改招标文件并酌情延长递交投标文件的截止时间，因此，已规定的招标代理机构和投标人的一切权利和义务将按延期后的递交投标文件截止时间履行</w:t>
      </w:r>
      <w:r>
        <w:rPr>
          <w:rFonts w:hint="eastAsia" w:ascii="宋体" w:hAnsi="宋体" w:eastAsia="宋体" w:cs="宋体"/>
          <w:color w:val="auto"/>
          <w:szCs w:val="21"/>
          <w:highlight w:val="none"/>
          <w:lang w:val="zh-CN"/>
        </w:rPr>
        <w:t>。</w:t>
      </w:r>
    </w:p>
    <w:p w14:paraId="67E9601C">
      <w:pPr>
        <w:autoSpaceDE w:val="0"/>
        <w:autoSpaceDN w:val="0"/>
        <w:adjustRightInd w:val="0"/>
        <w:spacing w:line="360" w:lineRule="auto"/>
        <w:ind w:left="357" w:leftChars="-100" w:hanging="567"/>
        <w:rPr>
          <w:rFonts w:ascii="宋体" w:hAnsi="宋体" w:eastAsia="宋体" w:cs="宋体"/>
          <w:color w:val="auto"/>
          <w:szCs w:val="21"/>
          <w:highlight w:val="none"/>
          <w:lang w:val="zh-CN"/>
        </w:rPr>
      </w:pPr>
    </w:p>
    <w:p w14:paraId="75B36186">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kern w:val="0"/>
          <w:sz w:val="24"/>
          <w:szCs w:val="24"/>
          <w:highlight w:val="none"/>
        </w:rPr>
      </w:pPr>
      <w:bookmarkStart w:id="347" w:name="_Toc450662870"/>
      <w:bookmarkStart w:id="348" w:name="_Toc22122"/>
      <w:bookmarkStart w:id="349" w:name="_Toc21327"/>
      <w:bookmarkStart w:id="350" w:name="_Toc24824"/>
      <w:bookmarkStart w:id="351" w:name="_Toc30287"/>
      <w:bookmarkStart w:id="352" w:name="_Toc20539"/>
      <w:bookmarkStart w:id="353" w:name="_Toc20835"/>
      <w:bookmarkStart w:id="354" w:name="_Toc486167685"/>
      <w:bookmarkStart w:id="355" w:name="_Toc28583"/>
      <w:bookmarkStart w:id="356" w:name="_Toc22083"/>
      <w:bookmarkStart w:id="357" w:name="_Toc22431_WPSOffice_Level3"/>
      <w:bookmarkStart w:id="358" w:name="_Toc32177"/>
      <w:bookmarkStart w:id="359" w:name="_Toc142508335"/>
      <w:r>
        <w:rPr>
          <w:rFonts w:hint="eastAsia" w:ascii="宋体" w:hAnsi="宋体" w:eastAsia="宋体" w:cs="宋体"/>
          <w:color w:val="auto"/>
          <w:szCs w:val="21"/>
          <w:highlight w:val="none"/>
          <w:lang w:val="zh-CN"/>
        </w:rPr>
        <w:t>20 迟交的投标文件</w:t>
      </w:r>
      <w:bookmarkEnd w:id="347"/>
      <w:bookmarkEnd w:id="348"/>
      <w:bookmarkEnd w:id="349"/>
      <w:bookmarkEnd w:id="350"/>
      <w:bookmarkEnd w:id="351"/>
      <w:bookmarkEnd w:id="352"/>
      <w:bookmarkEnd w:id="353"/>
      <w:bookmarkEnd w:id="354"/>
      <w:bookmarkEnd w:id="355"/>
      <w:bookmarkEnd w:id="356"/>
      <w:bookmarkEnd w:id="357"/>
      <w:bookmarkEnd w:id="358"/>
      <w:bookmarkEnd w:id="359"/>
    </w:p>
    <w:p w14:paraId="6B4B8149">
      <w:pPr>
        <w:autoSpaceDE w:val="0"/>
        <w:autoSpaceDN w:val="0"/>
        <w:adjustRightInd w:val="0"/>
        <w:spacing w:line="360" w:lineRule="auto"/>
        <w:ind w:firstLine="315" w:firstLineChars="150"/>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根据第19条规定，招标代理机构将拒绝任何晚于递交投标文件的截止时间交到的投标文件。</w:t>
      </w:r>
    </w:p>
    <w:p w14:paraId="6C76C5FE">
      <w:pPr>
        <w:autoSpaceDE w:val="0"/>
        <w:autoSpaceDN w:val="0"/>
        <w:adjustRightInd w:val="0"/>
        <w:jc w:val="left"/>
        <w:rPr>
          <w:rFonts w:ascii="宋体" w:hAnsi="宋体" w:eastAsia="宋体" w:cs="宋体"/>
          <w:color w:val="auto"/>
          <w:kern w:val="0"/>
          <w:sz w:val="24"/>
          <w:szCs w:val="24"/>
          <w:highlight w:val="none"/>
        </w:rPr>
      </w:pPr>
    </w:p>
    <w:p w14:paraId="4CA4B1A6">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60" w:name="_Toc27851"/>
      <w:bookmarkStart w:id="361" w:name="_Toc29021"/>
      <w:bookmarkStart w:id="362" w:name="_Toc486167686"/>
      <w:bookmarkStart w:id="363" w:name="_Toc27369"/>
      <w:bookmarkStart w:id="364" w:name="_Toc31608"/>
      <w:bookmarkStart w:id="365" w:name="_Toc450662871"/>
      <w:bookmarkStart w:id="366" w:name="_Toc11396"/>
      <w:bookmarkStart w:id="367" w:name="_Toc5454"/>
      <w:bookmarkStart w:id="368" w:name="_Toc142508336"/>
      <w:bookmarkStart w:id="369" w:name="_Toc4883_WPSOffice_Level3"/>
      <w:bookmarkStart w:id="370" w:name="_Toc2236"/>
      <w:bookmarkStart w:id="371" w:name="_Toc24876"/>
      <w:bookmarkStart w:id="372" w:name="_Toc3814"/>
      <w:r>
        <w:rPr>
          <w:rFonts w:hint="eastAsia" w:ascii="宋体" w:hAnsi="宋体" w:eastAsia="宋体" w:cs="宋体"/>
          <w:color w:val="auto"/>
          <w:szCs w:val="21"/>
          <w:highlight w:val="none"/>
          <w:lang w:val="zh-CN"/>
        </w:rPr>
        <w:t>21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投标文件的修改和撤回</w:t>
      </w:r>
      <w:bookmarkEnd w:id="360"/>
      <w:bookmarkEnd w:id="361"/>
      <w:bookmarkEnd w:id="362"/>
      <w:bookmarkEnd w:id="363"/>
      <w:bookmarkEnd w:id="364"/>
      <w:bookmarkEnd w:id="365"/>
      <w:bookmarkEnd w:id="366"/>
      <w:bookmarkEnd w:id="367"/>
      <w:bookmarkEnd w:id="368"/>
      <w:bookmarkEnd w:id="369"/>
      <w:bookmarkEnd w:id="370"/>
      <w:bookmarkEnd w:id="371"/>
      <w:bookmarkEnd w:id="372"/>
    </w:p>
    <w:p w14:paraId="7BE26770">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投标人在提交投标文件后可对其投标文件进行修改或撤回，但招标代理机构须在提交投标文件截止日期前收到该修改或撤回的书面通知。</w:t>
      </w:r>
    </w:p>
    <w:p w14:paraId="3BE9D6BC">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21.2</w:t>
      </w:r>
      <w:r>
        <w:rPr>
          <w:rFonts w:hint="eastAsia" w:ascii="宋体" w:hAnsi="宋体" w:eastAsia="宋体" w:cs="宋体"/>
          <w:color w:val="auto"/>
          <w:szCs w:val="21"/>
          <w:highlight w:val="none"/>
          <w:lang w:val="zh-CN"/>
        </w:rPr>
        <w:tab/>
      </w:r>
      <w:r>
        <w:rPr>
          <w:rFonts w:hint="eastAsia" w:ascii="宋体" w:hAnsi="宋体" w:eastAsia="宋体" w:cs="Times New Roman"/>
          <w:color w:val="auto"/>
          <w:szCs w:val="21"/>
          <w:highlight w:val="none"/>
          <w:lang w:val="zh-CN"/>
        </w:rPr>
        <w:t>投标人对投标文件的修改或撤回的通知应按第</w:t>
      </w:r>
      <w:r>
        <w:rPr>
          <w:rFonts w:ascii="宋体" w:hAnsi="宋体" w:eastAsia="宋体" w:cs="Times New Roman"/>
          <w:color w:val="auto"/>
          <w:szCs w:val="21"/>
          <w:highlight w:val="none"/>
          <w:lang w:val="zh-CN"/>
        </w:rPr>
        <w:t>17</w:t>
      </w:r>
      <w:r>
        <w:rPr>
          <w:rFonts w:hint="eastAsia" w:ascii="宋体" w:hAnsi="宋体" w:eastAsia="宋体" w:cs="Times New Roman"/>
          <w:color w:val="auto"/>
          <w:szCs w:val="21"/>
          <w:highlight w:val="none"/>
          <w:lang w:val="zh-CN"/>
        </w:rPr>
        <w:t>条和第18条规定进行准备、密封、标注和递送</w:t>
      </w:r>
      <w:r>
        <w:rPr>
          <w:rFonts w:hint="eastAsia" w:ascii="宋体" w:hAnsi="宋体" w:eastAsia="宋体" w:cs="宋体"/>
          <w:color w:val="auto"/>
          <w:szCs w:val="21"/>
          <w:highlight w:val="none"/>
          <w:lang w:val="zh-CN"/>
        </w:rPr>
        <w:t>。</w:t>
      </w:r>
    </w:p>
    <w:p w14:paraId="576DA744">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递交投标文件截止时间后不得修改投标文件。</w:t>
      </w:r>
    </w:p>
    <w:p w14:paraId="0F1E12B3">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投标人不得在递交投标文件截止时间起至第16条规定的投标文件有效期期满前撤销投标文件。否则招标</w:t>
      </w:r>
      <w:r>
        <w:rPr>
          <w:rFonts w:hint="eastAsia" w:ascii="宋体" w:hAnsi="宋体" w:eastAsia="宋体" w:cs="宋体"/>
          <w:color w:val="auto"/>
          <w:szCs w:val="21"/>
          <w:highlight w:val="none"/>
          <w:lang w:val="en-US" w:eastAsia="zh-CN"/>
        </w:rPr>
        <w:t>人</w:t>
      </w:r>
      <w:r>
        <w:rPr>
          <w:rFonts w:hint="eastAsia" w:ascii="宋体" w:hAnsi="宋体" w:eastAsia="宋体" w:cs="宋体"/>
          <w:color w:val="auto"/>
          <w:szCs w:val="21"/>
          <w:highlight w:val="none"/>
          <w:lang w:val="zh-CN"/>
        </w:rPr>
        <w:t>将按第15.7款（1）规定不予退还其投标保证金。</w:t>
      </w:r>
    </w:p>
    <w:p w14:paraId="2B4818BD">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p>
    <w:p w14:paraId="644A6D83">
      <w:pPr>
        <w:keepNext/>
        <w:keepLines/>
        <w:tabs>
          <w:tab w:val="left" w:pos="509"/>
        </w:tab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373" w:name="_Toc140596896"/>
      <w:bookmarkStart w:id="374" w:name="_Toc28824"/>
      <w:bookmarkStart w:id="375" w:name="_Toc30428"/>
      <w:bookmarkStart w:id="376" w:name="_Toc142508337"/>
      <w:bookmarkStart w:id="377" w:name="_Toc23688"/>
      <w:bookmarkStart w:id="378" w:name="_Toc450662872"/>
      <w:bookmarkStart w:id="379" w:name="_Toc1049_WPSOffice_Level2"/>
      <w:bookmarkStart w:id="380" w:name="_Toc8509"/>
      <w:bookmarkStart w:id="381" w:name="_Toc5399"/>
      <w:bookmarkStart w:id="382" w:name="_Toc486167687"/>
      <w:bookmarkStart w:id="383" w:name="_Toc20923"/>
      <w:bookmarkStart w:id="384" w:name="_Toc3664"/>
      <w:bookmarkStart w:id="385" w:name="_Toc5438"/>
      <w:bookmarkStart w:id="386" w:name="_Toc22073"/>
      <w:r>
        <w:rPr>
          <w:rFonts w:hint="eastAsia" w:ascii="宋体" w:hAnsi="宋体" w:eastAsia="宋体" w:cs="宋体"/>
          <w:b/>
          <w:bCs/>
          <w:color w:val="auto"/>
          <w:kern w:val="44"/>
          <w:szCs w:val="21"/>
          <w:highlight w:val="none"/>
          <w:lang w:val="zh-CN"/>
        </w:rPr>
        <w:t>五、开标与评标</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p>
    <w:p w14:paraId="3A2BD036">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87" w:name="_Toc486167688"/>
      <w:bookmarkStart w:id="388" w:name="_Toc4998"/>
      <w:bookmarkStart w:id="389" w:name="_Toc8728"/>
      <w:bookmarkStart w:id="390" w:name="_Toc450662873"/>
      <w:bookmarkStart w:id="391" w:name="_Toc142508338"/>
      <w:bookmarkStart w:id="392" w:name="_Toc27672"/>
      <w:bookmarkStart w:id="393" w:name="_Toc4870"/>
      <w:bookmarkStart w:id="394" w:name="_Toc15100"/>
      <w:bookmarkStart w:id="395" w:name="_Toc11256"/>
      <w:bookmarkStart w:id="396" w:name="_Toc32206"/>
      <w:bookmarkStart w:id="397" w:name="_Toc144_WPSOffice_Level3"/>
      <w:bookmarkStart w:id="398" w:name="_Toc21751"/>
      <w:bookmarkStart w:id="399" w:name="_Toc16265"/>
      <w:r>
        <w:rPr>
          <w:rFonts w:hint="eastAsia" w:ascii="宋体" w:hAnsi="宋体" w:eastAsia="宋体" w:cs="宋体"/>
          <w:color w:val="auto"/>
          <w:szCs w:val="21"/>
          <w:highlight w:val="none"/>
          <w:lang w:val="zh-CN"/>
        </w:rPr>
        <w:t>22</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开标</w:t>
      </w:r>
      <w:bookmarkEnd w:id="387"/>
      <w:bookmarkEnd w:id="388"/>
      <w:bookmarkEnd w:id="389"/>
      <w:bookmarkEnd w:id="390"/>
      <w:bookmarkEnd w:id="391"/>
      <w:bookmarkEnd w:id="392"/>
      <w:bookmarkEnd w:id="393"/>
      <w:bookmarkEnd w:id="394"/>
      <w:bookmarkEnd w:id="395"/>
      <w:bookmarkEnd w:id="396"/>
      <w:bookmarkEnd w:id="397"/>
      <w:bookmarkEnd w:id="398"/>
      <w:bookmarkEnd w:id="399"/>
    </w:p>
    <w:p w14:paraId="1F8FF070">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招标代理机构在投标人代表自愿出席的情况下，在第一篇“招标公告”规定的地点和时间开标, 出席代表需登记以示出席。</w:t>
      </w:r>
    </w:p>
    <w:p w14:paraId="7BCF009B">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按照第21条规定，提交了可接受的“撤回”通知的投标文件将不予开封。</w:t>
      </w:r>
    </w:p>
    <w:p w14:paraId="187FE085">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22.3 开标时，招标代理机构将当众宣读投标人名称、投标报价以及招标代理机构认为合适的其他内容。若招标代理机构宣读的结果与投标文件不符时，投标人有权在开标现场提出异议，经招标人采购活动的监督人员</w:t>
      </w:r>
      <w:r>
        <w:rPr>
          <w:rFonts w:hint="eastAsia" w:ascii="宋体" w:hAnsi="宋体" w:eastAsia="宋体" w:cs="宋体"/>
          <w:color w:val="auto"/>
          <w:szCs w:val="21"/>
          <w:highlight w:val="none"/>
          <w:lang w:val="en-US" w:eastAsia="zh-CN"/>
        </w:rPr>
        <w:t>当</w:t>
      </w:r>
      <w:r>
        <w:rPr>
          <w:rFonts w:hint="eastAsia" w:ascii="宋体" w:hAnsi="宋体" w:eastAsia="宋体" w:cs="宋体"/>
          <w:color w:val="auto"/>
          <w:szCs w:val="21"/>
          <w:highlight w:val="none"/>
          <w:lang w:val="zh-CN"/>
        </w:rPr>
        <w:t>场核查确认之后，可重新宣读其投标文件</w:t>
      </w:r>
      <w:r>
        <w:rPr>
          <w:rFonts w:hint="eastAsia" w:ascii="宋体" w:hAnsi="宋体" w:eastAsia="宋体" w:cs="宋体"/>
          <w:color w:val="auto"/>
          <w:szCs w:val="21"/>
          <w:highlight w:val="none"/>
          <w:lang w:val="en-US" w:eastAsia="zh-CN"/>
        </w:rPr>
        <w:t>相关内容</w:t>
      </w:r>
      <w:r>
        <w:rPr>
          <w:rFonts w:hint="eastAsia" w:ascii="宋体" w:hAnsi="宋体" w:eastAsia="宋体" w:cs="宋体"/>
          <w:color w:val="auto"/>
          <w:szCs w:val="21"/>
          <w:highlight w:val="none"/>
          <w:lang w:val="zh-CN"/>
        </w:rPr>
        <w:t>。若投标人现场未提出异议，则视为投标人确认宣读的结果。</w:t>
      </w:r>
    </w:p>
    <w:p w14:paraId="4908A478">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投标文件的投标报价大写金额和小写金额不一致的，以大写金额为准。对不同文字文本投标文件的解释发生异议的，以中文文本为准。</w:t>
      </w:r>
    </w:p>
    <w:p w14:paraId="1F2BA3AC">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22.5 投标人对开标有异议的，应当在开标现场提出，招标代理机构应当当场作出答复，并制作记录。投标人法定代表人或其授权代表未出席的，视同认可开标结果。</w:t>
      </w:r>
    </w:p>
    <w:p w14:paraId="6714595E">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22.6 招标代理机构将做开标记录，开标记录包括第22.5款发生的异议及答复、按第22.3款的规定在开标时宣读的全部内容。</w:t>
      </w:r>
    </w:p>
    <w:p w14:paraId="757D5BD8">
      <w:pPr>
        <w:autoSpaceDE w:val="0"/>
        <w:autoSpaceDN w:val="0"/>
        <w:adjustRightInd w:val="0"/>
        <w:spacing w:line="360" w:lineRule="auto"/>
        <w:ind w:left="357" w:leftChars="-100" w:right="15" w:rightChars="7" w:hanging="567"/>
        <w:rPr>
          <w:rFonts w:ascii="宋体" w:hAnsi="宋体" w:eastAsia="宋体" w:cs="宋体"/>
          <w:color w:val="auto"/>
          <w:kern w:val="0"/>
          <w:szCs w:val="21"/>
          <w:highlight w:val="none"/>
        </w:rPr>
      </w:pPr>
    </w:p>
    <w:p w14:paraId="675F9016">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400" w:name="_Toc142508339"/>
      <w:bookmarkStart w:id="401" w:name="_Toc23059"/>
      <w:bookmarkStart w:id="402" w:name="_Toc450662874"/>
      <w:bookmarkStart w:id="403" w:name="_Toc486167689"/>
      <w:bookmarkStart w:id="404" w:name="_Toc16229"/>
      <w:bookmarkStart w:id="405" w:name="_Toc11805"/>
      <w:bookmarkStart w:id="406" w:name="_Toc24702"/>
      <w:bookmarkStart w:id="407" w:name="_Toc18363"/>
      <w:bookmarkStart w:id="408" w:name="_Toc23491"/>
      <w:bookmarkStart w:id="409" w:name="_Toc32534"/>
      <w:bookmarkStart w:id="410" w:name="_Toc6114"/>
      <w:bookmarkStart w:id="411" w:name="_Toc12165_WPSOffice_Level3"/>
      <w:bookmarkStart w:id="412" w:name="_Toc19659"/>
      <w:r>
        <w:rPr>
          <w:rFonts w:hint="eastAsia" w:ascii="宋体" w:hAnsi="宋体" w:eastAsia="宋体" w:cs="宋体"/>
          <w:color w:val="auto"/>
          <w:szCs w:val="21"/>
          <w:highlight w:val="none"/>
          <w:lang w:val="zh-CN"/>
        </w:rPr>
        <w:t>23</w:t>
      </w:r>
      <w:r>
        <w:rPr>
          <w:rFonts w:ascii="宋体" w:hAnsi="宋体" w:eastAsia="宋体" w:cs="宋体"/>
          <w:color w:val="auto"/>
          <w:szCs w:val="21"/>
          <w:highlight w:val="none"/>
          <w:lang w:val="zh-CN"/>
        </w:rPr>
        <w:t xml:space="preserve"> </w:t>
      </w:r>
      <w:r>
        <w:rPr>
          <w:rFonts w:hint="eastAsia" w:ascii="宋体" w:hAnsi="宋体" w:eastAsia="宋体" w:cs="宋体"/>
          <w:color w:val="auto"/>
          <w:kern w:val="0"/>
          <w:szCs w:val="24"/>
          <w:highlight w:val="none"/>
        </w:rPr>
        <w:t>评标过程的保密性</w:t>
      </w:r>
      <w:bookmarkEnd w:id="400"/>
      <w:bookmarkEnd w:id="401"/>
      <w:bookmarkEnd w:id="402"/>
      <w:bookmarkEnd w:id="403"/>
      <w:bookmarkEnd w:id="404"/>
      <w:bookmarkEnd w:id="405"/>
      <w:bookmarkEnd w:id="406"/>
      <w:bookmarkEnd w:id="407"/>
      <w:bookmarkEnd w:id="408"/>
      <w:bookmarkEnd w:id="409"/>
      <w:bookmarkEnd w:id="410"/>
      <w:bookmarkEnd w:id="411"/>
      <w:bookmarkEnd w:id="412"/>
    </w:p>
    <w:p w14:paraId="0011EB38">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递交投标文件后，</w:t>
      </w:r>
      <w:r>
        <w:rPr>
          <w:rFonts w:hint="eastAsia" w:ascii="宋体" w:hAnsi="宋体" w:eastAsia="宋体" w:cs="Times New Roman"/>
          <w:color w:val="auto"/>
          <w:szCs w:val="21"/>
          <w:highlight w:val="none"/>
          <w:lang w:val="zh-CN"/>
        </w:rPr>
        <w:t>直至向中标人授予合同期间，凡与审查、澄清、评估和比较投标报价的有关资料以及意见等，均不得向投标人及与评审无关的其他人透露，否则追究有关当事人的法律责任</w:t>
      </w:r>
      <w:r>
        <w:rPr>
          <w:rFonts w:hint="eastAsia" w:ascii="宋体" w:hAnsi="宋体" w:eastAsia="宋体" w:cs="宋体"/>
          <w:color w:val="auto"/>
          <w:szCs w:val="21"/>
          <w:highlight w:val="none"/>
          <w:lang w:val="zh-CN"/>
        </w:rPr>
        <w:t>。</w:t>
      </w:r>
    </w:p>
    <w:p w14:paraId="2E8E4E4B">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在评标过程中，如果投标人试图在投标文件审查、澄清、比较及授予合同方面向招标代理机构和招标人施加任何影响，其投标文件将被拒绝。</w:t>
      </w:r>
    </w:p>
    <w:p w14:paraId="06021E03">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p>
    <w:p w14:paraId="06E32148">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413" w:name="_Toc16920"/>
      <w:bookmarkStart w:id="414" w:name="_Toc18693"/>
      <w:bookmarkStart w:id="415" w:name="_Toc23097"/>
      <w:bookmarkStart w:id="416" w:name="_Toc486167690"/>
      <w:bookmarkStart w:id="417" w:name="_Toc800"/>
      <w:bookmarkStart w:id="418" w:name="_Toc15565_WPSOffice_Level3"/>
      <w:bookmarkStart w:id="419" w:name="_Toc9862"/>
      <w:bookmarkStart w:id="420" w:name="_Toc450662875"/>
      <w:bookmarkStart w:id="421" w:name="_Toc5436"/>
      <w:bookmarkStart w:id="422" w:name="_Toc26529"/>
      <w:bookmarkStart w:id="423" w:name="_Toc3654"/>
      <w:bookmarkStart w:id="424" w:name="_Toc23969"/>
      <w:bookmarkStart w:id="425" w:name="_Toc142508340"/>
      <w:r>
        <w:rPr>
          <w:rFonts w:hint="eastAsia" w:ascii="宋体" w:hAnsi="宋体" w:eastAsia="宋体" w:cs="宋体"/>
          <w:color w:val="auto"/>
          <w:szCs w:val="21"/>
          <w:highlight w:val="none"/>
          <w:lang w:val="zh-CN"/>
        </w:rPr>
        <w:t>24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评标委员会</w:t>
      </w:r>
      <w:bookmarkEnd w:id="413"/>
      <w:bookmarkEnd w:id="414"/>
      <w:bookmarkEnd w:id="415"/>
      <w:bookmarkEnd w:id="416"/>
      <w:bookmarkEnd w:id="417"/>
      <w:bookmarkEnd w:id="418"/>
      <w:bookmarkEnd w:id="419"/>
      <w:bookmarkEnd w:id="420"/>
      <w:bookmarkEnd w:id="421"/>
      <w:bookmarkEnd w:id="422"/>
      <w:bookmarkEnd w:id="423"/>
      <w:bookmarkEnd w:id="424"/>
      <w:bookmarkEnd w:id="425"/>
    </w:p>
    <w:p w14:paraId="297D159D">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24.1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依法组建评标委员会。评标委员会的成员在评审过程中必须严格遵守国家及地方招标投标的有关规定。</w:t>
      </w:r>
    </w:p>
    <w:p w14:paraId="1F87465D">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24.2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评标委员会依法根据招标文件的规定，进行投标文件的评审、得出评审结果，并向招标人推荐中标候选人。</w:t>
      </w:r>
    </w:p>
    <w:p w14:paraId="4D50C585">
      <w:pPr>
        <w:autoSpaceDE w:val="0"/>
        <w:autoSpaceDN w:val="0"/>
        <w:adjustRightInd w:val="0"/>
        <w:spacing w:line="360" w:lineRule="auto"/>
        <w:ind w:left="357" w:leftChars="-100" w:hanging="567"/>
        <w:rPr>
          <w:rFonts w:ascii="宋体" w:hAnsi="宋体" w:eastAsia="宋体" w:cs="宋体"/>
          <w:color w:val="auto"/>
          <w:szCs w:val="21"/>
          <w:highlight w:val="none"/>
          <w:lang w:val="zh-CN"/>
        </w:rPr>
      </w:pPr>
    </w:p>
    <w:p w14:paraId="7FED1B4B">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lang w:val="zh-CN"/>
        </w:rPr>
      </w:pPr>
      <w:bookmarkStart w:id="426" w:name="_Toc142508341"/>
      <w:bookmarkStart w:id="427" w:name="_Toc17034"/>
      <w:bookmarkStart w:id="428" w:name="_Toc8257"/>
      <w:bookmarkStart w:id="429" w:name="_Toc450662876"/>
      <w:bookmarkStart w:id="430" w:name="_Toc12715"/>
      <w:bookmarkStart w:id="431" w:name="_Toc8908"/>
      <w:bookmarkStart w:id="432" w:name="_Toc31639"/>
      <w:bookmarkStart w:id="433" w:name="_Toc18772"/>
      <w:bookmarkStart w:id="434" w:name="_Toc486167691"/>
      <w:bookmarkStart w:id="435" w:name="_Toc13502"/>
      <w:bookmarkStart w:id="436" w:name="_Toc18668"/>
      <w:bookmarkStart w:id="437" w:name="_Toc28910_WPSOffice_Level3"/>
      <w:bookmarkStart w:id="438" w:name="_Toc4486"/>
      <w:r>
        <w:rPr>
          <w:rFonts w:hint="eastAsia" w:ascii="宋体" w:hAnsi="宋体" w:eastAsia="宋体" w:cs="宋体"/>
          <w:b/>
          <w:color w:val="auto"/>
          <w:szCs w:val="21"/>
          <w:highlight w:val="none"/>
          <w:lang w:val="zh-CN"/>
        </w:rPr>
        <w:t>25</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投标文件的初审</w:t>
      </w:r>
      <w:bookmarkEnd w:id="426"/>
      <w:bookmarkEnd w:id="427"/>
      <w:bookmarkEnd w:id="428"/>
      <w:bookmarkEnd w:id="429"/>
      <w:bookmarkEnd w:id="430"/>
      <w:bookmarkEnd w:id="431"/>
      <w:bookmarkEnd w:id="432"/>
      <w:bookmarkEnd w:id="433"/>
      <w:bookmarkEnd w:id="434"/>
      <w:bookmarkEnd w:id="435"/>
      <w:bookmarkEnd w:id="436"/>
      <w:bookmarkEnd w:id="437"/>
      <w:bookmarkEnd w:id="438"/>
    </w:p>
    <w:p w14:paraId="5EE2D6CE">
      <w:pPr>
        <w:autoSpaceDE w:val="0"/>
        <w:autoSpaceDN w:val="0"/>
        <w:adjustRightInd w:val="0"/>
        <w:spacing w:line="360" w:lineRule="auto"/>
        <w:ind w:left="357" w:leftChars="-100" w:hanging="567"/>
        <w:rPr>
          <w:rFonts w:ascii="宋体" w:hAnsi="宋体" w:eastAsia="宋体" w:cs="宋体"/>
          <w:b/>
          <w:color w:val="auto"/>
          <w:szCs w:val="21"/>
          <w:highlight w:val="none"/>
        </w:rPr>
      </w:pPr>
      <w:r>
        <w:rPr>
          <w:rFonts w:hint="eastAsia" w:ascii="宋体" w:hAnsi="宋体" w:eastAsia="宋体" w:cs="宋体"/>
          <w:b/>
          <w:color w:val="auto"/>
          <w:szCs w:val="21"/>
          <w:highlight w:val="none"/>
          <w:lang w:val="zh-CN"/>
        </w:rPr>
        <w:t>25.1 资格性检查：依据法律法规和招标文件的规定，对投标文件中的资格证明、投标保证金等进行审查，以确定投标人是否具备投标资格。</w:t>
      </w:r>
    </w:p>
    <w:p w14:paraId="11CF403E">
      <w:pPr>
        <w:autoSpaceDE w:val="0"/>
        <w:autoSpaceDN w:val="0"/>
        <w:adjustRightInd w:val="0"/>
        <w:spacing w:line="360" w:lineRule="auto"/>
        <w:ind w:left="330" w:leftChars="-100" w:hanging="540"/>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25.2 符合性检查：依据招标文件的规定，从投标文件的有效性、完整性和对招标文件的响应程度进行审查，以确定是否对招标文件的实质性要求作出响应。</w:t>
      </w:r>
    </w:p>
    <w:p w14:paraId="4DF8C6F4">
      <w:pPr>
        <w:autoSpaceDE w:val="0"/>
        <w:autoSpaceDN w:val="0"/>
        <w:adjustRightInd w:val="0"/>
        <w:spacing w:line="360" w:lineRule="auto"/>
        <w:ind w:left="330" w:leftChars="-100" w:hanging="540"/>
        <w:rPr>
          <w:rFonts w:ascii="宋体" w:hAnsi="宋体" w:eastAsia="宋体" w:cs="宋体"/>
          <w:b/>
          <w:color w:val="auto"/>
          <w:szCs w:val="21"/>
          <w:highlight w:val="none"/>
          <w:lang w:val="zh-CN"/>
        </w:rPr>
      </w:pPr>
    </w:p>
    <w:p w14:paraId="4753A1BE">
      <w:pPr>
        <w:tabs>
          <w:tab w:val="left" w:pos="52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439" w:name="_Toc19456"/>
      <w:bookmarkStart w:id="440" w:name="_Toc8408"/>
      <w:bookmarkStart w:id="441" w:name="_Toc142508342"/>
      <w:bookmarkStart w:id="442" w:name="_Toc25018"/>
      <w:bookmarkStart w:id="443" w:name="_Toc28197"/>
      <w:bookmarkStart w:id="444" w:name="_Toc6748"/>
      <w:bookmarkStart w:id="445" w:name="_Toc338_WPSOffice_Level3"/>
      <w:bookmarkStart w:id="446" w:name="_Toc28429"/>
      <w:bookmarkStart w:id="447" w:name="_Toc30225"/>
      <w:bookmarkStart w:id="448" w:name="_Toc486167692"/>
      <w:bookmarkStart w:id="449" w:name="_Toc4837"/>
      <w:bookmarkStart w:id="450" w:name="_Toc1081"/>
      <w:bookmarkStart w:id="451" w:name="_Toc450662877"/>
      <w:r>
        <w:rPr>
          <w:rFonts w:hint="eastAsia" w:ascii="宋体" w:hAnsi="宋体" w:eastAsia="宋体" w:cs="宋体"/>
          <w:color w:val="auto"/>
          <w:szCs w:val="21"/>
          <w:highlight w:val="none"/>
          <w:lang w:val="zh-CN"/>
        </w:rPr>
        <w:t>26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投标文件的澄清</w:t>
      </w:r>
      <w:bookmarkEnd w:id="439"/>
      <w:bookmarkEnd w:id="440"/>
      <w:bookmarkEnd w:id="441"/>
      <w:bookmarkEnd w:id="442"/>
      <w:bookmarkEnd w:id="443"/>
      <w:bookmarkEnd w:id="444"/>
      <w:bookmarkEnd w:id="445"/>
      <w:bookmarkEnd w:id="446"/>
      <w:bookmarkEnd w:id="447"/>
      <w:bookmarkEnd w:id="448"/>
      <w:bookmarkEnd w:id="449"/>
      <w:bookmarkEnd w:id="450"/>
      <w:bookmarkEnd w:id="451"/>
    </w:p>
    <w:p w14:paraId="222D639C">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26.1 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由其授权的代表签字，并不得超出投标文件的范围或者改变投标文件的实质性内容。</w:t>
      </w:r>
    </w:p>
    <w:p w14:paraId="6B0CE5C0">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bookmarkStart w:id="452" w:name="_Toc450662879"/>
      <w:r>
        <w:rPr>
          <w:rFonts w:hint="eastAsia" w:ascii="宋体" w:hAnsi="宋体" w:eastAsia="宋体" w:cs="宋体"/>
          <w:color w:val="auto"/>
          <w:szCs w:val="21"/>
          <w:highlight w:val="none"/>
          <w:lang w:val="zh-CN"/>
        </w:rPr>
        <w:t xml:space="preserve">26.2 </w:t>
      </w:r>
      <w:r>
        <w:rPr>
          <w:rFonts w:hint="eastAsia" w:ascii="宋体" w:hAnsi="宋体" w:eastAsia="宋体" w:cs="宋体"/>
          <w:color w:val="auto"/>
          <w:szCs w:val="21"/>
          <w:highlight w:val="none"/>
          <w:lang w:val="en-US" w:eastAsia="zh-CN"/>
        </w:rPr>
        <w:t>开标当天</w:t>
      </w:r>
      <w:r>
        <w:rPr>
          <w:rFonts w:hint="eastAsia" w:ascii="宋体" w:hAnsi="宋体" w:eastAsia="宋体" w:cs="宋体"/>
          <w:color w:val="auto"/>
          <w:szCs w:val="21"/>
          <w:highlight w:val="none"/>
          <w:lang w:val="zh-CN"/>
        </w:rPr>
        <w:t>，投标人法定代表人或法定代表人授权书列明的被授权人的联系电话应保持开机状态，以便在评标期间，评标委员会要求投标人对投标文件进行澄清时能够收到有关通知，否则视为投标人放弃澄清的权利，对评标委员会就该项内容的评审意见无异议。</w:t>
      </w:r>
    </w:p>
    <w:p w14:paraId="100E28DB">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p>
    <w:bookmarkEnd w:id="452"/>
    <w:p w14:paraId="2D74190B">
      <w:pPr>
        <w:tabs>
          <w:tab w:val="left" w:pos="52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453" w:name="_Toc2019"/>
      <w:bookmarkStart w:id="454" w:name="_Toc18368_WPSOffice_Level3"/>
      <w:bookmarkStart w:id="455" w:name="_Toc522047355"/>
      <w:bookmarkStart w:id="456" w:name="_Toc585"/>
      <w:bookmarkStart w:id="457" w:name="_Toc10967"/>
      <w:bookmarkStart w:id="458" w:name="_Toc22065"/>
      <w:bookmarkStart w:id="459" w:name="_Toc27681"/>
      <w:bookmarkStart w:id="460" w:name="_Toc521918096"/>
      <w:bookmarkStart w:id="461" w:name="_Toc28805"/>
      <w:bookmarkStart w:id="462" w:name="_Toc14541"/>
      <w:bookmarkStart w:id="463" w:name="_Toc142508343"/>
      <w:bookmarkStart w:id="464" w:name="_Toc6903"/>
      <w:bookmarkStart w:id="465" w:name="_Toc6970"/>
      <w:r>
        <w:rPr>
          <w:rFonts w:hint="eastAsia" w:ascii="宋体" w:hAnsi="宋体" w:eastAsia="宋体" w:cs="宋体"/>
          <w:color w:val="auto"/>
          <w:szCs w:val="21"/>
          <w:highlight w:val="none"/>
          <w:lang w:val="zh-CN"/>
        </w:rPr>
        <w:t>27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对投标文件的比较和评价</w:t>
      </w:r>
      <w:bookmarkEnd w:id="453"/>
      <w:bookmarkEnd w:id="454"/>
      <w:bookmarkEnd w:id="455"/>
      <w:bookmarkEnd w:id="456"/>
      <w:bookmarkEnd w:id="457"/>
      <w:bookmarkEnd w:id="458"/>
      <w:bookmarkEnd w:id="459"/>
      <w:bookmarkEnd w:id="460"/>
      <w:bookmarkEnd w:id="461"/>
      <w:bookmarkEnd w:id="462"/>
      <w:bookmarkEnd w:id="463"/>
      <w:bookmarkEnd w:id="464"/>
      <w:bookmarkEnd w:id="465"/>
    </w:p>
    <w:p w14:paraId="227E7C95">
      <w:pPr>
        <w:tabs>
          <w:tab w:val="left" w:pos="540"/>
        </w:tabs>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评标委员会将对资格性检查和符合性检查合格的投标文件进行比较和评价，包括商务、技术和价格的详细评审。</w:t>
      </w:r>
    </w:p>
    <w:p w14:paraId="1F156AF0">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对投标文件商务的评审详见评标工作大纲。</w:t>
      </w:r>
    </w:p>
    <w:p w14:paraId="5401FFA6">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对投标文件技术的评审详见评标工作大纲。</w:t>
      </w:r>
    </w:p>
    <w:p w14:paraId="00F7830B">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对投标价格的评审详见评标工作大纲。</w:t>
      </w:r>
    </w:p>
    <w:p w14:paraId="1BDE28D3">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27.5</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本次评标的评分权重详见评标工作大纲。</w:t>
      </w:r>
    </w:p>
    <w:p w14:paraId="263C75EA">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27.6</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根据上述商务、技术及价格综合评价的权重分配计算出各投标人的综合得分。</w:t>
      </w:r>
    </w:p>
    <w:p w14:paraId="3E12420B">
      <w:pPr>
        <w:tabs>
          <w:tab w:val="left" w:pos="567"/>
        </w:tabs>
        <w:autoSpaceDE w:val="0"/>
        <w:autoSpaceDN w:val="0"/>
        <w:adjustRightInd w:val="0"/>
        <w:spacing w:line="360" w:lineRule="auto"/>
        <w:ind w:left="357" w:leftChars="-100" w:hanging="567"/>
        <w:jc w:val="left"/>
        <w:rPr>
          <w:rFonts w:ascii="宋体" w:hAnsi="宋体" w:eastAsia="宋体" w:cs="宋体"/>
          <w:color w:val="auto"/>
          <w:szCs w:val="21"/>
          <w:highlight w:val="none"/>
          <w:lang w:val="zh-CN"/>
        </w:rPr>
      </w:pPr>
      <w:bookmarkStart w:id="466" w:name="_Toc522047356"/>
      <w:bookmarkStart w:id="467" w:name="_Toc521918097"/>
    </w:p>
    <w:p w14:paraId="70C7FCC0">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468" w:name="_Toc21460_WPSOffice_Level3"/>
      <w:bookmarkStart w:id="469" w:name="_Toc142508344"/>
      <w:bookmarkStart w:id="470" w:name="_Toc16929"/>
      <w:bookmarkStart w:id="471" w:name="_Toc11202"/>
      <w:bookmarkStart w:id="472" w:name="_Toc15003"/>
      <w:bookmarkStart w:id="473" w:name="_Toc27026"/>
      <w:bookmarkStart w:id="474" w:name="_Toc26916"/>
      <w:bookmarkStart w:id="475" w:name="_Toc20420"/>
      <w:bookmarkStart w:id="476" w:name="_Toc2176"/>
      <w:bookmarkStart w:id="477" w:name="_Toc16829"/>
      <w:bookmarkStart w:id="478" w:name="_Toc14804"/>
      <w:r>
        <w:rPr>
          <w:rFonts w:hint="eastAsia" w:ascii="宋体" w:hAnsi="宋体" w:eastAsia="宋体" w:cs="宋体"/>
          <w:color w:val="auto"/>
          <w:szCs w:val="21"/>
          <w:highlight w:val="none"/>
          <w:lang w:val="zh-CN"/>
        </w:rPr>
        <w:t>28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评标原则及方法</w:t>
      </w:r>
      <w:bookmarkEnd w:id="466"/>
      <w:bookmarkEnd w:id="467"/>
      <w:bookmarkEnd w:id="468"/>
      <w:bookmarkEnd w:id="469"/>
      <w:bookmarkEnd w:id="470"/>
      <w:bookmarkEnd w:id="471"/>
      <w:bookmarkEnd w:id="472"/>
      <w:bookmarkEnd w:id="473"/>
      <w:bookmarkEnd w:id="474"/>
      <w:bookmarkEnd w:id="475"/>
      <w:bookmarkEnd w:id="476"/>
      <w:bookmarkEnd w:id="477"/>
      <w:bookmarkEnd w:id="478"/>
    </w:p>
    <w:p w14:paraId="7430C959">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28.1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对所有投标文件的评审，都采用相同的程序和标准。按步骤先进行初步评审，再进行商务、技术、价格评审。</w:t>
      </w:r>
    </w:p>
    <w:p w14:paraId="2C94D535">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28.2 评标严格按照招标文件的要求和条件进行。</w:t>
      </w:r>
    </w:p>
    <w:p w14:paraId="455233CE">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在评标时将根据第27</w:t>
      </w:r>
      <w:r>
        <w:rPr>
          <w:rFonts w:hint="eastAsia" w:ascii="宋体" w:hAnsi="宋体" w:eastAsia="宋体" w:cs="Times New Roman"/>
          <w:color w:val="auto"/>
          <w:szCs w:val="21"/>
          <w:highlight w:val="none"/>
          <w:lang w:val="zh-CN"/>
        </w:rPr>
        <w:t>条</w:t>
      </w:r>
      <w:r>
        <w:rPr>
          <w:rFonts w:hint="eastAsia" w:ascii="宋体" w:hAnsi="宋体" w:eastAsia="宋体" w:cs="宋体"/>
          <w:color w:val="auto"/>
          <w:szCs w:val="21"/>
          <w:highlight w:val="none"/>
          <w:lang w:val="zh-CN"/>
        </w:rPr>
        <w:t>，采用综合评分法的评审方法，对所有实质响应性投标文件进行综合打分。</w:t>
      </w:r>
    </w:p>
    <w:p w14:paraId="5529D1C3">
      <w:pPr>
        <w:autoSpaceDE w:val="0"/>
        <w:autoSpaceDN w:val="0"/>
        <w:adjustRightInd w:val="0"/>
        <w:spacing w:line="360" w:lineRule="auto"/>
        <w:ind w:left="441" w:leftChars="-60" w:hanging="567" w:hangingChars="27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28.3 </w:t>
      </w:r>
      <w:r>
        <w:rPr>
          <w:rFonts w:hint="eastAsia" w:ascii="宋体" w:hAnsi="宋体" w:eastAsia="宋体" w:cs="宋体"/>
          <w:b/>
          <w:bCs/>
          <w:color w:val="auto"/>
          <w:szCs w:val="21"/>
          <w:highlight w:val="none"/>
          <w:lang w:val="zh-CN"/>
        </w:rPr>
        <w:t>若</w:t>
      </w:r>
      <w:r>
        <w:rPr>
          <w:rFonts w:hint="eastAsia" w:ascii="宋体" w:hAnsi="宋体" w:eastAsia="宋体" w:cs="宋体"/>
          <w:b/>
          <w:bCs/>
          <w:color w:val="auto"/>
          <w:szCs w:val="21"/>
          <w:highlight w:val="none"/>
        </w:rPr>
        <w:t>本次招标过程中有效投标人不足三个时，公开招标失败。</w:t>
      </w:r>
    </w:p>
    <w:p w14:paraId="67301335">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p>
    <w:p w14:paraId="3EB227EF">
      <w:pPr>
        <w:tabs>
          <w:tab w:val="left" w:pos="52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479" w:name="_Toc23270"/>
      <w:bookmarkStart w:id="480" w:name="_Toc26642"/>
      <w:bookmarkStart w:id="481" w:name="_Toc11615"/>
      <w:bookmarkStart w:id="482" w:name="_Toc4819"/>
      <w:bookmarkStart w:id="483" w:name="_Toc29588"/>
      <w:bookmarkStart w:id="484" w:name="_Toc27277"/>
      <w:bookmarkStart w:id="485" w:name="_Toc142508345"/>
      <w:bookmarkStart w:id="486" w:name="_Toc466882017"/>
      <w:bookmarkStart w:id="487" w:name="_Toc2006"/>
      <w:bookmarkStart w:id="488" w:name="_Toc19808"/>
      <w:bookmarkStart w:id="489" w:name="_Toc10431"/>
      <w:bookmarkStart w:id="490" w:name="_Toc32498_WPSOffice_Level3"/>
      <w:bookmarkStart w:id="491" w:name="_Toc486167694"/>
      <w:bookmarkStart w:id="492" w:name="_Toc465358969"/>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 xml:space="preserve">9 </w:t>
      </w:r>
      <w:r>
        <w:rPr>
          <w:rFonts w:hint="eastAsia" w:ascii="宋体" w:hAnsi="宋体" w:eastAsia="宋体" w:cs="宋体"/>
          <w:color w:val="auto"/>
          <w:szCs w:val="21"/>
          <w:highlight w:val="none"/>
          <w:lang w:val="zh-CN"/>
        </w:rPr>
        <w:t>评标结果公</w:t>
      </w:r>
      <w:r>
        <w:rPr>
          <w:rFonts w:hint="eastAsia" w:ascii="宋体" w:hAnsi="宋体" w:eastAsia="宋体" w:cs="Times New Roman"/>
          <w:color w:val="auto"/>
          <w:szCs w:val="21"/>
          <w:highlight w:val="none"/>
          <w:lang w:val="zh-CN"/>
        </w:rPr>
        <w:t>示</w:t>
      </w:r>
      <w:r>
        <w:rPr>
          <w:rFonts w:hint="eastAsia" w:ascii="宋体" w:hAnsi="宋体" w:eastAsia="宋体" w:cs="宋体"/>
          <w:color w:val="auto"/>
          <w:szCs w:val="21"/>
          <w:highlight w:val="none"/>
          <w:lang w:val="zh-CN"/>
        </w:rPr>
        <w:t>及异议、投诉</w:t>
      </w:r>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p w14:paraId="3241DC60">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.1</w:t>
      </w:r>
      <w:r>
        <w:rPr>
          <w:rFonts w:ascii="宋体" w:hAnsi="宋体" w:eastAsia="宋体" w:cs="宋体"/>
          <w:color w:val="auto"/>
          <w:szCs w:val="21"/>
          <w:highlight w:val="none"/>
          <w:lang w:val="zh-CN"/>
        </w:rPr>
        <w:t xml:space="preserve"> </w:t>
      </w:r>
      <w:r>
        <w:rPr>
          <w:rFonts w:hint="eastAsia" w:ascii="宋体" w:hAnsi="宋体" w:eastAsia="宋体" w:cs="Times New Roman"/>
          <w:color w:val="auto"/>
          <w:szCs w:val="21"/>
          <w:highlight w:val="none"/>
          <w:lang w:val="zh-CN"/>
        </w:rPr>
        <w:t>招标代理机构在招标公告发布媒介公示中标候选人，公示期不得少于3日（最后一日是节假日或公休日的，应顺延到节假日或公休日后第一个工作日）。投标人或者其他利害关系人对评标结果有异议的，应当在</w:t>
      </w:r>
      <w:r>
        <w:rPr>
          <w:rFonts w:hint="eastAsia" w:ascii="宋体" w:hAnsi="宋体" w:eastAsia="宋体" w:cs="Times New Roman"/>
          <w:color w:val="auto"/>
          <w:szCs w:val="21"/>
          <w:highlight w:val="none"/>
        </w:rPr>
        <w:t>评标结果</w:t>
      </w:r>
      <w:r>
        <w:rPr>
          <w:rFonts w:hint="eastAsia" w:ascii="宋体" w:hAnsi="宋体" w:eastAsia="宋体" w:cs="Times New Roman"/>
          <w:color w:val="auto"/>
          <w:szCs w:val="21"/>
          <w:highlight w:val="none"/>
          <w:lang w:val="zh-CN"/>
        </w:rPr>
        <w:t>公示期间向招标代理机构以书面的形式提出，</w:t>
      </w:r>
      <w:r>
        <w:rPr>
          <w:rFonts w:ascii="宋体" w:hAnsi="宋体" w:eastAsia="宋体" w:cs="Times New Roman"/>
          <w:color w:val="auto"/>
          <w:szCs w:val="21"/>
          <w:highlight w:val="none"/>
          <w:lang w:val="zh-CN"/>
        </w:rPr>
        <w:t>并</w:t>
      </w:r>
      <w:r>
        <w:rPr>
          <w:rFonts w:hint="eastAsia" w:ascii="宋体" w:hAnsi="宋体" w:eastAsia="宋体" w:cs="Times New Roman"/>
          <w:color w:val="auto"/>
          <w:szCs w:val="21"/>
          <w:highlight w:val="none"/>
          <w:lang w:val="zh-CN"/>
        </w:rPr>
        <w:t>将完整的异议书面材料原件</w:t>
      </w:r>
      <w:r>
        <w:rPr>
          <w:rFonts w:ascii="宋体" w:hAnsi="宋体" w:eastAsia="宋体" w:cs="Times New Roman"/>
          <w:color w:val="auto"/>
          <w:szCs w:val="21"/>
          <w:highlight w:val="none"/>
          <w:lang w:val="zh-CN"/>
        </w:rPr>
        <w:t>送</w:t>
      </w:r>
      <w:r>
        <w:rPr>
          <w:rFonts w:hint="eastAsia" w:ascii="宋体" w:hAnsi="宋体" w:eastAsia="宋体" w:cs="Times New Roman"/>
          <w:color w:val="auto"/>
          <w:szCs w:val="21"/>
          <w:highlight w:val="none"/>
          <w:lang w:val="zh-CN"/>
        </w:rPr>
        <w:t>达招标代理机构，</w:t>
      </w:r>
      <w:r>
        <w:rPr>
          <w:rFonts w:ascii="宋体" w:hAnsi="宋体" w:eastAsia="宋体" w:cs="Times New Roman"/>
          <w:color w:val="auto"/>
          <w:szCs w:val="21"/>
          <w:highlight w:val="none"/>
          <w:lang w:val="zh-CN"/>
        </w:rPr>
        <w:t>逾期则视为</w:t>
      </w:r>
      <w:r>
        <w:rPr>
          <w:rFonts w:hint="eastAsia" w:ascii="宋体" w:hAnsi="宋体" w:eastAsia="宋体" w:cs="Times New Roman"/>
          <w:color w:val="auto"/>
          <w:szCs w:val="21"/>
          <w:highlight w:val="none"/>
          <w:lang w:val="zh-CN"/>
        </w:rPr>
        <w:t>对评标结果无异议。超出提交异议截止时间而提出的任何疑问，招标代理机构可不予答复</w:t>
      </w:r>
      <w:r>
        <w:rPr>
          <w:rFonts w:hint="eastAsia" w:ascii="宋体" w:hAnsi="宋体" w:eastAsia="宋体" w:cs="宋体"/>
          <w:color w:val="auto"/>
          <w:szCs w:val="21"/>
          <w:highlight w:val="none"/>
          <w:lang w:val="zh-CN"/>
        </w:rPr>
        <w:t>。</w:t>
      </w:r>
    </w:p>
    <w:p w14:paraId="2E4E06D0">
      <w:pPr>
        <w:autoSpaceDE w:val="0"/>
        <w:autoSpaceDN w:val="0"/>
        <w:adjustRightInd w:val="0"/>
        <w:snapToGrid w:val="0"/>
        <w:spacing w:line="360" w:lineRule="auto"/>
        <w:ind w:left="210" w:leftChars="100" w:firstLine="525" w:firstLineChars="250"/>
        <w:jc w:val="left"/>
        <w:rPr>
          <w:rFonts w:ascii="宋体" w:hAnsi="宋体" w:eastAsia="宋体" w:cs="宋体"/>
          <w:color w:val="auto"/>
          <w:kern w:val="0"/>
          <w:szCs w:val="21"/>
          <w:highlight w:val="none"/>
          <w:lang w:val="zh-CN"/>
        </w:rPr>
      </w:pPr>
      <w:r>
        <w:rPr>
          <w:rFonts w:hint="eastAsia" w:ascii="宋体" w:hAnsi="宋体" w:eastAsia="宋体" w:cs="Times New Roman"/>
          <w:color w:val="auto"/>
          <w:szCs w:val="21"/>
          <w:highlight w:val="none"/>
          <w:lang w:val="zh-CN"/>
        </w:rPr>
        <w:t>招标代理机构将拒收未能提供完整异议书面材料的异议，完整的异议书面材料必须同时包含：异议书（加盖法人</w:t>
      </w:r>
      <w:r>
        <w:rPr>
          <w:rFonts w:ascii="宋体" w:hAnsi="宋体" w:eastAsia="宋体" w:cs="Times New Roman"/>
          <w:color w:val="auto"/>
          <w:szCs w:val="21"/>
          <w:highlight w:val="none"/>
          <w:lang w:val="zh-CN"/>
        </w:rPr>
        <w:t>公章</w:t>
      </w:r>
      <w:r>
        <w:rPr>
          <w:rFonts w:hint="eastAsia" w:ascii="宋体" w:hAnsi="宋体" w:eastAsia="宋体" w:cs="Times New Roman"/>
          <w:color w:val="auto"/>
          <w:szCs w:val="21"/>
          <w:highlight w:val="none"/>
          <w:lang w:val="zh-CN"/>
        </w:rPr>
        <w:t>，并注明联系人、联系电话、联系地址）、授权提交异议的法定代表人授权书原件、反映异议人主体资格的营业执照复印件（加盖法人</w:t>
      </w:r>
      <w:r>
        <w:rPr>
          <w:rFonts w:ascii="宋体" w:hAnsi="宋体" w:eastAsia="宋体" w:cs="Times New Roman"/>
          <w:color w:val="auto"/>
          <w:szCs w:val="21"/>
          <w:highlight w:val="none"/>
          <w:lang w:val="zh-CN"/>
        </w:rPr>
        <w:t>公章</w:t>
      </w:r>
      <w:r>
        <w:rPr>
          <w:rFonts w:hint="eastAsia" w:ascii="宋体" w:hAnsi="宋体" w:eastAsia="宋体" w:cs="Times New Roman"/>
          <w:color w:val="auto"/>
          <w:szCs w:val="21"/>
          <w:highlight w:val="none"/>
          <w:lang w:val="zh-CN"/>
        </w:rPr>
        <w:t>）、以及合法来源的证据证明材料</w:t>
      </w:r>
      <w:r>
        <w:rPr>
          <w:rFonts w:hint="eastAsia" w:ascii="宋体" w:hAnsi="宋体" w:eastAsia="宋体" w:cs="宋体"/>
          <w:color w:val="auto"/>
          <w:kern w:val="0"/>
          <w:szCs w:val="21"/>
          <w:highlight w:val="none"/>
          <w:lang w:val="zh-CN"/>
        </w:rPr>
        <w:t>。</w:t>
      </w:r>
    </w:p>
    <w:p w14:paraId="28CF6E7C">
      <w:pPr>
        <w:autoSpaceDE w:val="0"/>
        <w:autoSpaceDN w:val="0"/>
        <w:adjustRightInd w:val="0"/>
        <w:spacing w:line="360" w:lineRule="auto"/>
        <w:ind w:left="284" w:hanging="568"/>
        <w:rPr>
          <w:rFonts w:ascii="宋体" w:hAnsi="宋体" w:eastAsia="宋体" w:cs="Times New Roman"/>
          <w:b/>
          <w:color w:val="auto"/>
          <w:szCs w:val="21"/>
          <w:highlight w:val="none"/>
          <w:lang w:val="zh-CN"/>
        </w:rPr>
      </w:pPr>
      <w:r>
        <w:rPr>
          <w:rFonts w:hint="eastAsia" w:ascii="宋体" w:hAnsi="宋体" w:eastAsia="宋体" w:cs="Times New Roman"/>
          <w:b/>
          <w:color w:val="auto"/>
          <w:szCs w:val="21"/>
          <w:highlight w:val="none"/>
        </w:rPr>
        <w:t xml:space="preserve">29.2 </w:t>
      </w:r>
      <w:r>
        <w:rPr>
          <w:rFonts w:hint="eastAsia" w:ascii="宋体" w:hAnsi="宋体" w:eastAsia="宋体" w:cs="Times New Roman"/>
          <w:b/>
          <w:color w:val="auto"/>
          <w:szCs w:val="21"/>
          <w:highlight w:val="none"/>
          <w:lang w:val="zh-CN"/>
        </w:rPr>
        <w:t>结果公示后，招标人有权要求中标候选人在结果公示之日起3日（最后一日是节假日或公休日的，应顺延到节假日或公休日后第一个工作日）内提交投标文件中所提供的资格证明文件、业绩证明文件、对招标文件实质性条款响应文件、履约能力证明文件的原件供招标人核查。招标人如有需要，中标候选人有义务提供投标文件外其他相关证明资料原件（包括但不限于业绩合同对应的发票等）供招标人核查。招标人如发现投标人提供虚假证明文件、虚假响应文件等弄虚作假行为骗取中标的，招标人将取消其中标资格，不予退还其投标保证金。涉嫌违法犯罪的，将</w:t>
      </w:r>
      <w:r>
        <w:rPr>
          <w:rFonts w:ascii="宋体" w:hAnsi="宋体" w:eastAsia="宋体" w:cs="Times New Roman"/>
          <w:b/>
          <w:color w:val="auto"/>
          <w:szCs w:val="21"/>
          <w:highlight w:val="none"/>
          <w:lang w:val="zh-CN"/>
        </w:rPr>
        <w:t>移交司法机关处理</w:t>
      </w:r>
      <w:r>
        <w:rPr>
          <w:rFonts w:hint="eastAsia" w:ascii="宋体" w:hAnsi="宋体" w:eastAsia="宋体" w:cs="Times New Roman"/>
          <w:b/>
          <w:color w:val="auto"/>
          <w:szCs w:val="21"/>
          <w:highlight w:val="none"/>
          <w:lang w:val="zh-CN"/>
        </w:rPr>
        <w:t>。</w:t>
      </w:r>
    </w:p>
    <w:p w14:paraId="5B9D5166">
      <w:pPr>
        <w:autoSpaceDE w:val="0"/>
        <w:autoSpaceDN w:val="0"/>
        <w:adjustRightInd w:val="0"/>
        <w:snapToGrid w:val="0"/>
        <w:spacing w:line="360" w:lineRule="auto"/>
        <w:ind w:left="246" w:leftChars="117" w:firstLine="422" w:firstLineChars="200"/>
        <w:jc w:val="left"/>
        <w:rPr>
          <w:rFonts w:ascii="宋体" w:hAnsi="宋体" w:eastAsia="宋体" w:cs="Times New Roman"/>
          <w:b/>
          <w:color w:val="auto"/>
          <w:szCs w:val="21"/>
          <w:highlight w:val="none"/>
          <w:lang w:val="zh-CN"/>
        </w:rPr>
      </w:pPr>
      <w:r>
        <w:rPr>
          <w:rFonts w:hint="eastAsia" w:ascii="宋体" w:hAnsi="宋体" w:eastAsia="宋体" w:cs="Times New Roman"/>
          <w:b/>
          <w:color w:val="auto"/>
          <w:szCs w:val="21"/>
          <w:highlight w:val="none"/>
          <w:lang w:val="zh-CN"/>
        </w:rPr>
        <w:t>当招标人（或其委托的招标代理机构）向中标候选人发出提供上述投标文件或投标文件外其他相关（包括但不限于业绩合同对应的发票等）的证明资料原件进行核查的书面通知后，</w:t>
      </w:r>
      <w:r>
        <w:rPr>
          <w:rFonts w:hint="eastAsia" w:ascii="宋体" w:hAnsi="宋体" w:eastAsia="宋体" w:cs="Times New Roman"/>
          <w:b/>
          <w:color w:val="auto"/>
          <w:kern w:val="0"/>
          <w:szCs w:val="21"/>
          <w:highlight w:val="none"/>
        </w:rPr>
        <w:t>第一中标候选人未能在招标人（或其委托的招标代理机构</w:t>
      </w:r>
      <w:r>
        <w:rPr>
          <w:rFonts w:ascii="宋体" w:hAnsi="宋体" w:eastAsia="宋体" w:cs="Times New Roman"/>
          <w:b/>
          <w:color w:val="auto"/>
          <w:kern w:val="0"/>
          <w:szCs w:val="21"/>
          <w:highlight w:val="none"/>
        </w:rPr>
        <w:t>) 书面要求的时间(一般不少于三个工作日) 内提供完整的材料原件进行核查的</w:t>
      </w:r>
      <w:r>
        <w:rPr>
          <w:rFonts w:hint="eastAsia" w:ascii="宋体" w:hAnsi="宋体" w:eastAsia="宋体" w:cs="Times New Roman"/>
          <w:b/>
          <w:color w:val="auto"/>
          <w:szCs w:val="21"/>
          <w:highlight w:val="none"/>
          <w:lang w:val="zh-CN"/>
        </w:rPr>
        <w:t>，视为其无法提供真实的资料，招标人有权取消其中标候选人资格。</w:t>
      </w:r>
    </w:p>
    <w:p w14:paraId="2E049250">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.3 投标人或者其他利害关系人认为招标投标活动不符合法律、行政法规规定的，可以自知道或者应当知道之日起10日内，按程序向招标人采购活动的监督部门投诉。投诉应当提供纸质投诉书及必要的证明材料。投诉书应当包括下列内容：</w:t>
      </w:r>
    </w:p>
    <w:p w14:paraId="4570B1A2">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（一）投诉人和被投诉人的姓名或者名称、通讯地址、邮编、联系人及联系电话；</w:t>
      </w:r>
    </w:p>
    <w:p w14:paraId="0C5A3A66">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（二）异议和异议答复情况说明及相关证明材料；</w:t>
      </w:r>
    </w:p>
    <w:p w14:paraId="6F425C88">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（三）具体、明确的投诉事项和与投诉事项相关的投诉请求；</w:t>
      </w:r>
    </w:p>
    <w:p w14:paraId="12377FC3">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（四）事实依据；</w:t>
      </w:r>
    </w:p>
    <w:p w14:paraId="0AA430D0">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（五）法律依据；</w:t>
      </w:r>
    </w:p>
    <w:p w14:paraId="1D057640">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（六）提起投诉的日期。</w:t>
      </w:r>
    </w:p>
    <w:p w14:paraId="138F1939">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投诉人为法人或者其他组织的，应当由法定代表人、主要负责人，或者其授权代表签字或者盖章，并加盖公章。</w:t>
      </w:r>
    </w:p>
    <w:p w14:paraId="2C4F5B4E">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投诉人投诉的事项不得超出已异议事项的范围，但基于异议答复内容提出的投诉事项除外。</w:t>
      </w:r>
    </w:p>
    <w:p w14:paraId="07901D9E">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监督部门：东莞市水务集团有限公司，联系人：莫先生，联系电话：0769-28823251。</w:t>
      </w:r>
    </w:p>
    <w:p w14:paraId="0DEBA412">
      <w:pPr>
        <w:autoSpaceDE w:val="0"/>
        <w:autoSpaceDN w:val="0"/>
        <w:adjustRightInd w:val="0"/>
        <w:snapToGrid w:val="0"/>
        <w:spacing w:line="360" w:lineRule="auto"/>
        <w:ind w:left="296" w:leftChars="100" w:hanging="86" w:hangingChars="41"/>
        <w:jc w:val="left"/>
        <w:rPr>
          <w:rFonts w:ascii="宋体" w:hAnsi="宋体" w:eastAsia="宋体" w:cs="宋体"/>
          <w:color w:val="auto"/>
          <w:szCs w:val="21"/>
          <w:highlight w:val="none"/>
          <w:lang w:val="zh-CN"/>
        </w:rPr>
      </w:pPr>
    </w:p>
    <w:p w14:paraId="7BF6738E">
      <w:pPr>
        <w:tabs>
          <w:tab w:val="left" w:pos="567"/>
        </w:tabs>
        <w:autoSpaceDE w:val="0"/>
        <w:autoSpaceDN w:val="0"/>
        <w:adjustRightInd w:val="0"/>
        <w:spacing w:line="360" w:lineRule="auto"/>
        <w:ind w:left="288" w:leftChars="-100" w:hanging="498" w:hangingChars="236"/>
        <w:outlineLvl w:val="2"/>
        <w:rPr>
          <w:rFonts w:ascii="宋体" w:hAnsi="宋体" w:eastAsia="宋体" w:cs="宋体"/>
          <w:b/>
          <w:color w:val="auto"/>
          <w:szCs w:val="21"/>
          <w:highlight w:val="none"/>
          <w:lang w:val="zh-CN"/>
        </w:rPr>
      </w:pPr>
      <w:bookmarkStart w:id="493" w:name="_Toc25222"/>
      <w:bookmarkStart w:id="494" w:name="_Toc6747"/>
      <w:bookmarkStart w:id="495" w:name="_Toc1848_WPSOffice_Level3"/>
      <w:bookmarkStart w:id="496" w:name="_Toc3154"/>
      <w:bookmarkStart w:id="497" w:name="_Toc2077"/>
      <w:bookmarkStart w:id="498" w:name="_Toc26578"/>
      <w:bookmarkStart w:id="499" w:name="_Toc465358970"/>
      <w:bookmarkStart w:id="500" w:name="_Toc26354"/>
      <w:bookmarkStart w:id="501" w:name="_Toc20534"/>
      <w:bookmarkStart w:id="502" w:name="_Toc16148"/>
      <w:bookmarkStart w:id="503" w:name="_Toc486167695"/>
      <w:bookmarkStart w:id="504" w:name="_Toc4447"/>
      <w:bookmarkStart w:id="505" w:name="_Toc466882018"/>
      <w:bookmarkStart w:id="506" w:name="_Toc142508346"/>
      <w:r>
        <w:rPr>
          <w:rFonts w:hint="eastAsia" w:ascii="宋体" w:hAnsi="宋体" w:eastAsia="宋体" w:cs="宋体"/>
          <w:b/>
          <w:color w:val="auto"/>
          <w:szCs w:val="21"/>
          <w:highlight w:val="none"/>
        </w:rPr>
        <w:t>30</w:t>
      </w:r>
      <w:r>
        <w:rPr>
          <w:rFonts w:hint="eastAsia" w:ascii="宋体" w:hAnsi="宋体" w:eastAsia="宋体" w:cs="宋体"/>
          <w:b/>
          <w:color w:val="auto"/>
          <w:szCs w:val="21"/>
          <w:highlight w:val="none"/>
          <w:lang w:val="zh-CN"/>
        </w:rPr>
        <w:t xml:space="preserve"> 真实性审查</w:t>
      </w:r>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p>
    <w:p w14:paraId="128B5FE5">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30.1 在</w:t>
      </w:r>
      <w:r>
        <w:rPr>
          <w:rFonts w:hint="eastAsia" w:ascii="宋体" w:hAnsi="宋体" w:eastAsia="宋体" w:cs="Times New Roman"/>
          <w:b/>
          <w:color w:val="auto"/>
          <w:kern w:val="0"/>
          <w:szCs w:val="21"/>
          <w:highlight w:val="none"/>
        </w:rPr>
        <w:t>授予合同前，招标人（或其委托的招标代理机构）、或评标委员会有权组织对投标人的真实性审查。包括对投标人的资格证明文件、业绩证明文件、对招标文件实质性条款响应文件、履约能力证明文件的原件真实性进行核查。招标人</w:t>
      </w:r>
      <w:r>
        <w:rPr>
          <w:rFonts w:hint="eastAsia" w:ascii="宋体" w:hAnsi="宋体" w:eastAsia="宋体" w:cs="Times New Roman"/>
          <w:b/>
          <w:color w:val="auto"/>
          <w:szCs w:val="21"/>
          <w:highlight w:val="none"/>
          <w:lang w:val="zh-CN"/>
        </w:rPr>
        <w:t>如有需要，投标人有义务提供投标文件外其他相关证明资料原件（包括但不限于业绩合同对应的发票等）供招标人核查。</w:t>
      </w:r>
      <w:r>
        <w:rPr>
          <w:rFonts w:hint="eastAsia" w:ascii="宋体" w:hAnsi="宋体" w:eastAsia="宋体" w:cs="Times New Roman"/>
          <w:b/>
          <w:color w:val="auto"/>
          <w:kern w:val="0"/>
          <w:szCs w:val="21"/>
          <w:highlight w:val="none"/>
        </w:rPr>
        <w:t>若发现投标人提供虚假证明文件、虚假响应文件等弄虚作假行为的，或经审查确认其经营、财务状况发生较大变化（或者存在违法行为）导致无法按照投标文件的承诺履约的，或其明确表示不按照投标文件承诺履约的，等影响中标结果的行为，招标人有权按照评标委员会提出的中标候选人名单排序依次确定其他中标候选人为中标人或重新招标</w:t>
      </w:r>
      <w:r>
        <w:rPr>
          <w:rFonts w:hint="eastAsia" w:ascii="宋体" w:hAnsi="宋体" w:eastAsia="宋体" w:cs="宋体"/>
          <w:b/>
          <w:color w:val="auto"/>
          <w:szCs w:val="21"/>
          <w:highlight w:val="none"/>
        </w:rPr>
        <w:t>。</w:t>
      </w:r>
    </w:p>
    <w:p w14:paraId="35B9C79F">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30.2 投标人</w:t>
      </w:r>
      <w:r>
        <w:rPr>
          <w:rFonts w:hint="eastAsia" w:ascii="宋体" w:hAnsi="宋体" w:eastAsia="宋体" w:cs="Times New Roman"/>
          <w:b/>
          <w:color w:val="auto"/>
          <w:kern w:val="0"/>
          <w:szCs w:val="21"/>
          <w:highlight w:val="none"/>
        </w:rPr>
        <w:t>在招标人（或其委托的招标代理机构）、或评标委员会通知其提供</w:t>
      </w:r>
      <w:r>
        <w:rPr>
          <w:rFonts w:hint="eastAsia" w:ascii="宋体" w:hAnsi="宋体" w:eastAsia="宋体" w:cs="Times New Roman"/>
          <w:b/>
          <w:color w:val="auto"/>
          <w:szCs w:val="21"/>
          <w:highlight w:val="none"/>
          <w:lang w:val="zh-CN"/>
        </w:rPr>
        <w:t>上述投标文件或投标文件外其他相关（包括但不限于业绩合同对应的发票等）的证明资料原件</w:t>
      </w:r>
      <w:r>
        <w:rPr>
          <w:rFonts w:hint="eastAsia" w:ascii="宋体" w:hAnsi="宋体" w:eastAsia="宋体" w:cs="Times New Roman"/>
          <w:b/>
          <w:color w:val="auto"/>
          <w:kern w:val="0"/>
          <w:szCs w:val="21"/>
          <w:highlight w:val="none"/>
        </w:rPr>
        <w:t>进行核查的要求后，未能在约定的时间内提供原件进行核查的，视为投标人无法提供真实的资料，招标人有权按照评标委员会提出的中标候选人名单排序依次确定其他中标候选人为中标人或重新招标</w:t>
      </w:r>
      <w:r>
        <w:rPr>
          <w:rFonts w:hint="eastAsia" w:ascii="宋体" w:hAnsi="宋体" w:eastAsia="宋体" w:cs="宋体"/>
          <w:b/>
          <w:color w:val="auto"/>
          <w:szCs w:val="21"/>
          <w:highlight w:val="none"/>
        </w:rPr>
        <w:t>。</w:t>
      </w:r>
    </w:p>
    <w:p w14:paraId="772F1D48">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30.3 若投标人在投标或履约过程中存在提供虚假材料、</w:t>
      </w:r>
      <w:r>
        <w:rPr>
          <w:rFonts w:ascii="宋体" w:hAnsi="宋体" w:eastAsia="宋体" w:cs="宋体"/>
          <w:b/>
          <w:color w:val="auto"/>
          <w:szCs w:val="21"/>
          <w:highlight w:val="none"/>
        </w:rPr>
        <w:t>虚假响应</w:t>
      </w:r>
      <w:r>
        <w:rPr>
          <w:rFonts w:hint="eastAsia" w:ascii="宋体" w:hAnsi="宋体" w:eastAsia="宋体" w:cs="宋体"/>
          <w:b/>
          <w:color w:val="auto"/>
          <w:szCs w:val="21"/>
          <w:highlight w:val="none"/>
        </w:rPr>
        <w:t>招标</w:t>
      </w:r>
      <w:r>
        <w:rPr>
          <w:rFonts w:ascii="宋体" w:hAnsi="宋体" w:eastAsia="宋体" w:cs="宋体"/>
          <w:b/>
          <w:color w:val="auto"/>
          <w:szCs w:val="21"/>
          <w:highlight w:val="none"/>
        </w:rPr>
        <w:t>文件</w:t>
      </w:r>
      <w:r>
        <w:rPr>
          <w:rFonts w:hint="eastAsia" w:ascii="宋体" w:hAnsi="宋体" w:eastAsia="宋体" w:cs="宋体"/>
          <w:b/>
          <w:color w:val="auto"/>
          <w:szCs w:val="21"/>
          <w:highlight w:val="none"/>
        </w:rPr>
        <w:t>要求等弄虚作假行为，或未能根据本须知2</w:t>
      </w:r>
      <w:r>
        <w:rPr>
          <w:rFonts w:ascii="宋体" w:hAnsi="宋体" w:eastAsia="宋体" w:cs="宋体"/>
          <w:b/>
          <w:color w:val="auto"/>
          <w:szCs w:val="21"/>
          <w:highlight w:val="none"/>
        </w:rPr>
        <w:t>9.2</w:t>
      </w:r>
      <w:r>
        <w:rPr>
          <w:rFonts w:hint="eastAsia" w:ascii="宋体" w:hAnsi="宋体" w:eastAsia="宋体" w:cs="宋体"/>
          <w:b/>
          <w:color w:val="auto"/>
          <w:szCs w:val="21"/>
          <w:highlight w:val="none"/>
        </w:rPr>
        <w:t>款约定按时提供原件进行核查的，</w:t>
      </w:r>
      <w:r>
        <w:rPr>
          <w:rFonts w:ascii="宋体" w:hAnsi="宋体" w:eastAsia="宋体" w:cs="宋体"/>
          <w:b/>
          <w:color w:val="auto"/>
          <w:szCs w:val="21"/>
          <w:highlight w:val="none"/>
        </w:rPr>
        <w:t>或不按照投标文件承诺履约</w:t>
      </w:r>
      <w:r>
        <w:rPr>
          <w:rFonts w:hint="eastAsia" w:ascii="宋体" w:hAnsi="宋体" w:eastAsia="宋体" w:cs="宋体"/>
          <w:b/>
          <w:color w:val="auto"/>
          <w:szCs w:val="21"/>
          <w:highlight w:val="none"/>
        </w:rPr>
        <w:t>或撤回投标或放弃中标资格或</w:t>
      </w:r>
      <w:r>
        <w:rPr>
          <w:rFonts w:ascii="宋体" w:hAnsi="宋体" w:eastAsia="宋体" w:cs="宋体"/>
          <w:b/>
          <w:color w:val="auto"/>
          <w:szCs w:val="21"/>
          <w:highlight w:val="none"/>
        </w:rPr>
        <w:t>不按要求与招标人签订合同等影响中标结果的行为</w:t>
      </w:r>
      <w:r>
        <w:rPr>
          <w:rFonts w:hint="eastAsia" w:ascii="宋体" w:hAnsi="宋体" w:eastAsia="宋体" w:cs="宋体"/>
          <w:b/>
          <w:color w:val="auto"/>
          <w:szCs w:val="21"/>
          <w:highlight w:val="none"/>
        </w:rPr>
        <w:t>，因此导致投标人无法参与东莞市水务集团有限公司相关招标采购等活动的，由投标人自行承担全部后果。</w:t>
      </w:r>
    </w:p>
    <w:p w14:paraId="6E9F0632">
      <w:pPr>
        <w:autoSpaceDE w:val="0"/>
        <w:autoSpaceDN w:val="0"/>
        <w:adjustRightInd w:val="0"/>
        <w:snapToGrid w:val="0"/>
        <w:spacing w:line="360" w:lineRule="auto"/>
        <w:jc w:val="left"/>
        <w:rPr>
          <w:rFonts w:ascii="宋体" w:hAnsi="宋体" w:eastAsia="宋体" w:cs="宋体"/>
          <w:color w:val="auto"/>
          <w:szCs w:val="21"/>
          <w:highlight w:val="none"/>
        </w:rPr>
      </w:pPr>
      <w:bookmarkStart w:id="507" w:name="_Toc465358971"/>
      <w:bookmarkStart w:id="508" w:name="_Toc466882019"/>
    </w:p>
    <w:p w14:paraId="1BD7BD6A">
      <w:pPr>
        <w:tabs>
          <w:tab w:val="left" w:pos="567"/>
        </w:tabs>
        <w:autoSpaceDE w:val="0"/>
        <w:autoSpaceDN w:val="0"/>
        <w:adjustRightInd w:val="0"/>
        <w:spacing w:line="360" w:lineRule="auto"/>
        <w:ind w:left="16" w:leftChars="-59" w:hanging="140" w:hangingChars="67"/>
        <w:outlineLvl w:val="2"/>
        <w:rPr>
          <w:rFonts w:ascii="宋体" w:hAnsi="宋体" w:eastAsia="宋体" w:cs="宋体"/>
          <w:color w:val="auto"/>
          <w:szCs w:val="21"/>
          <w:highlight w:val="none"/>
          <w:lang w:val="zh-CN"/>
        </w:rPr>
      </w:pPr>
      <w:bookmarkStart w:id="509" w:name="_Toc142508347"/>
      <w:bookmarkStart w:id="510" w:name="_Toc23672"/>
      <w:bookmarkStart w:id="511" w:name="_Toc8654"/>
      <w:bookmarkStart w:id="512" w:name="_Toc10867_WPSOffice_Level3"/>
      <w:bookmarkStart w:id="513" w:name="_Toc31573"/>
      <w:bookmarkStart w:id="514" w:name="_Toc7823"/>
      <w:bookmarkStart w:id="515" w:name="_Toc22576"/>
      <w:bookmarkStart w:id="516" w:name="_Toc486167696"/>
      <w:bookmarkStart w:id="517" w:name="_Toc22202"/>
      <w:bookmarkStart w:id="518" w:name="_Toc11953"/>
      <w:bookmarkStart w:id="519" w:name="_Toc31995"/>
      <w:bookmarkStart w:id="520" w:name="_Toc15815"/>
      <w:r>
        <w:rPr>
          <w:rFonts w:hint="eastAsia" w:ascii="宋体" w:hAnsi="宋体" w:eastAsia="宋体" w:cs="宋体"/>
          <w:color w:val="auto"/>
          <w:szCs w:val="21"/>
          <w:highlight w:val="none"/>
        </w:rPr>
        <w:t>31</w:t>
      </w:r>
      <w:r>
        <w:rPr>
          <w:rFonts w:hint="eastAsia" w:ascii="宋体" w:hAnsi="宋体" w:eastAsia="宋体" w:cs="宋体"/>
          <w:color w:val="auto"/>
          <w:szCs w:val="21"/>
          <w:highlight w:val="none"/>
          <w:lang w:val="zh-CN"/>
        </w:rPr>
        <w:t xml:space="preserve"> 评标委员会和招标人接受或拒绝任何投标或所有投标的权利</w:t>
      </w:r>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p>
    <w:p w14:paraId="3D0B44FF">
      <w:pPr>
        <w:autoSpaceDE w:val="0"/>
        <w:autoSpaceDN w:val="0"/>
        <w:adjustRightInd w:val="0"/>
        <w:spacing w:line="360" w:lineRule="auto"/>
        <w:ind w:left="248" w:leftChars="118" w:firstLine="1"/>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在授予合同前的任何时候，招标人仍保留接受或拒绝任何投标，宣布招标程序无效或拒绝所有投标的权利，无需向受影响的投标人承担任何责任。</w:t>
      </w:r>
    </w:p>
    <w:p w14:paraId="5584BEB7">
      <w:pPr>
        <w:autoSpaceDE w:val="0"/>
        <w:autoSpaceDN w:val="0"/>
        <w:adjustRightInd w:val="0"/>
        <w:snapToGrid w:val="0"/>
        <w:spacing w:line="360" w:lineRule="auto"/>
        <w:ind w:left="436" w:leftChars="-158" w:hanging="768" w:hangingChars="320"/>
        <w:jc w:val="left"/>
        <w:rPr>
          <w:rFonts w:ascii="宋体" w:hAnsi="宋体" w:eastAsia="宋体" w:cs="宋体"/>
          <w:color w:val="auto"/>
          <w:kern w:val="44"/>
          <w:sz w:val="24"/>
          <w:szCs w:val="24"/>
          <w:highlight w:val="none"/>
          <w:lang w:val="zh-CN"/>
        </w:rPr>
      </w:pPr>
      <w:bookmarkStart w:id="521" w:name="_Toc450662880"/>
    </w:p>
    <w:p w14:paraId="0BD7741C">
      <w:pPr>
        <w:keepNext/>
        <w:keepLine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522" w:name="_Toc142508348"/>
      <w:bookmarkStart w:id="523" w:name="_Toc6386"/>
      <w:bookmarkStart w:id="524" w:name="_Toc11919"/>
      <w:bookmarkStart w:id="525" w:name="_Toc11941"/>
      <w:bookmarkStart w:id="526" w:name="_Toc4475"/>
      <w:bookmarkStart w:id="527" w:name="_Toc18148"/>
      <w:bookmarkStart w:id="528" w:name="_Toc5427"/>
      <w:bookmarkStart w:id="529" w:name="_Toc140596907"/>
      <w:bookmarkStart w:id="530" w:name="_Toc486167697"/>
      <w:bookmarkStart w:id="531" w:name="_Toc16848_WPSOffice_Level2"/>
      <w:bookmarkStart w:id="532" w:name="_Toc27936"/>
      <w:bookmarkStart w:id="533" w:name="_Toc29147"/>
      <w:bookmarkStart w:id="534" w:name="_Toc16789"/>
      <w:r>
        <w:rPr>
          <w:rFonts w:hint="eastAsia" w:ascii="宋体" w:hAnsi="宋体" w:eastAsia="宋体" w:cs="宋体"/>
          <w:b/>
          <w:bCs/>
          <w:color w:val="auto"/>
          <w:kern w:val="44"/>
          <w:szCs w:val="21"/>
          <w:highlight w:val="none"/>
          <w:lang w:val="zh-CN"/>
        </w:rPr>
        <w:t>六、授予合同</w:t>
      </w:r>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p>
    <w:p w14:paraId="2F9BCE37">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535" w:name="_Toc605"/>
      <w:bookmarkStart w:id="536" w:name="_Toc14907"/>
      <w:bookmarkStart w:id="537" w:name="_Toc142508349"/>
      <w:bookmarkStart w:id="538" w:name="_Toc9067"/>
      <w:bookmarkStart w:id="539" w:name="_Toc6401_WPSOffice_Level3"/>
      <w:bookmarkStart w:id="540" w:name="_Toc450662881"/>
      <w:bookmarkStart w:id="541" w:name="_Toc31713"/>
      <w:bookmarkStart w:id="542" w:name="_Toc23104"/>
      <w:bookmarkStart w:id="543" w:name="_Toc4553"/>
      <w:bookmarkStart w:id="544" w:name="_Toc29383"/>
      <w:bookmarkStart w:id="545" w:name="_Toc4623"/>
      <w:bookmarkStart w:id="546" w:name="_Toc29476"/>
      <w:bookmarkStart w:id="547" w:name="_Toc486167698"/>
      <w:r>
        <w:rPr>
          <w:rFonts w:hint="eastAsia" w:ascii="宋体" w:hAnsi="宋体" w:eastAsia="宋体" w:cs="宋体"/>
          <w:color w:val="auto"/>
          <w:szCs w:val="21"/>
          <w:highlight w:val="none"/>
        </w:rPr>
        <w:t>32</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授予合同的准则</w:t>
      </w:r>
      <w:bookmarkEnd w:id="535"/>
      <w:bookmarkEnd w:id="536"/>
      <w:bookmarkEnd w:id="537"/>
      <w:bookmarkEnd w:id="538"/>
      <w:bookmarkEnd w:id="539"/>
      <w:bookmarkEnd w:id="540"/>
      <w:bookmarkEnd w:id="541"/>
      <w:bookmarkEnd w:id="542"/>
      <w:bookmarkEnd w:id="543"/>
      <w:bookmarkEnd w:id="544"/>
      <w:bookmarkEnd w:id="545"/>
      <w:bookmarkEnd w:id="546"/>
      <w:bookmarkEnd w:id="547"/>
    </w:p>
    <w:p w14:paraId="08858F49">
      <w:pPr>
        <w:tabs>
          <w:tab w:val="left" w:pos="645"/>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rPr>
        <w:t>32</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除第29条、30条</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Cs w:val="24"/>
          <w:highlight w:val="none"/>
        </w:rPr>
        <w:t>31</w:t>
      </w:r>
      <w:r>
        <w:rPr>
          <w:rFonts w:hint="eastAsia" w:ascii="宋体" w:hAnsi="宋体" w:eastAsia="宋体" w:cs="宋体"/>
          <w:color w:val="auto"/>
          <w:szCs w:val="21"/>
          <w:highlight w:val="none"/>
          <w:lang w:val="zh-CN"/>
        </w:rPr>
        <w:t>条规定外，招标人将合同授予其投标文件符合招标文件要求，并且能承诺履行合同，对招标人最为有利的投标人。</w:t>
      </w:r>
    </w:p>
    <w:p w14:paraId="45C4E68F">
      <w:pPr>
        <w:numPr>
          <w:ilvl w:val="1"/>
          <w:numId w:val="0"/>
        </w:numPr>
        <w:tabs>
          <w:tab w:val="left" w:pos="54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32.2 招标人依法</w:t>
      </w:r>
      <w:r>
        <w:rPr>
          <w:rFonts w:hint="eastAsia" w:ascii="宋体" w:hAnsi="宋体" w:eastAsia="宋体" w:cs="宋体"/>
          <w:color w:val="auto"/>
          <w:kern w:val="0"/>
          <w:szCs w:val="21"/>
          <w:highlight w:val="none"/>
        </w:rPr>
        <w:t>按照评标报告中推荐的中标候选人顺序</w:t>
      </w:r>
      <w:r>
        <w:rPr>
          <w:rFonts w:hint="eastAsia" w:ascii="宋体" w:hAnsi="宋体" w:eastAsia="宋体" w:cs="宋体"/>
          <w:color w:val="auto"/>
          <w:szCs w:val="21"/>
          <w:highlight w:val="none"/>
          <w:lang w:val="zh-CN"/>
        </w:rPr>
        <w:t>确定中标人。</w:t>
      </w:r>
    </w:p>
    <w:p w14:paraId="3194B05E">
      <w:pPr>
        <w:autoSpaceDE w:val="0"/>
        <w:autoSpaceDN w:val="0"/>
        <w:adjustRightInd w:val="0"/>
        <w:snapToGrid w:val="0"/>
        <w:spacing w:line="360" w:lineRule="auto"/>
        <w:ind w:left="315" w:leftChars="-100" w:hanging="525" w:hangingChars="250"/>
        <w:jc w:val="left"/>
        <w:rPr>
          <w:rFonts w:ascii="宋体" w:hAnsi="宋体" w:eastAsia="宋体" w:cs="宋体"/>
          <w:b/>
          <w:color w:val="auto"/>
          <w:kern w:val="0"/>
          <w:szCs w:val="21"/>
          <w:highlight w:val="none"/>
        </w:rPr>
      </w:pPr>
      <w:r>
        <w:rPr>
          <w:rFonts w:hint="eastAsia" w:ascii="宋体" w:hAnsi="宋体" w:eastAsia="宋体" w:cs="宋体"/>
          <w:color w:val="auto"/>
          <w:szCs w:val="21"/>
          <w:highlight w:val="none"/>
          <w:lang w:val="zh-CN"/>
        </w:rPr>
        <w:t>32</w:t>
      </w:r>
      <w:r>
        <w:rPr>
          <w:rFonts w:hint="eastAsia" w:ascii="宋体" w:hAnsi="宋体" w:eastAsia="宋体" w:cs="宋体"/>
          <w:color w:val="auto"/>
          <w:kern w:val="0"/>
          <w:szCs w:val="21"/>
          <w:highlight w:val="none"/>
        </w:rPr>
        <w:t>.3 因不可抗力或自身原因不能履行合同的、不按要求与招标人签订合同、中标人放弃中标、中标资格被依法确认无效的，招标人可以按照评标委员会提出的中标候选人名单排序依次确定其他中标候选人为中标人或重新招标</w:t>
      </w:r>
      <w:r>
        <w:rPr>
          <w:rFonts w:hint="eastAsia" w:ascii="宋体" w:hAnsi="宋体" w:eastAsia="宋体" w:cs="宋体"/>
          <w:b/>
          <w:color w:val="auto"/>
          <w:kern w:val="0"/>
          <w:szCs w:val="21"/>
          <w:highlight w:val="none"/>
        </w:rPr>
        <w:t>。</w:t>
      </w:r>
    </w:p>
    <w:p w14:paraId="7CB2E236">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548" w:name="_Toc450662885"/>
    </w:p>
    <w:p w14:paraId="76D2A44F">
      <w:pPr>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549" w:name="_Toc22377"/>
      <w:bookmarkStart w:id="550" w:name="_Toc18984"/>
      <w:bookmarkStart w:id="551" w:name="_Toc6726_WPSOffice_Level3"/>
      <w:bookmarkStart w:id="552" w:name="_Toc142508350"/>
      <w:bookmarkStart w:id="553" w:name="_Toc10505"/>
      <w:bookmarkStart w:id="554" w:name="_Toc486167699"/>
      <w:bookmarkStart w:id="555" w:name="_Toc19878"/>
      <w:bookmarkStart w:id="556" w:name="_Toc8196"/>
      <w:bookmarkStart w:id="557" w:name="_Toc7694"/>
      <w:bookmarkStart w:id="558" w:name="_Toc14400"/>
      <w:bookmarkStart w:id="559" w:name="_Toc14377"/>
      <w:bookmarkStart w:id="560" w:name="_Toc16666"/>
      <w:r>
        <w:rPr>
          <w:rFonts w:hint="eastAsia" w:ascii="宋体" w:hAnsi="宋体" w:eastAsia="宋体" w:cs="宋体"/>
          <w:color w:val="auto"/>
          <w:szCs w:val="21"/>
          <w:highlight w:val="none"/>
          <w:lang w:val="zh-CN"/>
        </w:rPr>
        <w:t>33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中标通知</w:t>
      </w:r>
      <w:bookmarkEnd w:id="548"/>
      <w:bookmarkEnd w:id="549"/>
      <w:bookmarkEnd w:id="550"/>
      <w:bookmarkEnd w:id="551"/>
      <w:bookmarkEnd w:id="552"/>
      <w:bookmarkEnd w:id="553"/>
      <w:bookmarkEnd w:id="554"/>
      <w:bookmarkEnd w:id="555"/>
      <w:bookmarkEnd w:id="556"/>
      <w:bookmarkEnd w:id="557"/>
      <w:bookmarkEnd w:id="558"/>
      <w:bookmarkEnd w:id="559"/>
      <w:bookmarkEnd w:id="560"/>
    </w:p>
    <w:p w14:paraId="408AFF26">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561" w:name="_Toc450662886"/>
      <w:r>
        <w:rPr>
          <w:rFonts w:hint="eastAsia" w:ascii="宋体" w:hAnsi="宋体" w:eastAsia="宋体" w:cs="宋体"/>
          <w:color w:val="auto"/>
          <w:szCs w:val="21"/>
          <w:highlight w:val="none"/>
          <w:lang w:val="zh-CN"/>
        </w:rPr>
        <w:t>33.1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招标代理机构向中标人发出书面通知，中标通知书是合同的一个组成部分。</w:t>
      </w:r>
    </w:p>
    <w:p w14:paraId="18B924D1">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招标代理机构向中标人发出书面通知的同时，招标代理机构通知落选的投标人其投标文件未被接受而不提原因。</w:t>
      </w:r>
    </w:p>
    <w:p w14:paraId="2F79CA0F">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p>
    <w:p w14:paraId="34D7AE3F">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562" w:name="_Toc19127"/>
      <w:bookmarkStart w:id="563" w:name="_Toc2951"/>
      <w:bookmarkStart w:id="564" w:name="_Toc142508351"/>
      <w:bookmarkStart w:id="565" w:name="_Toc15124"/>
      <w:bookmarkStart w:id="566" w:name="_Toc1331"/>
      <w:bookmarkStart w:id="567" w:name="_Toc486167700"/>
      <w:bookmarkStart w:id="568" w:name="_Toc9694_WPSOffice_Level3"/>
      <w:bookmarkStart w:id="569" w:name="_Toc22609"/>
      <w:bookmarkStart w:id="570" w:name="_Toc14591"/>
      <w:bookmarkStart w:id="571" w:name="_Toc12603"/>
      <w:bookmarkStart w:id="572" w:name="_Toc23246"/>
      <w:bookmarkStart w:id="573" w:name="_Toc28020"/>
      <w:r>
        <w:rPr>
          <w:rFonts w:hint="eastAsia" w:ascii="宋体" w:hAnsi="宋体" w:eastAsia="宋体" w:cs="宋体"/>
          <w:color w:val="auto"/>
          <w:szCs w:val="21"/>
          <w:highlight w:val="none"/>
        </w:rPr>
        <w:t>34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签署合同</w:t>
      </w:r>
      <w:bookmarkEnd w:id="561"/>
      <w:bookmarkEnd w:id="562"/>
      <w:bookmarkEnd w:id="563"/>
      <w:bookmarkEnd w:id="564"/>
      <w:bookmarkEnd w:id="565"/>
      <w:bookmarkEnd w:id="566"/>
      <w:bookmarkEnd w:id="567"/>
      <w:bookmarkEnd w:id="568"/>
      <w:bookmarkEnd w:id="569"/>
      <w:bookmarkEnd w:id="570"/>
      <w:bookmarkEnd w:id="571"/>
      <w:bookmarkEnd w:id="572"/>
      <w:bookmarkEnd w:id="573"/>
    </w:p>
    <w:p w14:paraId="23AB2544">
      <w:pPr>
        <w:tabs>
          <w:tab w:val="left" w:pos="540"/>
        </w:tabs>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rPr>
        <w:t>34</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ab/>
      </w:r>
      <w:r>
        <w:rPr>
          <w:rFonts w:hint="eastAsia" w:ascii="宋体" w:hAnsi="宋体" w:eastAsia="宋体" w:cs="Times New Roman"/>
          <w:b/>
          <w:color w:val="auto"/>
          <w:szCs w:val="21"/>
          <w:highlight w:val="none"/>
          <w:u w:val="single"/>
          <w:lang w:val="zh-CN"/>
        </w:rPr>
        <w:t>中标人在自中标通知书发出之日起30日内，按照招标文件和中标人的投标文件的约定，与招标人签订书面合同，具体签订方式以招标人通知为准。否则招标人有权取消中标资格并按招标文件及法律、法规的规定进行处理</w:t>
      </w:r>
      <w:r>
        <w:rPr>
          <w:rFonts w:hint="eastAsia" w:ascii="宋体" w:hAnsi="宋体" w:eastAsia="宋体" w:cs="宋体"/>
          <w:color w:val="auto"/>
          <w:szCs w:val="21"/>
          <w:highlight w:val="none"/>
          <w:lang w:val="zh-CN"/>
        </w:rPr>
        <w:t>。</w:t>
      </w:r>
    </w:p>
    <w:p w14:paraId="2F88D366">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34.2 在签署合同前，招标人可对中标人投标报价的算术性错误进行修正，修正原则为：</w:t>
      </w:r>
    </w:p>
    <w:p w14:paraId="1AF4BC76">
      <w:pPr>
        <w:autoSpaceDE w:val="0"/>
        <w:autoSpaceDN w:val="0"/>
        <w:adjustRightInd w:val="0"/>
        <w:snapToGrid w:val="0"/>
        <w:spacing w:line="360" w:lineRule="auto"/>
        <w:ind w:left="315" w:leftChars="100" w:hanging="105" w:hangingChars="50"/>
        <w:jc w:val="lef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（1）当以数字表示的金额与以文字表示的金额不一致时，以文字表示的金额为准。经双方确认后，作为合同文件的组成部分。</w:t>
      </w:r>
    </w:p>
    <w:p w14:paraId="737CE70D">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p>
    <w:p w14:paraId="63CA65BA">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574" w:name="_Toc450662887"/>
      <w:bookmarkStart w:id="575" w:name="_Toc3830"/>
      <w:bookmarkStart w:id="576" w:name="_Toc23810"/>
      <w:bookmarkStart w:id="577" w:name="_Toc486167701"/>
      <w:bookmarkStart w:id="578" w:name="_Toc29370"/>
      <w:bookmarkStart w:id="579" w:name="_Toc8181"/>
      <w:bookmarkStart w:id="580" w:name="_Toc4831"/>
      <w:bookmarkStart w:id="581" w:name="_Toc5304"/>
      <w:bookmarkStart w:id="582" w:name="_Toc142508352"/>
      <w:bookmarkStart w:id="583" w:name="_Toc29959"/>
      <w:bookmarkStart w:id="584" w:name="_Toc21776"/>
      <w:bookmarkStart w:id="585" w:name="_Toc11163"/>
      <w:bookmarkStart w:id="586" w:name="_Toc10513_WPSOffice_Level3"/>
      <w:r>
        <w:rPr>
          <w:rFonts w:hint="eastAsia" w:ascii="宋体" w:hAnsi="宋体" w:eastAsia="宋体" w:cs="宋体"/>
          <w:color w:val="auto"/>
          <w:szCs w:val="21"/>
          <w:highlight w:val="none"/>
        </w:rPr>
        <w:t>35</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履约担保</w:t>
      </w:r>
      <w:bookmarkEnd w:id="574"/>
      <w:bookmarkEnd w:id="575"/>
      <w:bookmarkEnd w:id="576"/>
      <w:bookmarkEnd w:id="577"/>
      <w:bookmarkEnd w:id="578"/>
      <w:bookmarkEnd w:id="579"/>
      <w:bookmarkEnd w:id="580"/>
      <w:bookmarkEnd w:id="581"/>
      <w:bookmarkEnd w:id="582"/>
      <w:bookmarkEnd w:id="583"/>
      <w:bookmarkEnd w:id="584"/>
      <w:bookmarkEnd w:id="585"/>
      <w:bookmarkEnd w:id="586"/>
    </w:p>
    <w:p w14:paraId="68BD25C6">
      <w:pPr>
        <w:numPr>
          <w:ilvl w:val="1"/>
          <w:numId w:val="0"/>
        </w:numPr>
        <w:tabs>
          <w:tab w:val="left" w:pos="3780"/>
        </w:tabs>
        <w:autoSpaceDE w:val="0"/>
        <w:autoSpaceDN w:val="0"/>
        <w:adjustRightInd w:val="0"/>
        <w:spacing w:line="360" w:lineRule="auto"/>
        <w:ind w:left="354" w:leftChars="-100" w:right="15" w:rightChars="7" w:hanging="564" w:hangingChars="269"/>
        <w:rPr>
          <w:rFonts w:ascii="宋体" w:hAnsi="宋体" w:eastAsia="宋体" w:cs="宋体"/>
          <w:b/>
          <w:bCs/>
          <w:color w:val="auto"/>
          <w:szCs w:val="21"/>
          <w:highlight w:val="none"/>
          <w:lang w:val="zh-CN"/>
        </w:rPr>
      </w:pPr>
      <w:bookmarkStart w:id="587" w:name="_Toc465358977"/>
      <w:bookmarkStart w:id="588" w:name="_Toc466882025"/>
      <w:r>
        <w:rPr>
          <w:rFonts w:hint="eastAsia" w:ascii="宋体" w:hAnsi="宋体" w:eastAsia="宋体" w:cs="宋体"/>
          <w:bCs/>
          <w:color w:val="auto"/>
          <w:szCs w:val="21"/>
          <w:highlight w:val="none"/>
        </w:rPr>
        <w:t>35</w:t>
      </w:r>
      <w:r>
        <w:rPr>
          <w:rFonts w:hint="eastAsia" w:ascii="宋体" w:hAnsi="宋体" w:eastAsia="宋体" w:cs="宋体"/>
          <w:bCs/>
          <w:color w:val="auto"/>
          <w:szCs w:val="21"/>
          <w:highlight w:val="none"/>
          <w:lang w:val="zh-CN"/>
        </w:rPr>
        <w:t>.1</w:t>
      </w:r>
      <w:r>
        <w:rPr>
          <w:rFonts w:hint="eastAsia" w:ascii="宋体" w:hAnsi="宋体" w:eastAsia="宋体" w:cs="宋体"/>
          <w:b/>
          <w:bCs/>
          <w:color w:val="auto"/>
          <w:szCs w:val="21"/>
          <w:highlight w:val="none"/>
          <w:lang w:val="zh-CN"/>
        </w:rPr>
        <w:t xml:space="preserve"> </w:t>
      </w:r>
      <w:r>
        <w:rPr>
          <w:rFonts w:hint="eastAsia" w:ascii="宋体" w:hAnsi="宋体" w:eastAsia="宋体" w:cs="Times New Roman"/>
          <w:b/>
          <w:bCs/>
          <w:color w:val="auto"/>
          <w:szCs w:val="21"/>
          <w:highlight w:val="none"/>
          <w:u w:val="single"/>
          <w:lang w:val="zh-CN"/>
        </w:rPr>
        <w:t>中标人应在签订合同前，按本招标文件规定金额及形式要求，向招标人提交不可撤销银行履约保函（或履约保证金</w:t>
      </w:r>
      <w:r>
        <w:rPr>
          <w:rFonts w:hint="eastAsia" w:ascii="宋体" w:hAnsi="宋体" w:eastAsia="宋体" w:cs="Times New Roman"/>
          <w:b/>
          <w:bCs/>
          <w:color w:val="auto"/>
          <w:szCs w:val="21"/>
          <w:highlight w:val="none"/>
          <w:u w:val="single"/>
          <w:lang w:val="en-US" w:eastAsia="zh-CN"/>
        </w:rPr>
        <w:t>或履约保证保险</w:t>
      </w:r>
      <w:r>
        <w:rPr>
          <w:rFonts w:hint="eastAsia" w:ascii="宋体" w:hAnsi="宋体" w:eastAsia="宋体" w:cs="Times New Roman"/>
          <w:b/>
          <w:bCs/>
          <w:color w:val="auto"/>
          <w:szCs w:val="21"/>
          <w:highlight w:val="none"/>
          <w:u w:val="single"/>
          <w:lang w:val="zh-CN"/>
        </w:rPr>
        <w:t>或担保公司履约担保书），作为履约担保（所需费用由中标人自行承担），</w:t>
      </w:r>
      <w:r>
        <w:rPr>
          <w:rFonts w:ascii="宋体" w:hAnsi="宋体" w:eastAsia="宋体" w:cs="Arial"/>
          <w:b/>
          <w:bCs/>
          <w:color w:val="auto"/>
          <w:kern w:val="0"/>
          <w:szCs w:val="24"/>
          <w:highlight w:val="none"/>
          <w:u w:val="single"/>
        </w:rPr>
        <w:t>否则招标人可取消中标人的中标资格，</w:t>
      </w:r>
      <w:r>
        <w:rPr>
          <w:rFonts w:hint="eastAsia" w:ascii="宋体" w:hAnsi="宋体" w:eastAsia="宋体" w:cs="Arial"/>
          <w:b/>
          <w:bCs/>
          <w:color w:val="auto"/>
          <w:kern w:val="0"/>
          <w:szCs w:val="24"/>
          <w:highlight w:val="none"/>
          <w:u w:val="single"/>
        </w:rPr>
        <w:t>不予退还其投标保证金。</w:t>
      </w:r>
      <w:r>
        <w:rPr>
          <w:rFonts w:hint="eastAsia" w:ascii="宋体" w:hAnsi="宋体" w:eastAsia="宋体" w:cs="Times New Roman"/>
          <w:b/>
          <w:bCs/>
          <w:color w:val="auto"/>
          <w:szCs w:val="21"/>
          <w:highlight w:val="none"/>
          <w:u w:val="single"/>
          <w:lang w:val="zh-CN"/>
        </w:rPr>
        <w:t>其中，采用履约保证金（银行转账形式）的金额为暂定合同总价的5%，采用不可撤销银行履约保函形式的金额为暂定合同总价的8%，采用</w:t>
      </w:r>
      <w:r>
        <w:rPr>
          <w:rFonts w:hint="eastAsia" w:ascii="宋体" w:hAnsi="宋体" w:eastAsia="宋体" w:cs="Times New Roman"/>
          <w:b/>
          <w:bCs/>
          <w:color w:val="auto"/>
          <w:szCs w:val="21"/>
          <w:highlight w:val="none"/>
          <w:u w:val="single"/>
          <w:lang w:val="en-US" w:eastAsia="zh-CN"/>
        </w:rPr>
        <w:t>履约保证保险</w:t>
      </w:r>
      <w:r>
        <w:rPr>
          <w:rFonts w:hint="eastAsia" w:ascii="宋体" w:hAnsi="宋体" w:eastAsia="宋体" w:cs="Times New Roman"/>
          <w:b/>
          <w:bCs/>
          <w:color w:val="auto"/>
          <w:szCs w:val="21"/>
          <w:highlight w:val="none"/>
          <w:u w:val="single"/>
          <w:lang w:val="zh-CN"/>
        </w:rPr>
        <w:t>形式的金额为暂定合同总价的8%，采用担保公司履约担保书形式的金额为暂定合同总价的</w:t>
      </w:r>
      <w:r>
        <w:rPr>
          <w:rFonts w:ascii="宋体" w:hAnsi="宋体" w:eastAsia="宋体" w:cs="Times New Roman"/>
          <w:b/>
          <w:bCs/>
          <w:color w:val="auto"/>
          <w:szCs w:val="21"/>
          <w:highlight w:val="none"/>
          <w:u w:val="single"/>
          <w:lang w:val="zh-CN"/>
        </w:rPr>
        <w:t>10</w:t>
      </w:r>
      <w:r>
        <w:rPr>
          <w:rFonts w:hint="eastAsia" w:ascii="宋体" w:hAnsi="宋体" w:eastAsia="宋体" w:cs="Times New Roman"/>
          <w:b/>
          <w:bCs/>
          <w:color w:val="auto"/>
          <w:szCs w:val="21"/>
          <w:highlight w:val="none"/>
          <w:u w:val="single"/>
          <w:lang w:val="zh-CN"/>
        </w:rPr>
        <w:t>%。</w:t>
      </w:r>
      <w:r>
        <w:rPr>
          <w:rFonts w:hint="eastAsia" w:ascii="宋体" w:hAnsi="宋体" w:eastAsia="宋体" w:cs="Arial"/>
          <w:bCs/>
          <w:color w:val="auto"/>
          <w:kern w:val="0"/>
          <w:szCs w:val="24"/>
          <w:highlight w:val="none"/>
        </w:rPr>
        <w:t>合同履行过程中，中标人</w:t>
      </w:r>
      <w:r>
        <w:rPr>
          <w:rFonts w:hint="eastAsia" w:ascii="宋体" w:hAnsi="宋体" w:eastAsia="宋体" w:cs="Arial"/>
          <w:color w:val="auto"/>
          <w:kern w:val="0"/>
          <w:szCs w:val="24"/>
          <w:highlight w:val="none"/>
        </w:rPr>
        <w:t>给招标人造成的损失超过履约担保数额的，中标人还应当对超过部分予以赔偿，招标人并依法追究中标人的相应责任。</w:t>
      </w:r>
    </w:p>
    <w:p w14:paraId="3CFABD8B">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35.2 </w:t>
      </w:r>
      <w:r>
        <w:rPr>
          <w:rFonts w:hint="eastAsia" w:ascii="宋体" w:hAnsi="宋体" w:eastAsia="宋体" w:cs="Times New Roman"/>
          <w:color w:val="auto"/>
          <w:kern w:val="0"/>
          <w:szCs w:val="21"/>
          <w:highlight w:val="none"/>
        </w:rPr>
        <w:t>履约担保用于补偿招标人因中标人不能完全履行其合同义务而蒙受的损失或其他合同约定的事项。如发生下列任一情况时，招标人有权依合同追究违约责任外，同时有权提取履约担保并进行相应处理</w:t>
      </w:r>
      <w:r>
        <w:rPr>
          <w:rFonts w:hint="eastAsia" w:ascii="宋体" w:hAnsi="宋体" w:eastAsia="宋体" w:cs="宋体"/>
          <w:color w:val="auto"/>
          <w:kern w:val="0"/>
          <w:szCs w:val="21"/>
          <w:highlight w:val="none"/>
        </w:rPr>
        <w:t>：</w:t>
      </w:r>
    </w:p>
    <w:p w14:paraId="4F4D56DE">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w:t>
      </w:r>
      <w:r>
        <w:rPr>
          <w:rFonts w:hint="eastAsia" w:ascii="宋体" w:hAnsi="宋体" w:eastAsia="宋体" w:cs="Times New Roman"/>
          <w:color w:val="auto"/>
          <w:kern w:val="0"/>
          <w:szCs w:val="21"/>
          <w:highlight w:val="none"/>
        </w:rPr>
        <w:t>中标人将合同项下中标人的权利义务全部转让给第三方，或未经招标人书面同意将部分权利义务转让给第三方的，招标人有权没收其履约担保。</w:t>
      </w:r>
    </w:p>
    <w:p w14:paraId="22009B52">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2）在合同履行期间，中标人</w:t>
      </w:r>
      <w:r>
        <w:rPr>
          <w:rFonts w:hint="eastAsia" w:ascii="宋体" w:hAnsi="宋体" w:eastAsia="宋体" w:cs="Times New Roman"/>
          <w:color w:val="auto"/>
          <w:kern w:val="0"/>
          <w:szCs w:val="21"/>
          <w:highlight w:val="none"/>
        </w:rPr>
        <w:t>怠于履行合同义务，经招标人通知或要求承担违约金后仍拒不改正的，招标人可依法没收或适当扣除其履约担保。</w:t>
      </w:r>
    </w:p>
    <w:p w14:paraId="63AE355D">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3）在合同履行期间，因中标人</w:t>
      </w:r>
      <w:r>
        <w:rPr>
          <w:rFonts w:hint="eastAsia" w:ascii="宋体" w:hAnsi="宋体" w:eastAsia="宋体" w:cs="Times New Roman"/>
          <w:color w:val="auto"/>
          <w:kern w:val="0"/>
          <w:szCs w:val="21"/>
          <w:highlight w:val="none"/>
        </w:rPr>
        <w:t>货物、</w:t>
      </w:r>
      <w:r>
        <w:rPr>
          <w:rFonts w:ascii="宋体" w:hAnsi="宋体" w:eastAsia="宋体" w:cs="Times New Roman"/>
          <w:color w:val="auto"/>
          <w:kern w:val="0"/>
          <w:szCs w:val="21"/>
          <w:highlight w:val="none"/>
        </w:rPr>
        <w:t>服务质量问题造成损害、侵权损失（包括但不限于招标人经济损失、第三人人身财产损失等）、</w:t>
      </w:r>
      <w:r>
        <w:rPr>
          <w:rFonts w:hint="eastAsia" w:ascii="宋体" w:hAnsi="宋体" w:eastAsia="宋体" w:cs="Times New Roman"/>
          <w:color w:val="auto"/>
          <w:kern w:val="0"/>
          <w:szCs w:val="21"/>
          <w:highlight w:val="none"/>
        </w:rPr>
        <w:t>拖欠原材料供应商货款或与其所雇用员工发生劳资纠纷、上访、闹事或其他影响招标人生产经营等情况而其未及时妥善处理的</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招标人有权使用履约担保予以支付或作出相应处理，由此产生的一切法律后果由中标人承担。</w:t>
      </w:r>
    </w:p>
    <w:p w14:paraId="4D1775A5">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4）在合同履行期间，中标人违约产生的违约金、赔偿、罚款或其他应付费用等款项，招标人有权直接从未付款项中直接扣除或启用履约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予以支付。</w:t>
      </w:r>
    </w:p>
    <w:p w14:paraId="55253763">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5）合同期内，中标人不能及时完成合同某项义务的，招标人有权提取履约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用于处理该项工作。</w:t>
      </w:r>
    </w:p>
    <w:p w14:paraId="2AD1D42F">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6）其他根据本合同约定或法律规定，招标人可启用履约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的情形。</w:t>
      </w:r>
    </w:p>
    <w:p w14:paraId="1928BAB2">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35.3  履约担保应符合如下规定：</w:t>
      </w:r>
    </w:p>
    <w:p w14:paraId="5D6DD567">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r>
        <w:rPr>
          <w:rFonts w:ascii="宋体" w:hAnsi="宋体" w:eastAsia="宋体" w:cs="Times New Roman"/>
          <w:color w:val="auto"/>
          <w:kern w:val="0"/>
          <w:szCs w:val="21"/>
          <w:highlight w:val="none"/>
        </w:rPr>
        <w:t>出具履约保函的银行必须是</w:t>
      </w:r>
      <w:r>
        <w:rPr>
          <w:rFonts w:hint="eastAsia" w:ascii="宋体" w:hAnsi="宋体" w:eastAsia="宋体" w:cs="Times New Roman"/>
          <w:color w:val="auto"/>
          <w:kern w:val="0"/>
          <w:szCs w:val="21"/>
          <w:highlight w:val="none"/>
        </w:rPr>
        <w:t>境内</w:t>
      </w:r>
      <w:r>
        <w:rPr>
          <w:rFonts w:ascii="宋体" w:hAnsi="宋体" w:eastAsia="宋体" w:cs="Times New Roman"/>
          <w:color w:val="auto"/>
          <w:kern w:val="0"/>
          <w:szCs w:val="21"/>
          <w:highlight w:val="none"/>
        </w:rPr>
        <w:t>支行一级以上机构，并经招标人同意，执行本款时所发生的费用由中标人</w:t>
      </w:r>
      <w:r>
        <w:rPr>
          <w:rFonts w:hint="eastAsia" w:ascii="宋体" w:hAnsi="宋体" w:eastAsia="宋体" w:cs="Times New Roman"/>
          <w:color w:val="auto"/>
          <w:kern w:val="0"/>
          <w:szCs w:val="21"/>
          <w:highlight w:val="none"/>
        </w:rPr>
        <w:t>承担</w:t>
      </w:r>
      <w:r>
        <w:rPr>
          <w:rFonts w:ascii="宋体" w:hAnsi="宋体" w:eastAsia="宋体" w:cs="Times New Roman"/>
          <w:color w:val="auto"/>
          <w:kern w:val="0"/>
          <w:szCs w:val="21"/>
          <w:highlight w:val="none"/>
        </w:rPr>
        <w:t>。</w:t>
      </w:r>
    </w:p>
    <w:p w14:paraId="19C118C4">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w:t>
      </w:r>
      <w:r>
        <w:rPr>
          <w:rFonts w:ascii="宋体" w:hAnsi="宋体" w:eastAsia="宋体" w:cs="Times New Roman"/>
          <w:color w:val="auto"/>
          <w:kern w:val="0"/>
          <w:szCs w:val="21"/>
          <w:highlight w:val="none"/>
        </w:rPr>
        <w:t>履约担保格式应采用招标文件中提供的（格式参见第</w:t>
      </w:r>
      <w:r>
        <w:rPr>
          <w:rFonts w:hint="eastAsia" w:ascii="宋体" w:hAnsi="宋体" w:eastAsia="宋体" w:cs="Times New Roman"/>
          <w:color w:val="auto"/>
          <w:kern w:val="0"/>
          <w:szCs w:val="21"/>
          <w:highlight w:val="none"/>
        </w:rPr>
        <w:t>五篇</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投标人如以履约保函（或履约保证保险或</w:t>
      </w:r>
      <w:r>
        <w:rPr>
          <w:rFonts w:hint="eastAsia" w:ascii="宋体" w:hAnsi="宋体" w:eastAsia="宋体" w:cs="Times New Roman"/>
          <w:color w:val="auto"/>
          <w:kern w:val="0"/>
          <w:szCs w:val="21"/>
          <w:highlight w:val="none"/>
          <w:lang w:val="en-US" w:eastAsia="zh-CN"/>
        </w:rPr>
        <w:t>担保公司</w:t>
      </w:r>
      <w:r>
        <w:rPr>
          <w:rFonts w:hint="eastAsia" w:ascii="宋体" w:hAnsi="宋体" w:eastAsia="宋体" w:cs="Times New Roman"/>
          <w:color w:val="auto"/>
          <w:kern w:val="0"/>
          <w:szCs w:val="21"/>
          <w:highlight w:val="none"/>
        </w:rPr>
        <w:t>履约担保书）形式提供履约担保的，投标前应当自行向其拟申请开具保函的银行（</w:t>
      </w:r>
      <w:r>
        <w:rPr>
          <w:rFonts w:hint="eastAsia" w:ascii="宋体" w:hAnsi="宋体" w:eastAsia="宋体" w:cs="Times New Roman"/>
          <w:color w:val="auto"/>
          <w:kern w:val="0"/>
          <w:szCs w:val="21"/>
          <w:highlight w:val="none"/>
          <w:lang w:val="en-US" w:eastAsia="zh-CN"/>
        </w:rPr>
        <w:t>或保险</w:t>
      </w:r>
      <w:r>
        <w:rPr>
          <w:rFonts w:hint="eastAsia" w:ascii="宋体" w:hAnsi="宋体" w:eastAsia="宋体" w:cs="Times New Roman"/>
          <w:color w:val="auto"/>
          <w:kern w:val="0"/>
          <w:szCs w:val="21"/>
          <w:highlight w:val="none"/>
        </w:rPr>
        <w:t>或担保）机构落实履约保函（或履约保证保险或</w:t>
      </w:r>
      <w:r>
        <w:rPr>
          <w:rFonts w:hint="eastAsia" w:ascii="宋体" w:hAnsi="宋体" w:eastAsia="宋体" w:cs="Times New Roman"/>
          <w:color w:val="auto"/>
          <w:kern w:val="0"/>
          <w:szCs w:val="21"/>
          <w:highlight w:val="none"/>
          <w:lang w:val="en-US" w:eastAsia="zh-CN"/>
        </w:rPr>
        <w:t>担保公司</w:t>
      </w:r>
      <w:r>
        <w:rPr>
          <w:rFonts w:hint="eastAsia" w:ascii="宋体" w:hAnsi="宋体" w:eastAsia="宋体" w:cs="Times New Roman"/>
          <w:color w:val="auto"/>
          <w:kern w:val="0"/>
          <w:szCs w:val="21"/>
          <w:highlight w:val="none"/>
        </w:rPr>
        <w:t>履约担保书）格式情况，以确保能按本招标文件规定的格式提供保函。</w:t>
      </w:r>
      <w:r>
        <w:rPr>
          <w:rFonts w:ascii="宋体" w:hAnsi="宋体" w:eastAsia="宋体" w:cs="Times New Roman"/>
          <w:color w:val="auto"/>
          <w:kern w:val="0"/>
          <w:szCs w:val="21"/>
          <w:highlight w:val="none"/>
        </w:rPr>
        <w:t>如使用其他格式的履约保函</w:t>
      </w:r>
      <w:r>
        <w:rPr>
          <w:rFonts w:hint="eastAsia" w:ascii="宋体" w:hAnsi="宋体" w:eastAsia="宋体" w:cs="Times New Roman"/>
          <w:color w:val="auto"/>
          <w:kern w:val="0"/>
          <w:szCs w:val="21"/>
          <w:highlight w:val="none"/>
        </w:rPr>
        <w:t>（或履约保证保险或</w:t>
      </w:r>
      <w:r>
        <w:rPr>
          <w:rFonts w:hint="eastAsia" w:ascii="宋体" w:hAnsi="宋体" w:eastAsia="宋体" w:cs="Times New Roman"/>
          <w:color w:val="auto"/>
          <w:kern w:val="0"/>
          <w:szCs w:val="21"/>
          <w:highlight w:val="none"/>
          <w:lang w:val="en-US" w:eastAsia="zh-CN"/>
        </w:rPr>
        <w:t>担保公司</w:t>
      </w:r>
      <w:r>
        <w:rPr>
          <w:rFonts w:hint="eastAsia" w:ascii="宋体" w:hAnsi="宋体" w:eastAsia="宋体" w:cs="Times New Roman"/>
          <w:color w:val="auto"/>
          <w:kern w:val="0"/>
          <w:szCs w:val="21"/>
          <w:highlight w:val="none"/>
        </w:rPr>
        <w:t>履约担保书）</w:t>
      </w:r>
      <w:r>
        <w:rPr>
          <w:rFonts w:ascii="宋体" w:hAnsi="宋体" w:eastAsia="宋体" w:cs="Times New Roman"/>
          <w:color w:val="auto"/>
          <w:kern w:val="0"/>
          <w:szCs w:val="21"/>
          <w:highlight w:val="none"/>
        </w:rPr>
        <w:t>，须事先经招标人的书面</w:t>
      </w:r>
      <w:r>
        <w:rPr>
          <w:rFonts w:hint="eastAsia" w:ascii="宋体" w:hAnsi="宋体" w:eastAsia="宋体" w:cs="Times New Roman"/>
          <w:color w:val="auto"/>
          <w:kern w:val="0"/>
          <w:szCs w:val="21"/>
          <w:highlight w:val="none"/>
        </w:rPr>
        <w:t>同意</w:t>
      </w:r>
      <w:r>
        <w:rPr>
          <w:rFonts w:ascii="宋体" w:hAnsi="宋体" w:eastAsia="宋体" w:cs="Times New Roman"/>
          <w:color w:val="auto"/>
          <w:kern w:val="0"/>
          <w:szCs w:val="21"/>
          <w:highlight w:val="none"/>
        </w:rPr>
        <w:t>。</w:t>
      </w:r>
    </w:p>
    <w:p w14:paraId="1E1D77BD">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3</w:t>
      </w:r>
      <w:r>
        <w:rPr>
          <w:rFonts w:hint="eastAsia" w:ascii="宋体" w:hAnsi="宋体" w:eastAsia="宋体" w:cs="Times New Roman"/>
          <w:color w:val="auto"/>
          <w:kern w:val="0"/>
          <w:szCs w:val="21"/>
          <w:highlight w:val="none"/>
        </w:rPr>
        <w:t>）提供担保的担保机构经济性质须为</w:t>
      </w:r>
      <w:r>
        <w:rPr>
          <w:rFonts w:hint="eastAsia" w:ascii="宋体" w:hAnsi="宋体" w:eastAsia="宋体" w:cs="Times New Roman"/>
          <w:color w:val="auto"/>
          <w:kern w:val="0"/>
          <w:szCs w:val="21"/>
          <w:highlight w:val="none"/>
          <w:lang w:val="en-US" w:eastAsia="zh-CN"/>
        </w:rPr>
        <w:t>东莞</w:t>
      </w:r>
      <w:r>
        <w:rPr>
          <w:rFonts w:hint="eastAsia" w:ascii="宋体" w:hAnsi="宋体" w:eastAsia="宋体" w:cs="Times New Roman"/>
          <w:color w:val="auto"/>
          <w:kern w:val="0"/>
          <w:szCs w:val="21"/>
          <w:highlight w:val="none"/>
        </w:rPr>
        <w:t>市国有企业，或政府性融资担保机构（中标人须提供能证明其属于政府性融资担保机构的证明文件），并经招标人同意，执行本款时所发生的费用由中标人承担。如招标人合同条款接受担保公司预付款担保函的，对担保机构要求参照本条执行</w:t>
      </w:r>
      <w:r>
        <w:rPr>
          <w:rFonts w:ascii="宋体" w:hAnsi="宋体" w:eastAsia="宋体" w:cs="Times New Roman"/>
          <w:color w:val="auto"/>
          <w:kern w:val="0"/>
          <w:szCs w:val="21"/>
          <w:highlight w:val="none"/>
        </w:rPr>
        <w:t>。</w:t>
      </w:r>
    </w:p>
    <w:p w14:paraId="7A042998">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（4）</w:t>
      </w:r>
      <w:r>
        <w:rPr>
          <w:rFonts w:ascii="宋体" w:hAnsi="宋体" w:eastAsia="宋体" w:cs="Times New Roman"/>
          <w:color w:val="auto"/>
          <w:kern w:val="0"/>
          <w:szCs w:val="21"/>
          <w:highlight w:val="none"/>
        </w:rPr>
        <w:t>如果</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人提交的履约担保的有效期届满时间先于招标文件、合同文件要求的，</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人应在原提交的履约担保有效期届满前15</w:t>
      </w:r>
      <w:r>
        <w:rPr>
          <w:rFonts w:hint="eastAsia" w:ascii="宋体" w:hAnsi="宋体" w:eastAsia="宋体" w:cs="Times New Roman"/>
          <w:color w:val="auto"/>
          <w:kern w:val="0"/>
          <w:szCs w:val="21"/>
          <w:highlight w:val="none"/>
        </w:rPr>
        <w:t>日</w:t>
      </w:r>
      <w:r>
        <w:rPr>
          <w:rFonts w:ascii="宋体" w:hAnsi="宋体" w:eastAsia="宋体" w:cs="Times New Roman"/>
          <w:color w:val="auto"/>
          <w:kern w:val="0"/>
          <w:szCs w:val="21"/>
          <w:highlight w:val="none"/>
        </w:rPr>
        <w:t>内，无条件办理</w:t>
      </w:r>
      <w:r>
        <w:rPr>
          <w:rFonts w:hint="eastAsia" w:ascii="宋体" w:hAnsi="宋体" w:eastAsia="宋体" w:cs="Times New Roman"/>
          <w:color w:val="auto"/>
          <w:kern w:val="0"/>
          <w:szCs w:val="21"/>
          <w:highlight w:val="none"/>
        </w:rPr>
        <w:t>符合招标人要求的</w:t>
      </w:r>
      <w:r>
        <w:rPr>
          <w:rFonts w:ascii="宋体" w:hAnsi="宋体" w:eastAsia="宋体" w:cs="Times New Roman"/>
          <w:color w:val="auto"/>
          <w:kern w:val="0"/>
          <w:szCs w:val="21"/>
          <w:highlight w:val="none"/>
        </w:rPr>
        <w:t>履约担保延期手续，否则视为</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人违约，</w:t>
      </w:r>
      <w:r>
        <w:rPr>
          <w:rFonts w:hint="eastAsia" w:ascii="宋体" w:hAnsi="宋体" w:eastAsia="宋体" w:cs="Times New Roman"/>
          <w:color w:val="auto"/>
          <w:kern w:val="0"/>
          <w:szCs w:val="21"/>
          <w:highlight w:val="none"/>
        </w:rPr>
        <w:t>招标</w:t>
      </w:r>
      <w:r>
        <w:rPr>
          <w:rFonts w:ascii="宋体" w:hAnsi="宋体" w:eastAsia="宋体" w:cs="Times New Roman"/>
          <w:color w:val="auto"/>
          <w:kern w:val="0"/>
          <w:szCs w:val="21"/>
          <w:highlight w:val="none"/>
        </w:rPr>
        <w:t>人有权</w:t>
      </w:r>
      <w:r>
        <w:rPr>
          <w:rFonts w:hint="eastAsia" w:ascii="宋体" w:hAnsi="宋体" w:eastAsia="宋体" w:cs="Times New Roman"/>
          <w:color w:val="auto"/>
          <w:kern w:val="0"/>
          <w:szCs w:val="21"/>
          <w:highlight w:val="none"/>
        </w:rPr>
        <w:t>在不可撤销银行履约保函或履约保证保险或担保公司履约担保书到期前</w:t>
      </w:r>
      <w:r>
        <w:rPr>
          <w:rFonts w:ascii="宋体" w:hAnsi="宋体" w:eastAsia="宋体" w:cs="Times New Roman"/>
          <w:color w:val="auto"/>
          <w:kern w:val="0"/>
          <w:szCs w:val="21"/>
          <w:highlight w:val="none"/>
        </w:rPr>
        <w:t>向出具履约</w:t>
      </w:r>
      <w:r>
        <w:rPr>
          <w:rFonts w:hint="eastAsia" w:ascii="宋体" w:hAnsi="宋体" w:eastAsia="宋体" w:cs="Times New Roman"/>
          <w:color w:val="auto"/>
          <w:kern w:val="0"/>
          <w:szCs w:val="21"/>
          <w:highlight w:val="none"/>
        </w:rPr>
        <w:t>担保的机构</w:t>
      </w:r>
      <w:r>
        <w:rPr>
          <w:rFonts w:ascii="宋体" w:hAnsi="宋体" w:eastAsia="宋体" w:cs="Times New Roman"/>
          <w:color w:val="auto"/>
          <w:kern w:val="0"/>
          <w:szCs w:val="21"/>
          <w:highlight w:val="none"/>
        </w:rPr>
        <w:t>提取履约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金。</w:t>
      </w:r>
      <w:r>
        <w:rPr>
          <w:rFonts w:hint="eastAsia" w:ascii="宋体" w:hAnsi="宋体" w:eastAsia="宋体" w:cs="Times New Roman"/>
          <w:color w:val="auto"/>
          <w:kern w:val="0"/>
          <w:szCs w:val="21"/>
          <w:highlight w:val="none"/>
        </w:rPr>
        <w:t>在不可撤销银行履约保函</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rPr>
        <w:t>或履约保证保险</w:t>
      </w:r>
      <w:r>
        <w:rPr>
          <w:rFonts w:hint="eastAsia" w:ascii="宋体" w:hAnsi="宋体" w:eastAsia="宋体" w:cs="Times New Roman"/>
          <w:color w:val="auto"/>
          <w:kern w:val="0"/>
          <w:szCs w:val="21"/>
          <w:highlight w:val="none"/>
          <w:lang w:val="en-US" w:eastAsia="zh-CN"/>
        </w:rPr>
        <w:t>或</w:t>
      </w:r>
      <w:r>
        <w:rPr>
          <w:rFonts w:hint="eastAsia" w:ascii="宋体" w:hAnsi="宋体" w:eastAsia="宋体" w:cs="Times New Roman"/>
          <w:color w:val="auto"/>
          <w:kern w:val="0"/>
          <w:szCs w:val="21"/>
          <w:highlight w:val="none"/>
        </w:rPr>
        <w:t>担保公司履约担保书</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rPr>
        <w:t>到期后中标</w:t>
      </w:r>
      <w:r>
        <w:rPr>
          <w:rFonts w:ascii="宋体" w:hAnsi="宋体" w:eastAsia="宋体" w:cs="Times New Roman"/>
          <w:color w:val="auto"/>
          <w:kern w:val="0"/>
          <w:szCs w:val="21"/>
          <w:highlight w:val="none"/>
        </w:rPr>
        <w:t>人</w:t>
      </w:r>
      <w:r>
        <w:rPr>
          <w:rFonts w:hint="eastAsia" w:ascii="宋体" w:hAnsi="宋体" w:eastAsia="宋体" w:cs="Times New Roman"/>
          <w:color w:val="auto"/>
          <w:kern w:val="0"/>
          <w:szCs w:val="21"/>
          <w:highlight w:val="none"/>
        </w:rPr>
        <w:t>未按招标人要求重新提供的，招标人有权要求中标</w:t>
      </w:r>
      <w:r>
        <w:rPr>
          <w:rFonts w:ascii="宋体" w:hAnsi="宋体" w:eastAsia="宋体" w:cs="Times New Roman"/>
          <w:color w:val="auto"/>
          <w:kern w:val="0"/>
          <w:szCs w:val="21"/>
          <w:highlight w:val="none"/>
        </w:rPr>
        <w:t>人</w:t>
      </w:r>
      <w:r>
        <w:rPr>
          <w:rFonts w:hint="eastAsia" w:ascii="宋体" w:hAnsi="宋体" w:eastAsia="宋体" w:cs="Times New Roman"/>
          <w:color w:val="auto"/>
          <w:kern w:val="0"/>
          <w:szCs w:val="21"/>
          <w:highlight w:val="none"/>
        </w:rPr>
        <w:t>以履约担保金额为限承担违约金，违约金可直接从未付采购合同费用中扣除</w:t>
      </w:r>
      <w:r>
        <w:rPr>
          <w:rFonts w:ascii="宋体" w:hAnsi="宋体" w:eastAsia="宋体" w:cs="Times New Roman"/>
          <w:color w:val="auto"/>
          <w:kern w:val="0"/>
          <w:szCs w:val="21"/>
          <w:highlight w:val="none"/>
        </w:rPr>
        <w:t>。</w:t>
      </w:r>
    </w:p>
    <w:p w14:paraId="1BA7A9C7">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5</w:t>
      </w:r>
      <w:r>
        <w:rPr>
          <w:rFonts w:hint="eastAsia" w:ascii="宋体" w:hAnsi="宋体" w:eastAsia="宋体" w:cs="Times New Roman"/>
          <w:color w:val="auto"/>
          <w:kern w:val="0"/>
          <w:szCs w:val="21"/>
          <w:highlight w:val="none"/>
        </w:rPr>
        <w:t>）在合同履行过程中，不论何种原因导致履约担保金数额不符合招标文件要求的，中标人应当在</w:t>
      </w:r>
      <w:r>
        <w:rPr>
          <w:rFonts w:ascii="宋体" w:hAnsi="宋体" w:eastAsia="宋体" w:cs="Times New Roman"/>
          <w:color w:val="auto"/>
          <w:kern w:val="0"/>
          <w:szCs w:val="21"/>
          <w:highlight w:val="none"/>
        </w:rPr>
        <w:t>5日内予以补足。逾期不予补足的，</w:t>
      </w:r>
      <w:r>
        <w:rPr>
          <w:rFonts w:hint="eastAsia" w:ascii="宋体" w:hAnsi="宋体" w:eastAsia="宋体" w:cs="Times New Roman"/>
          <w:color w:val="auto"/>
          <w:kern w:val="0"/>
          <w:szCs w:val="21"/>
          <w:highlight w:val="none"/>
        </w:rPr>
        <w:t>招标人有权按需补足的金额要求中标人承担违约金，并要求限期补足。如中标人仍不补足的，招标人有权单方解除合同，违约金可直接从未付合同款或履约担保中扣除。</w:t>
      </w:r>
    </w:p>
    <w:p w14:paraId="4C17693B">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（6）不</w:t>
      </w:r>
      <w:r>
        <w:rPr>
          <w:rFonts w:hint="eastAsia" w:ascii="宋体" w:hAnsi="宋体" w:eastAsia="宋体" w:cs="Times New Roman"/>
          <w:color w:val="auto"/>
          <w:kern w:val="0"/>
          <w:szCs w:val="21"/>
          <w:highlight w:val="none"/>
        </w:rPr>
        <w:t>可撤销银行履约保函（或履约保证保险或担保公司履约担保书）</w:t>
      </w:r>
      <w:r>
        <w:rPr>
          <w:rFonts w:hint="eastAsia" w:ascii="宋体" w:hAnsi="宋体" w:eastAsia="宋体" w:cs="宋体"/>
          <w:color w:val="auto"/>
          <w:kern w:val="0"/>
          <w:szCs w:val="24"/>
          <w:highlight w:val="none"/>
          <w:lang w:val="en-US" w:eastAsia="zh-CN"/>
        </w:rPr>
        <w:t>应从合同签订之日（或签订合同前）起至合同期限届满并完成合同及补充协议项下全部服务义务，招标人向中标人支付全部款项后二十八（28）日内</w:t>
      </w:r>
      <w:r>
        <w:rPr>
          <w:rFonts w:ascii="宋体" w:hAnsi="宋体" w:eastAsia="宋体" w:cs="Times New Roman"/>
          <w:color w:val="auto"/>
          <w:kern w:val="0"/>
          <w:szCs w:val="21"/>
          <w:highlight w:val="none"/>
        </w:rPr>
        <w:t>保持有效</w:t>
      </w:r>
      <w:r>
        <w:rPr>
          <w:rFonts w:hint="eastAsia" w:ascii="宋体" w:hAnsi="宋体" w:eastAsia="宋体" w:cs="宋体"/>
          <w:color w:val="auto"/>
          <w:kern w:val="0"/>
          <w:szCs w:val="21"/>
          <w:highlight w:val="none"/>
        </w:rPr>
        <w:t>。</w:t>
      </w:r>
    </w:p>
    <w:p w14:paraId="07053982">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35.4  履约保证金应用本合同货币。</w:t>
      </w:r>
    </w:p>
    <w:p w14:paraId="419635A2">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35.5  中标人</w:t>
      </w:r>
      <w:r>
        <w:rPr>
          <w:rFonts w:ascii="宋体" w:hAnsi="宋体" w:eastAsia="宋体" w:cs="Times New Roman"/>
          <w:color w:val="auto"/>
          <w:kern w:val="0"/>
          <w:szCs w:val="21"/>
          <w:highlight w:val="none"/>
        </w:rPr>
        <w:t>也可以按招标文件约定的额度和时间，向招标人交纳同等数额的履约保证金作为履约担保。如中标人提交的履约保证金是其分支机构以转账形式转入的，要提交</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人的法人书面授权，不接受由私人账户和其它单位转入的保证金</w:t>
      </w:r>
      <w:r>
        <w:rPr>
          <w:rFonts w:hint="eastAsia" w:ascii="宋体" w:hAnsi="宋体" w:eastAsia="宋体" w:cs="Times New Roman"/>
          <w:color w:val="auto"/>
          <w:kern w:val="0"/>
          <w:szCs w:val="21"/>
          <w:highlight w:val="none"/>
        </w:rPr>
        <w:t>，也不接受现金形式提交</w:t>
      </w:r>
      <w:r>
        <w:rPr>
          <w:rFonts w:ascii="宋体" w:hAnsi="宋体" w:eastAsia="宋体" w:cs="Times New Roman"/>
          <w:color w:val="auto"/>
          <w:kern w:val="0"/>
          <w:szCs w:val="21"/>
          <w:highlight w:val="none"/>
        </w:rPr>
        <w:t>。履约保证金应以存入招标人指定的</w:t>
      </w:r>
      <w:r>
        <w:rPr>
          <w:rFonts w:hint="eastAsia" w:ascii="宋体" w:hAnsi="宋体" w:eastAsia="宋体" w:cs="Times New Roman"/>
          <w:color w:val="auto"/>
          <w:kern w:val="0"/>
          <w:szCs w:val="21"/>
          <w:highlight w:val="none"/>
        </w:rPr>
        <w:t>以下</w:t>
      </w:r>
      <w:r>
        <w:rPr>
          <w:rFonts w:ascii="宋体" w:hAnsi="宋体" w:eastAsia="宋体" w:cs="Times New Roman"/>
          <w:color w:val="auto"/>
          <w:kern w:val="0"/>
          <w:szCs w:val="21"/>
          <w:highlight w:val="none"/>
        </w:rPr>
        <w:t>银行账户为准</w:t>
      </w:r>
      <w:r>
        <w:rPr>
          <w:rFonts w:hint="eastAsia" w:ascii="宋体" w:hAnsi="宋体" w:eastAsia="宋体" w:cs="宋体"/>
          <w:color w:val="auto"/>
          <w:kern w:val="0"/>
          <w:szCs w:val="21"/>
          <w:highlight w:val="none"/>
        </w:rPr>
        <w:t>。</w:t>
      </w:r>
    </w:p>
    <w:p w14:paraId="34DA4EF0">
      <w:pPr>
        <w:tabs>
          <w:tab w:val="left" w:pos="360"/>
          <w:tab w:val="left" w:pos="4725"/>
        </w:tabs>
        <w:autoSpaceDE w:val="0"/>
        <w:autoSpaceDN w:val="0"/>
        <w:adjustRightInd w:val="0"/>
        <w:spacing w:line="360" w:lineRule="auto"/>
        <w:ind w:firstLine="632" w:firstLineChars="30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履约保证金账户：</w:t>
      </w:r>
      <w:r>
        <w:rPr>
          <w:rFonts w:hint="eastAsia" w:ascii="宋体" w:hAnsi="宋体" w:eastAsia="宋体" w:cs="宋体"/>
          <w:b/>
          <w:color w:val="auto"/>
          <w:kern w:val="0"/>
          <w:szCs w:val="21"/>
          <w:highlight w:val="none"/>
          <w:u w:val="single"/>
        </w:rPr>
        <w:t>（特别提醒，本账户非投标保证金账户）</w:t>
      </w:r>
    </w:p>
    <w:p w14:paraId="16987CF6">
      <w:pPr>
        <w:autoSpaceDE w:val="0"/>
        <w:autoSpaceDN w:val="0"/>
        <w:adjustRightInd w:val="0"/>
        <w:snapToGrid w:val="0"/>
        <w:spacing w:line="360" w:lineRule="auto"/>
        <w:ind w:firstLine="632" w:firstLineChars="300"/>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开户名称：东莞市樟村水质净化有限公司</w:t>
      </w:r>
    </w:p>
    <w:p w14:paraId="0E89146D">
      <w:pPr>
        <w:autoSpaceDE w:val="0"/>
        <w:autoSpaceDN w:val="0"/>
        <w:adjustRightInd w:val="0"/>
        <w:snapToGrid w:val="0"/>
        <w:spacing w:line="360" w:lineRule="auto"/>
        <w:ind w:firstLine="632" w:firstLineChars="300"/>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银行账号：2010021309900059812</w:t>
      </w:r>
    </w:p>
    <w:p w14:paraId="7182B0CF">
      <w:pPr>
        <w:autoSpaceDE w:val="0"/>
        <w:autoSpaceDN w:val="0"/>
        <w:adjustRightInd w:val="0"/>
        <w:snapToGrid w:val="0"/>
        <w:spacing w:line="360" w:lineRule="auto"/>
        <w:ind w:firstLine="632" w:firstLineChars="300"/>
        <w:jc w:val="left"/>
        <w:rPr>
          <w:rFonts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开户银行：中国工商银行股份有限公司东莞分行</w:t>
      </w:r>
    </w:p>
    <w:p w14:paraId="490686C9">
      <w:pPr>
        <w:autoSpaceDE w:val="0"/>
        <w:autoSpaceDN w:val="0"/>
        <w:adjustRightInd w:val="0"/>
        <w:spacing w:line="360" w:lineRule="auto"/>
        <w:ind w:left="420" w:leftChars="-100" w:hanging="630" w:hangingChars="3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35.6</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中标</w:t>
      </w:r>
      <w:r>
        <w:rPr>
          <w:rFonts w:hint="eastAsia" w:ascii="宋体" w:hAnsi="宋体" w:eastAsia="宋体" w:cs="Times New Roman"/>
          <w:color w:val="auto"/>
          <w:kern w:val="0"/>
          <w:szCs w:val="24"/>
          <w:highlight w:val="none"/>
        </w:rPr>
        <w:t>单位提交了履约担保后，当履约保证金转达招标人履约保证金账户后，</w:t>
      </w:r>
      <w:r>
        <w:rPr>
          <w:rFonts w:hint="eastAsia" w:ascii="宋体" w:hAnsi="宋体" w:eastAsia="宋体" w:cs="Times New Roman"/>
          <w:color w:val="auto"/>
          <w:szCs w:val="21"/>
          <w:highlight w:val="none"/>
          <w:lang w:val="zh-CN"/>
        </w:rPr>
        <w:t>中标</w:t>
      </w:r>
      <w:r>
        <w:rPr>
          <w:rFonts w:hint="eastAsia" w:ascii="宋体" w:hAnsi="宋体" w:eastAsia="宋体" w:cs="Times New Roman"/>
          <w:color w:val="auto"/>
          <w:kern w:val="0"/>
          <w:szCs w:val="24"/>
          <w:highlight w:val="none"/>
        </w:rPr>
        <w:t>人将履约保证金的汇款凭证用A4纸复印件（</w:t>
      </w:r>
      <w:r>
        <w:rPr>
          <w:rFonts w:hint="eastAsia" w:ascii="宋体" w:hAnsi="宋体" w:eastAsia="宋体" w:cs="Times New Roman"/>
          <w:bCs/>
          <w:color w:val="auto"/>
          <w:kern w:val="0"/>
          <w:szCs w:val="24"/>
          <w:highlight w:val="none"/>
        </w:rPr>
        <w:t>注明</w:t>
      </w:r>
      <w:r>
        <w:rPr>
          <w:rFonts w:hint="eastAsia" w:ascii="宋体" w:hAnsi="宋体" w:eastAsia="宋体" w:cs="Times New Roman"/>
          <w:bCs/>
          <w:color w:val="auto"/>
          <w:szCs w:val="21"/>
          <w:highlight w:val="none"/>
          <w:lang w:val="zh-CN"/>
        </w:rPr>
        <w:t>招标</w:t>
      </w:r>
      <w:r>
        <w:rPr>
          <w:rFonts w:hint="eastAsia" w:ascii="宋体" w:hAnsi="宋体" w:eastAsia="宋体" w:cs="Times New Roman"/>
          <w:bCs/>
          <w:color w:val="auto"/>
          <w:kern w:val="0"/>
          <w:szCs w:val="24"/>
          <w:highlight w:val="none"/>
        </w:rPr>
        <w:t>编号</w:t>
      </w:r>
      <w:r>
        <w:rPr>
          <w:rFonts w:hint="eastAsia" w:ascii="宋体" w:hAnsi="宋体" w:eastAsia="宋体" w:cs="Times New Roman"/>
          <w:color w:val="auto"/>
          <w:kern w:val="0"/>
          <w:szCs w:val="24"/>
          <w:highlight w:val="none"/>
        </w:rPr>
        <w:t>）一式二份并加盖</w:t>
      </w:r>
      <w:r>
        <w:rPr>
          <w:rFonts w:hint="eastAsia" w:ascii="宋体" w:hAnsi="宋体" w:eastAsia="宋体" w:cs="Times New Roman"/>
          <w:color w:val="auto"/>
          <w:szCs w:val="21"/>
          <w:highlight w:val="none"/>
          <w:lang w:val="zh-CN"/>
        </w:rPr>
        <w:t>中标</w:t>
      </w:r>
      <w:r>
        <w:rPr>
          <w:rFonts w:hint="eastAsia" w:ascii="宋体" w:hAnsi="宋体" w:eastAsia="宋体" w:cs="Times New Roman"/>
          <w:color w:val="auto"/>
          <w:kern w:val="0"/>
          <w:szCs w:val="24"/>
          <w:highlight w:val="none"/>
        </w:rPr>
        <w:t>人的公章送招标代理机构，[或当中标人采取不可撤销银行履约保函（</w:t>
      </w:r>
      <w:r>
        <w:rPr>
          <w:rFonts w:hint="eastAsia" w:ascii="宋体" w:hAnsi="宋体" w:eastAsia="宋体" w:cs="Times New Roman"/>
          <w:color w:val="auto"/>
          <w:kern w:val="0"/>
          <w:szCs w:val="21"/>
          <w:highlight w:val="none"/>
        </w:rPr>
        <w:t>或履约保证保险</w:t>
      </w:r>
      <w:r>
        <w:rPr>
          <w:rFonts w:hint="eastAsia" w:ascii="宋体" w:hAnsi="宋体" w:eastAsia="宋体" w:cs="Times New Roman"/>
          <w:color w:val="auto"/>
          <w:kern w:val="0"/>
          <w:szCs w:val="24"/>
          <w:highlight w:val="none"/>
        </w:rPr>
        <w:t>或担保公司履约担保书）的方式缴纳履约担保时，中标人将不可撤销银行履约保函（</w:t>
      </w:r>
      <w:r>
        <w:rPr>
          <w:rFonts w:hint="eastAsia" w:ascii="宋体" w:hAnsi="宋体" w:eastAsia="宋体" w:cs="Times New Roman"/>
          <w:color w:val="auto"/>
          <w:kern w:val="0"/>
          <w:szCs w:val="21"/>
          <w:highlight w:val="none"/>
        </w:rPr>
        <w:t>或履约保证保险</w:t>
      </w:r>
      <w:r>
        <w:rPr>
          <w:rFonts w:hint="eastAsia" w:ascii="宋体" w:hAnsi="宋体" w:eastAsia="宋体" w:cs="Times New Roman"/>
          <w:color w:val="auto"/>
          <w:kern w:val="0"/>
          <w:szCs w:val="24"/>
          <w:highlight w:val="none"/>
        </w:rPr>
        <w:t>或担保公司履约担保书）原件</w:t>
      </w:r>
      <w:r>
        <w:rPr>
          <w:rFonts w:hint="eastAsia" w:ascii="宋体" w:hAnsi="宋体" w:eastAsia="宋体" w:cs="Times New Roman"/>
          <w:color w:val="auto"/>
          <w:szCs w:val="21"/>
          <w:highlight w:val="none"/>
          <w:lang w:val="zh-CN"/>
        </w:rPr>
        <w:t>交给招标人，由招标人在</w:t>
      </w:r>
      <w:r>
        <w:rPr>
          <w:rFonts w:hint="eastAsia" w:ascii="宋体" w:hAnsi="宋体" w:eastAsia="宋体" w:cs="Times New Roman"/>
          <w:color w:val="auto"/>
          <w:kern w:val="0"/>
          <w:szCs w:val="24"/>
          <w:highlight w:val="none"/>
        </w:rPr>
        <w:t>履约保函一式两份复印件上</w:t>
      </w:r>
      <w:r>
        <w:rPr>
          <w:rFonts w:hint="eastAsia" w:ascii="宋体" w:hAnsi="宋体" w:eastAsia="宋体" w:cs="Times New Roman"/>
          <w:color w:val="auto"/>
          <w:szCs w:val="21"/>
          <w:highlight w:val="none"/>
          <w:lang w:val="zh-CN"/>
        </w:rPr>
        <w:t>注明“原件已收”及签收人、日期后，中标人在每份复印件上</w:t>
      </w:r>
      <w:r>
        <w:rPr>
          <w:rFonts w:hint="eastAsia" w:ascii="宋体" w:hAnsi="宋体" w:eastAsia="宋体" w:cs="Times New Roman"/>
          <w:color w:val="auto"/>
          <w:kern w:val="0"/>
          <w:szCs w:val="24"/>
          <w:highlight w:val="none"/>
        </w:rPr>
        <w:t>加盖</w:t>
      </w:r>
      <w:r>
        <w:rPr>
          <w:rFonts w:hint="eastAsia" w:ascii="宋体" w:hAnsi="宋体" w:eastAsia="宋体" w:cs="Times New Roman"/>
          <w:color w:val="auto"/>
          <w:szCs w:val="21"/>
          <w:highlight w:val="none"/>
          <w:lang w:val="zh-CN"/>
        </w:rPr>
        <w:t>中标</w:t>
      </w:r>
      <w:r>
        <w:rPr>
          <w:rFonts w:hint="eastAsia" w:ascii="宋体" w:hAnsi="宋体" w:eastAsia="宋体" w:cs="Times New Roman"/>
          <w:color w:val="auto"/>
          <w:kern w:val="0"/>
          <w:szCs w:val="24"/>
          <w:highlight w:val="none"/>
        </w:rPr>
        <w:t>人的公章，送招标代理机构]</w:t>
      </w:r>
      <w:r>
        <w:rPr>
          <w:rFonts w:hint="eastAsia" w:ascii="宋体" w:hAnsi="宋体" w:eastAsia="宋体" w:cs="宋体"/>
          <w:color w:val="auto"/>
          <w:kern w:val="0"/>
          <w:szCs w:val="21"/>
          <w:highlight w:val="none"/>
        </w:rPr>
        <w:t>。</w:t>
      </w:r>
    </w:p>
    <w:p w14:paraId="505994F4">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35.7</w:t>
      </w:r>
      <w:r>
        <w:rPr>
          <w:rFonts w:ascii="宋体" w:hAnsi="宋体" w:eastAsia="宋体" w:cs="Times New Roman"/>
          <w:color w:val="auto"/>
          <w:kern w:val="0"/>
          <w:szCs w:val="24"/>
          <w:highlight w:val="none"/>
        </w:rPr>
        <w:t xml:space="preserve">  </w:t>
      </w:r>
      <w:r>
        <w:rPr>
          <w:rFonts w:hint="eastAsia" w:ascii="宋体" w:hAnsi="宋体" w:eastAsia="宋体" w:cs="宋体"/>
          <w:color w:val="auto"/>
          <w:kern w:val="0"/>
          <w:szCs w:val="21"/>
          <w:highlight w:val="none"/>
        </w:rPr>
        <w:t>中标人以履约保证金（银行转账形式）提供履约担保的在依法完成本项目的所有合同义务，且</w:t>
      </w:r>
      <w:r>
        <w:rPr>
          <w:rFonts w:hint="eastAsia" w:ascii="宋体" w:hAnsi="宋体" w:eastAsia="宋体" w:cs="宋体"/>
          <w:color w:val="auto"/>
          <w:kern w:val="0"/>
          <w:szCs w:val="24"/>
          <w:highlight w:val="none"/>
          <w:lang w:val="en-US" w:eastAsia="zh-CN"/>
        </w:rPr>
        <w:t>招标人向中标人支付全部款项二十八（28）日</w:t>
      </w:r>
      <w:r>
        <w:rPr>
          <w:rFonts w:ascii="宋体" w:hAnsi="宋体" w:eastAsia="宋体" w:cs="宋体"/>
          <w:color w:val="auto"/>
          <w:kern w:val="0"/>
          <w:szCs w:val="21"/>
          <w:highlight w:val="none"/>
        </w:rPr>
        <w:t>后</w:t>
      </w:r>
      <w:r>
        <w:rPr>
          <w:rFonts w:hint="eastAsia" w:ascii="宋体" w:hAnsi="宋体" w:eastAsia="宋体" w:cs="宋体"/>
          <w:color w:val="auto"/>
          <w:kern w:val="0"/>
          <w:szCs w:val="21"/>
          <w:highlight w:val="none"/>
        </w:rPr>
        <w:t>，经招标人确认，中标人可向招标人提交退回履约担保的申请。招标人审核无异议后，办理履约担保退还手续，退回时一律以银行转账的形式无息退回到中标人的帐户。</w:t>
      </w:r>
    </w:p>
    <w:p w14:paraId="12FF6E62">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rPr>
      </w:pPr>
    </w:p>
    <w:p w14:paraId="6876F35C">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589" w:name="_Toc23822"/>
      <w:bookmarkStart w:id="590" w:name="_Toc4885"/>
      <w:bookmarkStart w:id="591" w:name="_Toc9976"/>
      <w:bookmarkStart w:id="592" w:name="_Toc12348"/>
      <w:bookmarkStart w:id="593" w:name="_Toc486167702"/>
      <w:bookmarkStart w:id="594" w:name="_Toc14293"/>
      <w:bookmarkStart w:id="595" w:name="_Toc27162"/>
      <w:bookmarkStart w:id="596" w:name="_Toc10548"/>
      <w:bookmarkStart w:id="597" w:name="_Toc31021"/>
      <w:bookmarkStart w:id="598" w:name="_Toc142508353"/>
      <w:bookmarkStart w:id="599" w:name="_Toc14949"/>
      <w:r>
        <w:rPr>
          <w:rFonts w:hint="eastAsia" w:ascii="宋体" w:hAnsi="宋体" w:eastAsia="宋体" w:cs="宋体"/>
          <w:color w:val="auto"/>
          <w:szCs w:val="21"/>
          <w:highlight w:val="none"/>
        </w:rPr>
        <w:t>36</w:t>
      </w:r>
      <w:r>
        <w:rPr>
          <w:rFonts w:hint="eastAsia" w:ascii="宋体" w:hAnsi="宋体" w:eastAsia="宋体" w:cs="宋体"/>
          <w:color w:val="auto"/>
          <w:szCs w:val="21"/>
          <w:highlight w:val="none"/>
          <w:lang w:val="zh-CN"/>
        </w:rPr>
        <w:t xml:space="preserve"> 在合同履行中变更采购范围的权利</w:t>
      </w:r>
      <w:bookmarkEnd w:id="587"/>
      <w:bookmarkEnd w:id="588"/>
      <w:bookmarkEnd w:id="589"/>
      <w:bookmarkEnd w:id="590"/>
      <w:bookmarkEnd w:id="591"/>
      <w:bookmarkEnd w:id="592"/>
      <w:bookmarkEnd w:id="593"/>
      <w:bookmarkEnd w:id="594"/>
      <w:bookmarkEnd w:id="595"/>
      <w:bookmarkEnd w:id="596"/>
      <w:bookmarkEnd w:id="597"/>
      <w:bookmarkEnd w:id="598"/>
      <w:bookmarkEnd w:id="599"/>
    </w:p>
    <w:p w14:paraId="17256A64">
      <w:pPr>
        <w:autoSpaceDE w:val="0"/>
        <w:autoSpaceDN w:val="0"/>
        <w:adjustRightInd w:val="0"/>
        <w:spacing w:line="360" w:lineRule="auto"/>
        <w:ind w:left="328" w:leftChars="-114" w:hanging="567" w:hanging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36.1</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合同履行中</w:t>
      </w:r>
      <w:r>
        <w:rPr>
          <w:rFonts w:ascii="宋体" w:hAnsi="宋体" w:eastAsia="宋体" w:cs="宋体"/>
          <w:color w:val="auto"/>
          <w:kern w:val="0"/>
          <w:szCs w:val="21"/>
          <w:highlight w:val="none"/>
        </w:rPr>
        <w:t>，</w:t>
      </w:r>
      <w:r>
        <w:rPr>
          <w:rFonts w:hint="eastAsia" w:ascii="宋体" w:hAnsi="宋体" w:eastAsia="宋体" w:cs="宋体"/>
          <w:color w:val="auto"/>
          <w:kern w:val="0"/>
          <w:szCs w:val="21"/>
          <w:highlight w:val="none"/>
        </w:rPr>
        <w:t>招标</w:t>
      </w:r>
      <w:r>
        <w:rPr>
          <w:rFonts w:ascii="宋体" w:hAnsi="宋体" w:eastAsia="宋体" w:cs="宋体"/>
          <w:color w:val="auto"/>
          <w:kern w:val="0"/>
          <w:szCs w:val="21"/>
          <w:highlight w:val="none"/>
        </w:rPr>
        <w:t>人</w:t>
      </w:r>
      <w:r>
        <w:rPr>
          <w:rFonts w:hint="eastAsia" w:ascii="宋体" w:hAnsi="宋体" w:eastAsia="宋体" w:cs="宋体"/>
          <w:color w:val="auto"/>
          <w:kern w:val="0"/>
          <w:szCs w:val="21"/>
          <w:highlight w:val="none"/>
        </w:rPr>
        <w:t>在合同约定的范围内，招标人有权根据项目实际情况及有关法律法规、政策的规定对采购范围进行变更调整，变更采购范围后，投标人应遵照执行。</w:t>
      </w:r>
    </w:p>
    <w:p w14:paraId="667363E6">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600" w:name="_Toc450662888"/>
    </w:p>
    <w:p w14:paraId="12991B72">
      <w:pPr>
        <w:tabs>
          <w:tab w:val="left" w:pos="46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601" w:name="_Toc28921_WPSOffice_Level3"/>
      <w:bookmarkStart w:id="602" w:name="_Toc32225"/>
      <w:bookmarkStart w:id="603" w:name="_Toc486167703"/>
      <w:bookmarkStart w:id="604" w:name="_Toc3004"/>
      <w:bookmarkStart w:id="605" w:name="_Toc142508354"/>
      <w:bookmarkStart w:id="606" w:name="_Toc14716"/>
      <w:bookmarkStart w:id="607" w:name="_Toc26429"/>
      <w:bookmarkStart w:id="608" w:name="_Toc23218"/>
      <w:bookmarkStart w:id="609" w:name="_Toc24928"/>
      <w:bookmarkStart w:id="610" w:name="_Toc7482"/>
      <w:bookmarkStart w:id="611" w:name="_Toc24375"/>
      <w:bookmarkStart w:id="612" w:name="_Toc2401"/>
      <w:r>
        <w:rPr>
          <w:rFonts w:hint="eastAsia" w:ascii="宋体" w:hAnsi="宋体" w:eastAsia="宋体" w:cs="宋体"/>
          <w:color w:val="auto"/>
          <w:szCs w:val="21"/>
          <w:highlight w:val="none"/>
        </w:rPr>
        <w:t>37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中标服务费</w:t>
      </w:r>
      <w:bookmarkEnd w:id="600"/>
      <w:bookmarkEnd w:id="601"/>
      <w:bookmarkEnd w:id="602"/>
      <w:bookmarkEnd w:id="603"/>
      <w:bookmarkEnd w:id="604"/>
      <w:bookmarkEnd w:id="605"/>
      <w:bookmarkEnd w:id="606"/>
      <w:bookmarkEnd w:id="607"/>
      <w:bookmarkEnd w:id="608"/>
      <w:bookmarkEnd w:id="609"/>
      <w:bookmarkEnd w:id="610"/>
      <w:bookmarkEnd w:id="611"/>
      <w:bookmarkEnd w:id="612"/>
    </w:p>
    <w:p w14:paraId="38205855">
      <w:pPr>
        <w:autoSpaceDE w:val="0"/>
        <w:autoSpaceDN w:val="0"/>
        <w:adjustRightInd w:val="0"/>
        <w:spacing w:line="360" w:lineRule="auto"/>
        <w:ind w:left="357" w:leftChars="-100" w:hanging="567" w:hangingChars="270"/>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37.1 本项目中标服务费由招标人向招标代理机构支付。</w:t>
      </w:r>
    </w:p>
    <w:p w14:paraId="7D626BED">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613" w:name="_Toc450662889"/>
    </w:p>
    <w:p w14:paraId="58F12E21">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614" w:name="_Toc3034"/>
      <w:bookmarkStart w:id="615" w:name="_Toc21757"/>
      <w:bookmarkStart w:id="616" w:name="_Toc6796"/>
      <w:bookmarkStart w:id="617" w:name="_Toc6764_WPSOffice_Level3"/>
      <w:bookmarkStart w:id="618" w:name="_Toc15855"/>
      <w:bookmarkStart w:id="619" w:name="_Toc16264"/>
      <w:bookmarkStart w:id="620" w:name="_Toc21985"/>
      <w:bookmarkStart w:id="621" w:name="_Toc22964"/>
      <w:bookmarkStart w:id="622" w:name="_Toc15325"/>
      <w:bookmarkStart w:id="623" w:name="_Toc142508355"/>
      <w:bookmarkStart w:id="624" w:name="_Toc4242"/>
      <w:bookmarkStart w:id="625" w:name="_Toc486167704"/>
      <w:r>
        <w:rPr>
          <w:rFonts w:hint="eastAsia" w:ascii="宋体" w:hAnsi="宋体" w:eastAsia="宋体" w:cs="宋体"/>
          <w:color w:val="auto"/>
          <w:szCs w:val="21"/>
          <w:highlight w:val="none"/>
        </w:rPr>
        <w:t>38</w:t>
      </w:r>
      <w:r>
        <w:rPr>
          <w:rFonts w:hint="eastAsia" w:ascii="宋体" w:hAnsi="宋体" w:eastAsia="宋体" w:cs="宋体"/>
          <w:color w:val="auto"/>
          <w:szCs w:val="21"/>
          <w:highlight w:val="none"/>
          <w:lang w:val="zh-CN"/>
        </w:rPr>
        <w:t xml:space="preserve"> 发票</w:t>
      </w:r>
      <w:bookmarkEnd w:id="613"/>
      <w:bookmarkEnd w:id="614"/>
      <w:bookmarkEnd w:id="615"/>
      <w:bookmarkEnd w:id="616"/>
      <w:bookmarkEnd w:id="617"/>
      <w:bookmarkEnd w:id="618"/>
      <w:bookmarkEnd w:id="619"/>
      <w:bookmarkEnd w:id="620"/>
      <w:bookmarkEnd w:id="621"/>
      <w:bookmarkEnd w:id="622"/>
      <w:bookmarkEnd w:id="623"/>
      <w:bookmarkEnd w:id="624"/>
      <w:bookmarkEnd w:id="625"/>
    </w:p>
    <w:p w14:paraId="60D1D668">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lang w:val="zh-CN"/>
        </w:rPr>
      </w:pPr>
      <w:r>
        <w:rPr>
          <w:rFonts w:hint="eastAsia" w:ascii="宋体" w:hAnsi="宋体" w:eastAsia="宋体" w:cs="宋体"/>
          <w:color w:val="auto"/>
          <w:szCs w:val="21"/>
          <w:highlight w:val="none"/>
        </w:rPr>
        <w:t>38</w:t>
      </w:r>
      <w:r>
        <w:rPr>
          <w:rFonts w:hint="eastAsia" w:ascii="宋体" w:hAnsi="宋体" w:eastAsia="宋体" w:cs="宋体"/>
          <w:color w:val="auto"/>
          <w:szCs w:val="21"/>
          <w:highlight w:val="none"/>
          <w:lang w:val="zh-CN"/>
        </w:rPr>
        <w:t>.1</w:t>
      </w:r>
      <w:bookmarkStart w:id="626" w:name="_Toc486167705"/>
      <w:bookmarkStart w:id="627" w:name="_Toc31106_WPSOffice_Level3"/>
      <w:r>
        <w:rPr>
          <w:rFonts w:hint="eastAsia" w:ascii="宋体" w:hAnsi="宋体" w:eastAsia="宋体" w:cs="Times New Roman"/>
          <w:color w:val="auto"/>
          <w:szCs w:val="21"/>
          <w:highlight w:val="none"/>
          <w:lang w:val="zh-CN"/>
        </w:rPr>
        <w:t>该项目获得中标的中标人在执行合同过程中，向招标人出具的发票必须是由中标人开具，不得以其他单位或个人名义出具，本项目中标人向招标人出具的发票类型为增值税专用发票。</w:t>
      </w:r>
    </w:p>
    <w:p w14:paraId="14263A3C">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rPr>
      </w:pPr>
    </w:p>
    <w:p w14:paraId="67A061C6">
      <w:pPr>
        <w:tabs>
          <w:tab w:val="left" w:pos="360"/>
        </w:tabs>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rPr>
      </w:pPr>
      <w:bookmarkStart w:id="628" w:name="_Toc8619"/>
      <w:bookmarkStart w:id="629" w:name="_Toc21162"/>
      <w:bookmarkStart w:id="630" w:name="_Toc142508356"/>
      <w:bookmarkStart w:id="631" w:name="_Toc2922"/>
      <w:bookmarkStart w:id="632" w:name="_Toc24622"/>
      <w:bookmarkStart w:id="633" w:name="_Toc27075"/>
      <w:bookmarkStart w:id="634" w:name="_Toc24547"/>
      <w:bookmarkStart w:id="635" w:name="_Toc15145"/>
      <w:bookmarkStart w:id="636" w:name="_Toc26566"/>
      <w:bookmarkStart w:id="637" w:name="_Toc8939"/>
      <w:r>
        <w:rPr>
          <w:rFonts w:ascii="宋体" w:hAnsi="宋体" w:eastAsia="宋体" w:cs="宋体"/>
          <w:b/>
          <w:color w:val="auto"/>
          <w:szCs w:val="21"/>
          <w:highlight w:val="none"/>
        </w:rPr>
        <w:t>39 招标相关补充约定</w:t>
      </w:r>
      <w:bookmarkEnd w:id="628"/>
      <w:bookmarkEnd w:id="629"/>
      <w:bookmarkEnd w:id="630"/>
      <w:bookmarkEnd w:id="631"/>
      <w:bookmarkEnd w:id="632"/>
      <w:bookmarkEnd w:id="633"/>
      <w:bookmarkEnd w:id="634"/>
      <w:bookmarkEnd w:id="635"/>
      <w:bookmarkEnd w:id="636"/>
      <w:bookmarkEnd w:id="637"/>
    </w:p>
    <w:p w14:paraId="76A53A0F">
      <w:pPr>
        <w:autoSpaceDE w:val="0"/>
        <w:autoSpaceDN w:val="0"/>
        <w:adjustRightInd w:val="0"/>
        <w:snapToGrid w:val="0"/>
        <w:spacing w:line="360" w:lineRule="auto"/>
        <w:ind w:left="317" w:leftChars="-100" w:hanging="527" w:hangingChars="250"/>
        <w:jc w:val="left"/>
        <w:rPr>
          <w:rFonts w:ascii="宋体" w:hAnsi="宋体" w:eastAsia="宋体" w:cs="Times New Roman"/>
          <w:b/>
          <w:color w:val="auto"/>
          <w:szCs w:val="21"/>
          <w:highlight w:val="none"/>
        </w:rPr>
      </w:pPr>
      <w:r>
        <w:rPr>
          <w:rFonts w:ascii="宋体" w:hAnsi="宋体" w:eastAsia="宋体" w:cs="Times New Roman"/>
          <w:b/>
          <w:color w:val="auto"/>
          <w:szCs w:val="21"/>
          <w:highlight w:val="none"/>
        </w:rPr>
        <w:t>39.1</w:t>
      </w:r>
      <w:r>
        <w:rPr>
          <w:rFonts w:ascii="宋体" w:hAnsi="宋体" w:eastAsia="宋体" w:cs="Times New Roman"/>
          <w:b/>
          <w:color w:val="auto"/>
          <w:szCs w:val="21"/>
          <w:highlight w:val="none"/>
        </w:rPr>
        <w:tab/>
      </w:r>
      <w:r>
        <w:rPr>
          <w:rFonts w:ascii="宋体" w:hAnsi="宋体" w:eastAsia="宋体" w:cs="Times New Roman"/>
          <w:b/>
          <w:color w:val="auto"/>
          <w:szCs w:val="21"/>
          <w:highlight w:val="none"/>
        </w:rPr>
        <w:t>本项目投标人须知第2条所述行政处罚信息，以开标</w:t>
      </w:r>
      <w:r>
        <w:rPr>
          <w:rFonts w:hint="eastAsia" w:ascii="宋体" w:hAnsi="宋体" w:eastAsia="宋体" w:cs="Times New Roman"/>
          <w:b/>
          <w:color w:val="auto"/>
          <w:szCs w:val="21"/>
          <w:highlight w:val="none"/>
          <w:lang w:val="en-US" w:eastAsia="zh-CN"/>
        </w:rPr>
        <w:t>当天</w:t>
      </w:r>
      <w:r>
        <w:rPr>
          <w:rFonts w:ascii="宋体" w:hAnsi="宋体" w:eastAsia="宋体" w:cs="Times New Roman"/>
          <w:b/>
          <w:color w:val="auto"/>
          <w:szCs w:val="21"/>
          <w:highlight w:val="none"/>
        </w:rPr>
        <w:t>在“信用中国”网站（www.creditchina.gov.cn）查询结果为准</w:t>
      </w:r>
      <w:r>
        <w:rPr>
          <w:rFonts w:hint="eastAsia" w:ascii="宋体" w:hAnsi="宋体" w:eastAsia="宋体" w:cs="Times New Roman"/>
          <w:b/>
          <w:color w:val="auto"/>
          <w:szCs w:val="21"/>
          <w:highlight w:val="none"/>
        </w:rPr>
        <w:t>，或以司法、仲裁机构等出具的生效文件予以认定,时间以认定文件的落款时间为准</w:t>
      </w:r>
      <w:r>
        <w:rPr>
          <w:rFonts w:ascii="宋体" w:hAnsi="宋体" w:eastAsia="宋体" w:cs="Times New Roman"/>
          <w:b/>
          <w:color w:val="auto"/>
          <w:szCs w:val="21"/>
          <w:highlight w:val="none"/>
        </w:rPr>
        <w:t>。开标结束后，有关投标单位的行政处罚信息，以</w:t>
      </w:r>
      <w:r>
        <w:rPr>
          <w:rFonts w:hint="eastAsia" w:ascii="宋体" w:hAnsi="宋体" w:eastAsia="宋体" w:cs="Times New Roman"/>
          <w:b/>
          <w:color w:val="auto"/>
          <w:szCs w:val="21"/>
          <w:highlight w:val="none"/>
          <w:lang w:val="en-US" w:eastAsia="zh-CN"/>
        </w:rPr>
        <w:t>开标当天查询</w:t>
      </w:r>
      <w:r>
        <w:rPr>
          <w:rFonts w:ascii="宋体" w:hAnsi="宋体" w:eastAsia="宋体" w:cs="Times New Roman"/>
          <w:b/>
          <w:color w:val="auto"/>
          <w:szCs w:val="21"/>
          <w:highlight w:val="none"/>
        </w:rPr>
        <w:t>结果为准；结果公示期间，如投标人对有关投标单位的行政处罚信息存在异议，但不涉及第一中标候选人的，视为对中标结果没有造成实质影响。</w:t>
      </w:r>
    </w:p>
    <w:p w14:paraId="1165A783">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rPr>
      </w:pPr>
    </w:p>
    <w:p w14:paraId="6C89B8D2">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rPr>
      </w:pPr>
      <w:bookmarkStart w:id="638" w:name="_Toc5205"/>
      <w:bookmarkStart w:id="639" w:name="_Toc13467"/>
      <w:bookmarkStart w:id="640" w:name="_Toc25046"/>
      <w:bookmarkStart w:id="641" w:name="_Toc32666"/>
      <w:bookmarkStart w:id="642" w:name="_Toc29758"/>
      <w:bookmarkStart w:id="643" w:name="_Toc929"/>
      <w:bookmarkStart w:id="644" w:name="_Toc26594"/>
      <w:bookmarkStart w:id="645" w:name="_Toc142508357"/>
      <w:bookmarkStart w:id="646" w:name="_Toc31460"/>
      <w:bookmarkStart w:id="647" w:name="_Toc12903"/>
      <w:r>
        <w:rPr>
          <w:rFonts w:ascii="宋体" w:hAnsi="宋体" w:eastAsia="宋体" w:cs="宋体"/>
          <w:color w:val="auto"/>
          <w:szCs w:val="21"/>
          <w:highlight w:val="none"/>
        </w:rPr>
        <w:t>40</w:t>
      </w:r>
      <w:r>
        <w:rPr>
          <w:rFonts w:hint="eastAsia" w:ascii="宋体" w:hAnsi="宋体" w:eastAsia="宋体" w:cs="宋体"/>
          <w:color w:val="auto"/>
          <w:szCs w:val="21"/>
          <w:highlight w:val="none"/>
        </w:rPr>
        <w:t xml:space="preserve"> 本次招标活动的最终解释权归招标代理机构及招标人所有。</w:t>
      </w:r>
      <w:bookmarkEnd w:id="626"/>
      <w:bookmarkEnd w:id="627"/>
      <w:bookmarkEnd w:id="638"/>
      <w:bookmarkEnd w:id="639"/>
      <w:bookmarkEnd w:id="640"/>
      <w:bookmarkEnd w:id="641"/>
      <w:bookmarkEnd w:id="642"/>
      <w:bookmarkEnd w:id="643"/>
      <w:bookmarkEnd w:id="644"/>
      <w:bookmarkEnd w:id="645"/>
      <w:bookmarkEnd w:id="646"/>
      <w:bookmarkEnd w:id="647"/>
    </w:p>
    <w:p w14:paraId="10A0C472">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auto"/>
          <w:kern w:val="44"/>
          <w:sz w:val="32"/>
          <w:szCs w:val="32"/>
          <w:highlight w:val="none"/>
          <w:lang w:val="zh-CN"/>
        </w:rPr>
      </w:pPr>
      <w:bookmarkStart w:id="648" w:name="_Toc17675"/>
      <w:bookmarkStart w:id="649" w:name="_Toc486167706"/>
      <w:bookmarkStart w:id="650" w:name="_Toc27939_WPSOffice_Level1"/>
      <w:bookmarkStart w:id="651" w:name="_Toc450662891"/>
      <w:bookmarkStart w:id="652" w:name="_Toc7218"/>
      <w:bookmarkStart w:id="653" w:name="_Toc10504"/>
      <w:bookmarkStart w:id="654" w:name="_Toc7634"/>
      <w:bookmarkStart w:id="655" w:name="_Toc14879"/>
      <w:bookmarkStart w:id="656" w:name="_Toc4386"/>
      <w:bookmarkStart w:id="657" w:name="_Toc18337"/>
      <w:bookmarkStart w:id="658" w:name="_Toc142508358"/>
      <w:bookmarkStart w:id="659" w:name="_Toc1873"/>
      <w:bookmarkStart w:id="660" w:name="_Toc21446"/>
      <w:r>
        <w:rPr>
          <w:rFonts w:hint="eastAsia" w:ascii="宋体" w:hAnsi="宋体" w:eastAsia="宋体" w:cs="宋体"/>
          <w:b/>
          <w:bCs/>
          <w:color w:val="auto"/>
          <w:kern w:val="44"/>
          <w:sz w:val="32"/>
          <w:szCs w:val="32"/>
          <w:highlight w:val="none"/>
          <w:lang w:val="zh-CN"/>
        </w:rPr>
        <w:t>第三篇</w:t>
      </w:r>
      <w:r>
        <w:rPr>
          <w:rFonts w:ascii="宋体" w:hAnsi="宋体" w:eastAsia="宋体" w:cs="宋体"/>
          <w:b/>
          <w:bCs/>
          <w:color w:val="auto"/>
          <w:kern w:val="44"/>
          <w:sz w:val="32"/>
          <w:szCs w:val="32"/>
          <w:highlight w:val="none"/>
          <w:lang w:val="zh-CN"/>
        </w:rPr>
        <w:t xml:space="preserve"> </w:t>
      </w:r>
      <w:r>
        <w:rPr>
          <w:rFonts w:hint="eastAsia" w:ascii="宋体" w:hAnsi="宋体" w:eastAsia="宋体" w:cs="宋体"/>
          <w:b/>
          <w:bCs/>
          <w:color w:val="auto"/>
          <w:kern w:val="44"/>
          <w:sz w:val="32"/>
          <w:szCs w:val="32"/>
          <w:highlight w:val="none"/>
          <w:lang w:val="zh-CN"/>
        </w:rPr>
        <w:t>用户需求书</w:t>
      </w:r>
      <w:bookmarkEnd w:id="648"/>
      <w:bookmarkEnd w:id="649"/>
      <w:bookmarkEnd w:id="650"/>
      <w:bookmarkEnd w:id="651"/>
      <w:bookmarkEnd w:id="652"/>
      <w:bookmarkEnd w:id="653"/>
      <w:bookmarkEnd w:id="654"/>
      <w:bookmarkEnd w:id="655"/>
      <w:bookmarkEnd w:id="656"/>
      <w:bookmarkEnd w:id="657"/>
      <w:bookmarkEnd w:id="658"/>
      <w:bookmarkEnd w:id="659"/>
      <w:bookmarkEnd w:id="660"/>
    </w:p>
    <w:p w14:paraId="39FF664A">
      <w:pPr>
        <w:keepNext w:val="0"/>
        <w:keepLines w:val="0"/>
        <w:pageBreakBefore w:val="0"/>
        <w:kinsoku/>
        <w:wordWrap/>
        <w:overflowPunct/>
        <w:topLinePunct w:val="0"/>
        <w:bidi w:val="0"/>
        <w:spacing w:line="360" w:lineRule="auto"/>
        <w:textAlignment w:val="auto"/>
        <w:outlineLvl w:val="9"/>
        <w:rPr>
          <w:rFonts w:ascii="宋体" w:hAnsi="宋体" w:eastAsia="宋体" w:cs="Times New Roman"/>
          <w:b/>
          <w:color w:val="auto"/>
          <w:szCs w:val="21"/>
          <w:highlight w:val="none"/>
          <w:lang w:val="zh-CN"/>
        </w:rPr>
      </w:pPr>
    </w:p>
    <w:p w14:paraId="7B476B57">
      <w:pPr>
        <w:keepNext w:val="0"/>
        <w:keepLines w:val="0"/>
        <w:pageBreakBefore w:val="0"/>
        <w:widowControl w:val="0"/>
        <w:kinsoku/>
        <w:wordWrap/>
        <w:overflowPunct/>
        <w:topLinePunct w:val="0"/>
        <w:autoSpaceDE/>
        <w:autoSpaceDN/>
        <w:bidi w:val="0"/>
        <w:adjustRightInd/>
        <w:spacing w:line="360" w:lineRule="auto"/>
        <w:ind w:left="424" w:firstLine="2" w:firstLineChars="0"/>
        <w:jc w:val="both"/>
        <w:textAlignment w:val="auto"/>
        <w:outlineLvl w:val="9"/>
        <w:rPr>
          <w:rFonts w:hint="eastAsia" w:ascii="宋体" w:hAnsi="宋体" w:eastAsia="宋体" w:cs="宋体"/>
          <w:b/>
          <w:color w:val="auto"/>
          <w:kern w:val="2"/>
          <w:sz w:val="21"/>
          <w:szCs w:val="21"/>
          <w:highlight w:val="none"/>
          <w:lang w:val="en-US" w:eastAsia="zh-CN" w:bidi="ar-SA"/>
        </w:rPr>
      </w:pPr>
      <w:bookmarkStart w:id="661" w:name="_Toc24907"/>
      <w:bookmarkStart w:id="662" w:name="_Toc9079"/>
      <w:r>
        <w:rPr>
          <w:rFonts w:hint="eastAsia" w:ascii="宋体" w:hAnsi="宋体" w:eastAsia="宋体" w:cs="宋体"/>
          <w:b/>
          <w:color w:val="auto"/>
          <w:kern w:val="2"/>
          <w:sz w:val="21"/>
          <w:szCs w:val="21"/>
          <w:highlight w:val="none"/>
          <w:lang w:val="en-US" w:eastAsia="zh-CN" w:bidi="ar-SA"/>
        </w:rPr>
        <w:t>一、项目概况</w:t>
      </w:r>
      <w:bookmarkEnd w:id="661"/>
      <w:bookmarkEnd w:id="662"/>
    </w:p>
    <w:p w14:paraId="36B86B92">
      <w:pPr>
        <w:keepNext w:val="0"/>
        <w:keepLines w:val="0"/>
        <w:pageBreakBefore w:val="0"/>
        <w:widowControl w:val="0"/>
        <w:kinsoku/>
        <w:wordWrap/>
        <w:overflowPunct/>
        <w:topLinePunct w:val="0"/>
        <w:autoSpaceDE/>
        <w:autoSpaceDN/>
        <w:bidi w:val="0"/>
        <w:adjustRightInd/>
        <w:spacing w:line="360" w:lineRule="auto"/>
        <w:ind w:firstLine="424" w:firstLineChars="202"/>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东莞市樟村水质净化厂设计处理规模260万m</w:t>
      </w:r>
      <w:r>
        <w:rPr>
          <w:rFonts w:hint="eastAsia" w:ascii="宋体" w:hAnsi="宋体" w:eastAsia="宋体" w:cs="宋体"/>
          <w:color w:val="auto"/>
          <w:kern w:val="2"/>
          <w:sz w:val="21"/>
          <w:szCs w:val="21"/>
          <w:highlight w:val="none"/>
          <w:vertAlign w:val="superscript"/>
          <w:lang w:val="en-US" w:eastAsia="zh-CN" w:bidi="ar-SA"/>
        </w:rPr>
        <w:t>3</w:t>
      </w:r>
      <w:r>
        <w:rPr>
          <w:rFonts w:hint="eastAsia" w:ascii="宋体" w:hAnsi="宋体" w:eastAsia="宋体" w:cs="宋体"/>
          <w:color w:val="auto"/>
          <w:kern w:val="2"/>
          <w:sz w:val="21"/>
          <w:szCs w:val="21"/>
          <w:highlight w:val="none"/>
          <w:lang w:val="en-US" w:eastAsia="zh-CN" w:bidi="ar-SA"/>
        </w:rPr>
        <w:t>/d，采用一级强化混凝沉淀处理+MBBR工艺，在东城区大王洲桥北侧拦截东莞运河河水、引入厂内净化处理，通过投加混凝剂将悬浮物、部分有机污染物等混凝反应后流入平流式沉淀池进行泥水分离，分离后上层清液进入MBBR池充分曝气充氧，将水中的氨氮去除后达标排放至东莞运河。沉淀池池底污泥经刮泥机刮至储泥槽后，经污泥泵排入污泥浓缩池，浓缩池污泥经污泥脱水设施减量化脱水处理，最终至含水率不高于50%的半干化泥粉（泥块）外运安全处置，</w:t>
      </w:r>
      <w:r>
        <w:rPr>
          <w:rFonts w:hint="eastAsia" w:ascii="宋体" w:hAnsi="宋体" w:eastAsia="宋体" w:cs="宋体"/>
          <w:color w:val="auto"/>
          <w:szCs w:val="21"/>
          <w:highlight w:val="none"/>
        </w:rPr>
        <w:t>污泥脱水机房</w:t>
      </w:r>
      <w:r>
        <w:rPr>
          <w:rFonts w:hint="eastAsia" w:ascii="宋体" w:hAnsi="宋体" w:eastAsia="宋体" w:cs="宋体"/>
          <w:color w:val="auto"/>
          <w:szCs w:val="21"/>
          <w:highlight w:val="none"/>
          <w:lang w:eastAsia="zh-CN"/>
        </w:rPr>
        <w:t>内现减量化设备安装面积</w:t>
      </w:r>
      <w:r>
        <w:rPr>
          <w:rFonts w:hint="eastAsia" w:ascii="宋体" w:hAnsi="宋体" w:eastAsia="宋体" w:cs="宋体"/>
          <w:color w:val="auto"/>
          <w:szCs w:val="21"/>
          <w:highlight w:val="none"/>
        </w:rPr>
        <w:t>约1068平方米，</w:t>
      </w:r>
      <w:r>
        <w:rPr>
          <w:rFonts w:hint="eastAsia" w:ascii="宋体" w:hAnsi="宋体" w:eastAsia="宋体" w:cs="宋体"/>
          <w:color w:val="auto"/>
          <w:szCs w:val="21"/>
          <w:highlight w:val="none"/>
          <w:lang w:eastAsia="zh-CN"/>
        </w:rPr>
        <w:t>此外，脱水机房配</w:t>
      </w:r>
      <w:r>
        <w:rPr>
          <w:rFonts w:hint="eastAsia" w:ascii="宋体" w:hAnsi="宋体" w:eastAsia="宋体" w:cs="宋体"/>
          <w:color w:val="auto"/>
          <w:szCs w:val="21"/>
          <w:highlight w:val="none"/>
        </w:rPr>
        <w:t>有2台630千瓦的变压器，总容量1260千瓦</w:t>
      </w:r>
      <w:r>
        <w:rPr>
          <w:rFonts w:hint="eastAsia" w:ascii="宋体" w:hAnsi="宋体" w:eastAsia="宋体" w:cs="宋体"/>
          <w:color w:val="auto"/>
          <w:kern w:val="2"/>
          <w:sz w:val="21"/>
          <w:szCs w:val="21"/>
          <w:highlight w:val="none"/>
          <w:lang w:val="en-US" w:eastAsia="zh-CN" w:bidi="ar-SA"/>
        </w:rPr>
        <w:t>。</w:t>
      </w:r>
    </w:p>
    <w:p w14:paraId="4E39624D">
      <w:pPr>
        <w:keepNext w:val="0"/>
        <w:keepLines w:val="0"/>
        <w:pageBreakBefore w:val="0"/>
        <w:kinsoku/>
        <w:wordWrap/>
        <w:overflowPunct/>
        <w:topLinePunct w:val="0"/>
        <w:autoSpaceDE w:val="0"/>
        <w:autoSpaceDN w:val="0"/>
        <w:bidi w:val="0"/>
        <w:adjustRightInd w:val="0"/>
        <w:spacing w:line="360" w:lineRule="auto"/>
        <w:ind w:firstLine="424" w:firstLineChars="202"/>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市政府及主管部门要求，樟村水质净化厂从2023年5月11日起，实施减量化运行，2023年底减产约50%，2024年6月底再减产约50%，并逐步退出运行，若为樟村断面达标需要，则樟村水质净化厂按主管部门要求运行，目前樟村水质净化厂污水处理服务协议书的服务日期将于2025年6月</w:t>
      </w:r>
      <w:r>
        <w:rPr>
          <w:rFonts w:hint="default" w:ascii="宋体" w:hAnsi="宋体" w:eastAsia="宋体" w:cs="宋体"/>
          <w:color w:val="auto"/>
          <w:kern w:val="0"/>
          <w:sz w:val="21"/>
          <w:szCs w:val="21"/>
          <w:highlight w:val="none"/>
          <w:lang w:val="en-US"/>
        </w:rPr>
        <w:t>30</w:t>
      </w:r>
      <w:r>
        <w:rPr>
          <w:rFonts w:hint="eastAsia" w:ascii="宋体" w:hAnsi="宋体" w:eastAsia="宋体" w:cs="宋体"/>
          <w:color w:val="auto"/>
          <w:kern w:val="0"/>
          <w:sz w:val="21"/>
          <w:szCs w:val="21"/>
          <w:highlight w:val="none"/>
        </w:rPr>
        <w:t>日到期，后续是否续期签订协议，截至目前政府主管部门和业主单位尚未明确指示。</w:t>
      </w:r>
    </w:p>
    <w:p w14:paraId="254FB992">
      <w:pPr>
        <w:keepNext w:val="0"/>
        <w:keepLines w:val="0"/>
        <w:pageBreakBefore w:val="0"/>
        <w:widowControl w:val="0"/>
        <w:kinsoku/>
        <w:wordWrap/>
        <w:overflowPunct/>
        <w:topLinePunct w:val="0"/>
        <w:autoSpaceDE/>
        <w:autoSpaceDN/>
        <w:bidi w:val="0"/>
        <w:adjustRightInd/>
        <w:spacing w:line="360" w:lineRule="auto"/>
        <w:ind w:left="424" w:firstLine="2" w:firstLineChars="0"/>
        <w:jc w:val="both"/>
        <w:textAlignment w:val="auto"/>
        <w:outlineLvl w:val="9"/>
        <w:rPr>
          <w:rFonts w:hint="eastAsia" w:ascii="宋体" w:hAnsi="宋体" w:eastAsia="宋体" w:cs="宋体"/>
          <w:b/>
          <w:color w:val="auto"/>
          <w:kern w:val="2"/>
          <w:sz w:val="21"/>
          <w:szCs w:val="21"/>
          <w:highlight w:val="none"/>
          <w:lang w:val="en-US" w:eastAsia="zh-CN" w:bidi="ar-SA"/>
        </w:rPr>
      </w:pPr>
      <w:bookmarkStart w:id="663" w:name="_Toc23784"/>
      <w:bookmarkStart w:id="664" w:name="_Toc23329"/>
      <w:r>
        <w:rPr>
          <w:rFonts w:hint="eastAsia" w:ascii="宋体" w:hAnsi="宋体" w:eastAsia="宋体" w:cs="宋体"/>
          <w:b/>
          <w:color w:val="auto"/>
          <w:kern w:val="2"/>
          <w:sz w:val="21"/>
          <w:szCs w:val="21"/>
          <w:highlight w:val="none"/>
          <w:lang w:val="en-US" w:eastAsia="zh-CN" w:bidi="ar-SA"/>
        </w:rPr>
        <w:t>二、服务范围及期限</w:t>
      </w:r>
      <w:bookmarkEnd w:id="663"/>
      <w:bookmarkEnd w:id="664"/>
    </w:p>
    <w:p w14:paraId="6C554184">
      <w:pPr>
        <w:keepNext w:val="0"/>
        <w:keepLines w:val="0"/>
        <w:pageBreakBefore w:val="0"/>
        <w:widowControl w:val="0"/>
        <w:kinsoku/>
        <w:wordWrap/>
        <w:overflowPunct/>
        <w:topLinePunct w:val="0"/>
        <w:autoSpaceDE/>
        <w:autoSpaceDN/>
        <w:bidi w:val="0"/>
        <w:adjustRightInd/>
        <w:spacing w:line="360" w:lineRule="auto"/>
        <w:ind w:firstLine="420" w:firstLineChars="0"/>
        <w:jc w:val="both"/>
        <w:textAlignment w:val="auto"/>
        <w:outlineLvl w:val="9"/>
        <w:rPr>
          <w:rFonts w:hint="eastAsia" w:ascii="宋体" w:hAnsi="宋体" w:eastAsia="宋体" w:cs="宋体"/>
          <w:b/>
          <w:bCs/>
          <w:color w:val="auto"/>
          <w:kern w:val="2"/>
          <w:sz w:val="21"/>
          <w:szCs w:val="21"/>
          <w:highlight w:val="none"/>
          <w:lang w:val="en-US" w:eastAsia="zh-CN" w:bidi="ar-SA"/>
        </w:rPr>
      </w:pPr>
      <w:bookmarkStart w:id="665" w:name="_Toc24914"/>
      <w:bookmarkStart w:id="666" w:name="_Toc11078"/>
      <w:r>
        <w:rPr>
          <w:rFonts w:hint="eastAsia" w:ascii="宋体" w:hAnsi="宋体" w:eastAsia="宋体" w:cs="宋体"/>
          <w:b/>
          <w:color w:val="auto"/>
          <w:kern w:val="2"/>
          <w:sz w:val="21"/>
          <w:szCs w:val="21"/>
          <w:highlight w:val="none"/>
          <w:lang w:val="en-US" w:eastAsia="zh-CN" w:bidi="ar-SA"/>
        </w:rPr>
        <w:t>★</w:t>
      </w:r>
      <w:r>
        <w:rPr>
          <w:rFonts w:hint="eastAsia" w:ascii="宋体" w:hAnsi="宋体" w:eastAsia="宋体" w:cs="宋体"/>
          <w:b/>
          <w:bCs/>
          <w:color w:val="auto"/>
          <w:kern w:val="2"/>
          <w:sz w:val="21"/>
          <w:szCs w:val="21"/>
          <w:highlight w:val="none"/>
          <w:lang w:val="en-US" w:eastAsia="zh-CN" w:bidi="ar-SA"/>
        </w:rPr>
        <w:t>1、服务范围</w:t>
      </w:r>
      <w:bookmarkEnd w:id="665"/>
      <w:bookmarkEnd w:id="666"/>
    </w:p>
    <w:p w14:paraId="1390519F">
      <w:pPr>
        <w:keepNext w:val="0"/>
        <w:keepLines w:val="0"/>
        <w:pageBreakBefore w:val="0"/>
        <w:widowControl w:val="0"/>
        <w:kinsoku/>
        <w:wordWrap/>
        <w:overflowPunct/>
        <w:topLinePunct w:val="0"/>
        <w:autoSpaceDE/>
        <w:autoSpaceDN/>
        <w:bidi w:val="0"/>
        <w:adjustRightInd/>
        <w:spacing w:line="360" w:lineRule="auto"/>
        <w:ind w:firstLine="420" w:firstLineChars="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1.1本项目为采购樟村水质净化厂污泥处理处置全流程服务，通过公开招标确定服务单位，服务单位负责实施污泥全流程处理和处置工作，将水质净化厂污泥浓缩池抽取</w:t>
      </w:r>
      <w:r>
        <w:rPr>
          <w:rFonts w:hint="eastAsia" w:ascii="宋体" w:hAnsi="宋体" w:eastAsia="宋体" w:cs="宋体"/>
          <w:color w:val="auto"/>
          <w:highlight w:val="none"/>
          <w:lang w:val="en-US" w:eastAsia="zh-CN"/>
        </w:rPr>
        <w:t>的</w:t>
      </w:r>
      <w:r>
        <w:rPr>
          <w:rFonts w:hint="eastAsia" w:ascii="宋体" w:hAnsi="宋体" w:eastAsia="宋体" w:cs="宋体"/>
          <w:color w:val="auto"/>
          <w:kern w:val="2"/>
          <w:sz w:val="21"/>
          <w:szCs w:val="21"/>
          <w:highlight w:val="none"/>
          <w:lang w:val="en-US" w:eastAsia="zh-CN" w:bidi="ar-SA"/>
        </w:rPr>
        <w:t>污泥脱水减量至含水率不高于50%的半干化泥粉（泥块），保障不间断的接收处理并安全处置，不造成二次污染。为保障服务质量，服务单位不限于提供污泥处理设备设施、外部运输、资源化处置及所相关的人员、机械、材料等一切相关运维服务等。污泥的处理处置方法方式必须合法合规，</w:t>
      </w:r>
      <w:bookmarkStart w:id="667" w:name="OLE_LINK2"/>
      <w:r>
        <w:rPr>
          <w:rFonts w:hint="eastAsia" w:ascii="宋体" w:hAnsi="宋体" w:eastAsia="宋体" w:cs="宋体"/>
          <w:color w:val="auto"/>
          <w:kern w:val="2"/>
          <w:sz w:val="21"/>
          <w:szCs w:val="21"/>
          <w:highlight w:val="none"/>
          <w:lang w:val="en-US" w:eastAsia="zh-CN" w:bidi="ar-SA"/>
        </w:rPr>
        <w:t>不得采用国家和地方禁止、淘汰的工艺技术或方法</w:t>
      </w:r>
      <w:bookmarkEnd w:id="667"/>
      <w:r>
        <w:rPr>
          <w:rFonts w:hint="eastAsia" w:ascii="宋体" w:hAnsi="宋体" w:eastAsia="宋体" w:cs="宋体"/>
          <w:color w:val="auto"/>
          <w:kern w:val="2"/>
          <w:sz w:val="21"/>
          <w:szCs w:val="21"/>
          <w:highlight w:val="none"/>
          <w:lang w:val="en-US" w:eastAsia="zh-CN" w:bidi="ar-SA"/>
        </w:rPr>
        <w:t>，并体现“减量化、稳定化、无害化、资源化”的原则，在坚持“安全、环保”的原则下，实现污泥的综合利用，合法地解决污泥的最终出路。</w:t>
      </w:r>
    </w:p>
    <w:p w14:paraId="10608311">
      <w:pPr>
        <w:keepNext w:val="0"/>
        <w:keepLines w:val="0"/>
        <w:pageBreakBefore w:val="0"/>
        <w:widowControl w:val="0"/>
        <w:kinsoku/>
        <w:wordWrap/>
        <w:overflowPunct/>
        <w:topLinePunct w:val="0"/>
        <w:autoSpaceDE/>
        <w:autoSpaceDN/>
        <w:bidi w:val="0"/>
        <w:adjustRightInd/>
        <w:spacing w:line="360" w:lineRule="auto"/>
        <w:ind w:firstLine="420" w:firstLineChars="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1.2</w:t>
      </w:r>
      <w:r>
        <w:rPr>
          <w:rFonts w:hint="eastAsia" w:ascii="宋体" w:hAnsi="宋体" w:eastAsia="宋体" w:cs="宋体"/>
          <w:color w:val="auto"/>
          <w:kern w:val="2"/>
          <w:sz w:val="21"/>
          <w:szCs w:val="21"/>
          <w:highlight w:val="none"/>
          <w:lang w:val="en-US" w:eastAsia="zh-CN" w:bidi="ar-SA"/>
        </w:rPr>
        <w:t>本项目污泥处理处置暂定规模量为290吨/日（按80%含水率折算，50%含水率对应处理处置规模为116吨/日），1年暂定处理处置量为105850吨（按80%含水率折算，50%含水率对应处理处置量为42340吨）。由于樟村水质净化厂每日实际生产负荷和进水水质情况存在差异，规模暂定量仅为暂定，实际污泥量存在波动和差异，服务单位需以满足樟村水质净化厂生产要求为前提，按实际需求提供污泥处理处置服务，同时应制定完善措施方案，确保在污泥产量增加时能够及时调整处理增加能力。</w:t>
      </w:r>
    </w:p>
    <w:p w14:paraId="0B527797">
      <w:pPr>
        <w:keepNext w:val="0"/>
        <w:keepLines w:val="0"/>
        <w:pageBreakBefore w:val="0"/>
        <w:widowControl w:val="0"/>
        <w:kinsoku/>
        <w:wordWrap/>
        <w:overflowPunct/>
        <w:topLinePunct w:val="0"/>
        <w:autoSpaceDE/>
        <w:autoSpaceDN/>
        <w:bidi w:val="0"/>
        <w:adjustRightInd/>
        <w:spacing w:line="360" w:lineRule="auto"/>
        <w:ind w:firstLine="420" w:firstLineChars="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1.3上述污泥处理处置暂定量仅为便于服务单位了解项目情况使用，不作为最终委托处理处置量的保证。最终按实际处理量结算，服务单位不得因脱水减量化处理处置量的减少或增加而要求提供任何形式的补偿或赔偿，或要求按暂定规模或暂定量提供相应的污泥处理处置服务。</w:t>
      </w:r>
    </w:p>
    <w:p w14:paraId="0C3D4EB8">
      <w:pPr>
        <w:keepNext w:val="0"/>
        <w:keepLines w:val="0"/>
        <w:pageBreakBefore w:val="0"/>
        <w:widowControl w:val="0"/>
        <w:kinsoku/>
        <w:wordWrap/>
        <w:overflowPunct/>
        <w:topLinePunct w:val="0"/>
        <w:autoSpaceDE/>
        <w:autoSpaceDN/>
        <w:bidi w:val="0"/>
        <w:adjustRightInd/>
        <w:spacing w:line="360" w:lineRule="auto"/>
        <w:ind w:firstLine="420" w:firstLineChars="0"/>
        <w:jc w:val="both"/>
        <w:textAlignment w:val="auto"/>
        <w:outlineLvl w:val="9"/>
        <w:rPr>
          <w:rFonts w:hint="eastAsia" w:ascii="宋体" w:hAnsi="宋体" w:eastAsia="宋体" w:cs="宋体"/>
          <w:color w:val="auto"/>
          <w:kern w:val="2"/>
          <w:sz w:val="21"/>
          <w:szCs w:val="21"/>
          <w:highlight w:val="none"/>
          <w:lang w:val="en-US" w:eastAsia="zh-CN" w:bidi="ar-SA"/>
        </w:rPr>
      </w:pPr>
      <w:bookmarkStart w:id="668" w:name="_Toc22214"/>
      <w:bookmarkStart w:id="669" w:name="_Toc23315"/>
      <w:r>
        <w:rPr>
          <w:rFonts w:hint="eastAsia" w:ascii="宋体" w:hAnsi="宋体" w:eastAsia="宋体" w:cs="宋体"/>
          <w:b/>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b/>
          <w:color w:val="auto"/>
          <w:kern w:val="2"/>
          <w:sz w:val="21"/>
          <w:szCs w:val="21"/>
          <w:highlight w:val="none"/>
          <w:lang w:val="en-US" w:eastAsia="zh-CN" w:bidi="ar-SA"/>
        </w:rPr>
        <w:t>服务期限</w:t>
      </w:r>
      <w:bookmarkEnd w:id="668"/>
      <w:bookmarkEnd w:id="669"/>
    </w:p>
    <w:p w14:paraId="46EA9175">
      <w:pPr>
        <w:keepNext w:val="0"/>
        <w:keepLines w:val="0"/>
        <w:pageBreakBefore w:val="0"/>
        <w:widowControl w:val="0"/>
        <w:kinsoku/>
        <w:wordWrap/>
        <w:overflowPunct/>
        <w:topLinePunct w:val="0"/>
        <w:autoSpaceDE/>
        <w:autoSpaceDN/>
        <w:bidi w:val="0"/>
        <w:adjustRightInd/>
        <w:spacing w:line="360" w:lineRule="auto"/>
        <w:ind w:firstLine="424" w:firstLineChars="202"/>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本项目服务起始日期为2025年6月30日，暂定至2026年6月29日结束。</w:t>
      </w:r>
    </w:p>
    <w:p w14:paraId="023632AE">
      <w:pPr>
        <w:widowControl w:val="0"/>
        <w:tabs>
          <w:tab w:val="left" w:pos="1680"/>
        </w:tabs>
        <w:autoSpaceDE/>
        <w:autoSpaceDN/>
        <w:adjustRightInd/>
        <w:spacing w:line="360" w:lineRule="auto"/>
        <w:ind w:firstLine="424" w:firstLineChars="202"/>
        <w:jc w:val="both"/>
        <w:outlineLvl w:val="9"/>
        <w:rPr>
          <w:rFonts w:hint="eastAsia" w:ascii="宋体" w:hAnsi="宋体" w:eastAsia="宋体" w:cs="宋体"/>
          <w:color w:val="auto"/>
          <w:kern w:val="2"/>
          <w:sz w:val="21"/>
          <w:szCs w:val="21"/>
          <w:highlight w:val="none"/>
          <w:lang w:val="en-US" w:eastAsia="zh-CN" w:bidi="ar-SA"/>
        </w:rPr>
      </w:pPr>
      <w:bookmarkStart w:id="670" w:name="_Toc15463"/>
      <w:bookmarkStart w:id="671" w:name="_Toc21117"/>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bCs/>
          <w:color w:val="auto"/>
          <w:kern w:val="2"/>
          <w:sz w:val="21"/>
          <w:szCs w:val="21"/>
          <w:highlight w:val="none"/>
          <w:lang w:val="en-US" w:eastAsia="zh-CN" w:bidi="ar-SA"/>
        </w:rPr>
        <w:t>三、风险特别约定</w:t>
      </w:r>
      <w:bookmarkEnd w:id="670"/>
      <w:bookmarkEnd w:id="671"/>
    </w:p>
    <w:p w14:paraId="47E853C5">
      <w:pPr>
        <w:keepNext w:val="0"/>
        <w:keepLines w:val="0"/>
        <w:pageBreakBefore w:val="0"/>
        <w:widowControl w:val="0"/>
        <w:kinsoku/>
        <w:wordWrap/>
        <w:overflowPunct/>
        <w:topLinePunct w:val="0"/>
        <w:autoSpaceDE/>
        <w:autoSpaceDN/>
        <w:bidi w:val="0"/>
        <w:adjustRightInd/>
        <w:spacing w:line="360" w:lineRule="auto"/>
        <w:ind w:firstLine="426" w:firstLineChars="202"/>
        <w:jc w:val="both"/>
        <w:textAlignment w:val="auto"/>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服务单位清楚理解并同意接受本项目具有很大的不确定性，</w:t>
      </w:r>
      <w:r>
        <w:rPr>
          <w:rFonts w:hint="eastAsia" w:ascii="宋体" w:hAnsi="宋体" w:eastAsia="宋体" w:cs="宋体"/>
          <w:b/>
          <w:bCs/>
          <w:color w:val="auto"/>
          <w:spacing w:val="4"/>
          <w:kern w:val="2"/>
          <w:sz w:val="21"/>
          <w:szCs w:val="21"/>
          <w:highlight w:val="none"/>
          <w:shd w:val="clear" w:color="auto" w:fill="FFFFFF"/>
          <w:lang w:val="en-US" w:eastAsia="zh-CN" w:bidi="ar-SA"/>
        </w:rPr>
        <w:t>在服务期间如发生以下情形（包括但不限于）：</w:t>
      </w:r>
      <w:r>
        <w:rPr>
          <w:rFonts w:hint="eastAsia" w:ascii="宋体" w:hAnsi="宋体" w:eastAsia="宋体" w:cs="宋体"/>
          <w:b/>
          <w:bCs/>
          <w:color w:val="auto"/>
          <w:kern w:val="2"/>
          <w:sz w:val="21"/>
          <w:szCs w:val="21"/>
          <w:highlight w:val="none"/>
          <w:lang w:val="en-US" w:eastAsia="zh-CN" w:bidi="ar-SA"/>
        </w:rPr>
        <w:t>政府要求或樟村水质净化厂污水处理服务协议书到期导致樟村水质净化厂关停或间歇性停产、服务单位提供的设施不达标或超标或因用电用地等原因导致招标人不接受服务单位安装的污泥脱水减量化处理设施、樟村水质净化厂不具备安装服务单位的污泥脱水减量化处理设施的条件、樟村水质净化厂用地手续不完善或其他合法合规性问题被相关行政主管部门责令停止运营或叫停相关服务、以及其他非因招标人或服务单位原因导致项目无法实施等情形。招标人有权单方解除本项目污泥处理处置服务合同且不需承担违约责任，服务单位同意放弃向招标人追讨因合同提前终止而产生的任何费用、损失或主张任何权利和责任，服务单位应立即停止相关服务、按照招标人的要求妥善撤离和处理已安装的设备、设施，并配合招标人完成合同终止后的相关善后工作，包括但不限于结算已提供的服务费用（如有）、交接相关资料等。</w:t>
      </w:r>
    </w:p>
    <w:p w14:paraId="60BE29FB">
      <w:pPr>
        <w:keepNext w:val="0"/>
        <w:keepLines w:val="0"/>
        <w:pageBreakBefore w:val="0"/>
        <w:widowControl w:val="0"/>
        <w:kinsoku/>
        <w:wordWrap/>
        <w:overflowPunct/>
        <w:topLinePunct w:val="0"/>
        <w:autoSpaceDE/>
        <w:autoSpaceDN/>
        <w:bidi w:val="0"/>
        <w:adjustRightInd/>
        <w:spacing w:line="360" w:lineRule="auto"/>
        <w:ind w:firstLine="420" w:firstLineChars="0"/>
        <w:jc w:val="both"/>
        <w:textAlignment w:val="auto"/>
        <w:outlineLvl w:val="9"/>
        <w:rPr>
          <w:rFonts w:hint="eastAsia" w:ascii="宋体" w:hAnsi="宋体" w:eastAsia="宋体" w:cs="宋体"/>
          <w:b/>
          <w:bCs/>
          <w:color w:val="auto"/>
          <w:kern w:val="2"/>
          <w:sz w:val="21"/>
          <w:szCs w:val="21"/>
          <w:highlight w:val="none"/>
          <w:lang w:val="en-US" w:eastAsia="zh-CN" w:bidi="ar-SA"/>
        </w:rPr>
      </w:pPr>
      <w:bookmarkStart w:id="672" w:name="_Toc3921"/>
      <w:bookmarkStart w:id="673" w:name="_Toc24877"/>
      <w:r>
        <w:rPr>
          <w:rFonts w:hint="eastAsia" w:ascii="宋体" w:hAnsi="宋体" w:eastAsia="宋体" w:cs="宋体"/>
          <w:b/>
          <w:color w:val="auto"/>
          <w:kern w:val="2"/>
          <w:sz w:val="21"/>
          <w:szCs w:val="21"/>
          <w:highlight w:val="none"/>
          <w:lang w:val="en-US" w:eastAsia="zh-CN" w:bidi="ar-SA"/>
        </w:rPr>
        <w:t>★</w:t>
      </w:r>
      <w:r>
        <w:rPr>
          <w:rFonts w:hint="eastAsia" w:ascii="宋体" w:hAnsi="宋体" w:eastAsia="宋体" w:cs="宋体"/>
          <w:b/>
          <w:bCs/>
          <w:color w:val="auto"/>
          <w:kern w:val="2"/>
          <w:sz w:val="21"/>
          <w:szCs w:val="21"/>
          <w:highlight w:val="none"/>
          <w:lang w:val="en-US" w:eastAsia="zh-CN" w:bidi="ar-SA"/>
        </w:rPr>
        <w:t>四、报价要求</w:t>
      </w:r>
      <w:bookmarkEnd w:id="672"/>
      <w:bookmarkEnd w:id="673"/>
    </w:p>
    <w:p w14:paraId="0E75E2EC">
      <w:pPr>
        <w:keepNext w:val="0"/>
        <w:keepLines w:val="0"/>
        <w:pageBreakBefore w:val="0"/>
        <w:widowControl w:val="0"/>
        <w:kinsoku/>
        <w:wordWrap/>
        <w:overflowPunct/>
        <w:topLinePunct w:val="0"/>
        <w:autoSpaceDE/>
        <w:autoSpaceDN/>
        <w:bidi w:val="0"/>
        <w:adjustRightInd/>
        <w:spacing w:line="360" w:lineRule="auto"/>
        <w:ind w:firstLine="420" w:firstLineChars="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本项目污泥处理处置服务费用单价按不含税综合服务单价进行投标报价，不含税综合服务单价为按含水率80%折算价格，单位为元/吨。不含税综合服务费包括但不限于履行本服务所发生的人工费、水电费、药剂费、设备设施及其维护费、运输费、处置费、保险费、称重计量及检测费、污泥处置后的副产品检测费、</w:t>
      </w:r>
      <w:r>
        <w:rPr>
          <w:rFonts w:hint="eastAsia" w:ascii="宋体" w:hAnsi="宋体" w:eastAsia="宋体" w:cs="宋体"/>
          <w:color w:val="auto"/>
          <w:kern w:val="2"/>
          <w:sz w:val="21"/>
          <w:szCs w:val="21"/>
          <w:highlight w:val="none"/>
        </w:rPr>
        <w:t>销项税额以外的</w:t>
      </w:r>
      <w:r>
        <w:rPr>
          <w:rFonts w:hint="eastAsia" w:ascii="宋体" w:hAnsi="宋体" w:eastAsia="宋体" w:cs="宋体"/>
          <w:color w:val="auto"/>
          <w:kern w:val="2"/>
          <w:sz w:val="21"/>
          <w:szCs w:val="21"/>
          <w:highlight w:val="none"/>
          <w:lang w:val="en-US" w:eastAsia="zh-CN" w:bidi="ar-SA"/>
        </w:rPr>
        <w:t>税金、管理费及利润、场地使用费（如有）等全部费用。</w:t>
      </w:r>
    </w:p>
    <w:p w14:paraId="5956A677">
      <w:pPr>
        <w:keepNext w:val="0"/>
        <w:keepLines w:val="0"/>
        <w:pageBreakBefore w:val="0"/>
        <w:widowControl w:val="0"/>
        <w:kinsoku/>
        <w:wordWrap/>
        <w:overflowPunct/>
        <w:topLinePunct w:val="0"/>
        <w:autoSpaceDE/>
        <w:autoSpaceDN/>
        <w:bidi w:val="0"/>
        <w:adjustRightInd/>
        <w:spacing w:line="360" w:lineRule="auto"/>
        <w:ind w:firstLine="420" w:firstLineChars="0"/>
        <w:jc w:val="both"/>
        <w:textAlignment w:val="auto"/>
        <w:outlineLvl w:val="9"/>
        <w:rPr>
          <w:rFonts w:hint="eastAsia" w:ascii="宋体" w:hAnsi="宋体" w:eastAsia="宋体" w:cs="宋体"/>
          <w:b/>
          <w:color w:val="auto"/>
          <w:kern w:val="2"/>
          <w:sz w:val="21"/>
          <w:szCs w:val="21"/>
          <w:highlight w:val="none"/>
          <w:lang w:val="en-US" w:eastAsia="zh-CN" w:bidi="ar-SA"/>
        </w:rPr>
      </w:pPr>
      <w:bookmarkStart w:id="674" w:name="_Toc5792"/>
      <w:bookmarkStart w:id="675" w:name="_Toc11656"/>
      <w:r>
        <w:rPr>
          <w:rFonts w:hint="eastAsia" w:ascii="宋体" w:hAnsi="宋体" w:eastAsia="宋体" w:cs="宋体"/>
          <w:b/>
          <w:color w:val="auto"/>
          <w:kern w:val="2"/>
          <w:sz w:val="21"/>
          <w:szCs w:val="21"/>
          <w:highlight w:val="none"/>
          <w:lang w:val="en-US" w:eastAsia="zh-CN" w:bidi="ar-SA"/>
        </w:rPr>
        <w:t>★五、良好的服务衔接要求</w:t>
      </w:r>
      <w:bookmarkEnd w:id="674"/>
      <w:bookmarkEnd w:id="675"/>
    </w:p>
    <w:p w14:paraId="094C2D20">
      <w:pPr>
        <w:keepNext w:val="0"/>
        <w:keepLines w:val="0"/>
        <w:pageBreakBefore w:val="0"/>
        <w:widowControl w:val="0"/>
        <w:kinsoku/>
        <w:wordWrap/>
        <w:overflowPunct/>
        <w:topLinePunct w:val="0"/>
        <w:autoSpaceDE/>
        <w:autoSpaceDN/>
        <w:bidi w:val="0"/>
        <w:adjustRightInd/>
        <w:spacing w:line="360" w:lineRule="auto"/>
        <w:ind w:firstLine="424" w:firstLineChars="202"/>
        <w:jc w:val="both"/>
        <w:textAlignment w:val="auto"/>
        <w:outlineLvl w:val="9"/>
        <w:rPr>
          <w:rFonts w:hint="eastAsia" w:ascii="宋体" w:hAnsi="宋体" w:eastAsia="宋体" w:cs="宋体"/>
          <w:color w:val="auto"/>
          <w:kern w:val="2"/>
          <w:sz w:val="21"/>
          <w:szCs w:val="21"/>
          <w:highlight w:val="none"/>
          <w:lang w:val="en-US" w:eastAsia="zh-CN" w:bidi="ar-SA"/>
        </w:rPr>
      </w:pPr>
      <w:bookmarkStart w:id="676" w:name="_Toc7742"/>
      <w:bookmarkStart w:id="677" w:name="_Toc6562"/>
      <w:r>
        <w:rPr>
          <w:rFonts w:hint="eastAsia" w:ascii="宋体" w:hAnsi="宋体" w:eastAsia="宋体" w:cs="宋体"/>
          <w:color w:val="auto"/>
          <w:kern w:val="2"/>
          <w:sz w:val="21"/>
          <w:szCs w:val="21"/>
          <w:highlight w:val="none"/>
          <w:lang w:val="en-US" w:eastAsia="zh-CN" w:bidi="ar-SA"/>
        </w:rPr>
        <w:t>1、本项目服务期开始时间为2025年6月30日，服务单位需于当日起开始正常提供污泥处理处置服务，服务单位需在此前做好充分准备工作。</w:t>
      </w:r>
      <w:bookmarkEnd w:id="676"/>
      <w:bookmarkEnd w:id="677"/>
    </w:p>
    <w:p w14:paraId="20CB08FB">
      <w:pPr>
        <w:keepNext w:val="0"/>
        <w:keepLines w:val="0"/>
        <w:pageBreakBefore w:val="0"/>
        <w:widowControl w:val="0"/>
        <w:kinsoku/>
        <w:wordWrap/>
        <w:overflowPunct/>
        <w:topLinePunct w:val="0"/>
        <w:autoSpaceDE/>
        <w:autoSpaceDN/>
        <w:bidi w:val="0"/>
        <w:adjustRightInd/>
        <w:spacing w:line="360" w:lineRule="auto"/>
        <w:ind w:firstLine="424" w:firstLineChars="202"/>
        <w:jc w:val="both"/>
        <w:textAlignment w:val="auto"/>
        <w:outlineLvl w:val="9"/>
        <w:rPr>
          <w:rFonts w:hint="eastAsia" w:ascii="宋体" w:hAnsi="宋体" w:eastAsia="宋体" w:cs="宋体"/>
          <w:color w:val="auto"/>
          <w:kern w:val="2"/>
          <w:sz w:val="21"/>
          <w:szCs w:val="21"/>
          <w:highlight w:val="none"/>
          <w:lang w:val="en-US" w:eastAsia="zh-CN" w:bidi="ar-SA"/>
        </w:rPr>
      </w:pPr>
      <w:bookmarkStart w:id="678" w:name="_Toc5549"/>
      <w:bookmarkStart w:id="679" w:name="_Toc29312"/>
      <w:r>
        <w:rPr>
          <w:rFonts w:hint="eastAsia" w:ascii="宋体" w:hAnsi="宋体" w:eastAsia="宋体" w:cs="宋体"/>
          <w:color w:val="auto"/>
          <w:kern w:val="2"/>
          <w:sz w:val="21"/>
          <w:szCs w:val="21"/>
          <w:highlight w:val="none"/>
          <w:lang w:val="en-US" w:eastAsia="zh-CN" w:bidi="ar-SA"/>
        </w:rPr>
        <w:t>2、本项目可能涉及到服务单位需要新增污泥脱水减量化设备设施，如涉及到，服务单位须做好新增污泥脱水减量化设备设施正常投运前过渡阶段的污泥处理处置服务，保障樟村水质净化厂正常生产的需要，污泥处理处置能力约290吨/日（按80%含水率折算，50%含水率对应处理处置能力为116吨/日），污泥出厂含水率不高于50%；在过渡阶段服务单位为保障提供正常服务，不限于提供临时移动污泥脱水减量化设备服务等方式，且污泥的处理处置方法方式须符合国家、地方相关规定。</w:t>
      </w:r>
      <w:bookmarkEnd w:id="678"/>
      <w:bookmarkEnd w:id="679"/>
    </w:p>
    <w:p w14:paraId="15FC32AE">
      <w:pPr>
        <w:keepNext w:val="0"/>
        <w:keepLines w:val="0"/>
        <w:pageBreakBefore w:val="0"/>
        <w:widowControl w:val="0"/>
        <w:kinsoku/>
        <w:wordWrap/>
        <w:overflowPunct/>
        <w:topLinePunct w:val="0"/>
        <w:autoSpaceDE/>
        <w:autoSpaceDN/>
        <w:bidi w:val="0"/>
        <w:adjustRightInd/>
        <w:spacing w:line="360" w:lineRule="auto"/>
        <w:ind w:firstLine="424" w:firstLineChars="202"/>
        <w:jc w:val="both"/>
        <w:textAlignment w:val="auto"/>
        <w:outlineLvl w:val="9"/>
        <w:rPr>
          <w:rFonts w:hint="eastAsia" w:ascii="宋体" w:hAnsi="宋体" w:eastAsia="宋体" w:cs="宋体"/>
          <w:color w:val="auto"/>
          <w:kern w:val="2"/>
          <w:sz w:val="21"/>
          <w:szCs w:val="21"/>
          <w:highlight w:val="none"/>
          <w:lang w:val="en-US" w:eastAsia="zh-CN" w:bidi="ar-SA"/>
        </w:rPr>
      </w:pPr>
      <w:bookmarkStart w:id="680" w:name="_Toc7765"/>
      <w:bookmarkStart w:id="681" w:name="_Toc4021"/>
      <w:r>
        <w:rPr>
          <w:rFonts w:hint="eastAsia" w:ascii="宋体" w:hAnsi="宋体" w:eastAsia="宋体" w:cs="宋体"/>
          <w:color w:val="auto"/>
          <w:kern w:val="2"/>
          <w:sz w:val="21"/>
          <w:szCs w:val="21"/>
          <w:highlight w:val="none"/>
          <w:lang w:val="en-US" w:eastAsia="zh-CN" w:bidi="ar-SA"/>
        </w:rPr>
        <w:t>3、樟村水质净化厂能提供的安装污泥减量化设备设施的场所原则上为污泥脱水机房，如遇位置调整等特殊情况以招标人提供为准。本项目可能涉及到原污泥处理处置合同中原服务单位污泥减量化设备设施拆除，如中标服务单位涉及新增安装污泥减量化设备设施，原服务单位污泥减量化设备设施拆除时间最长不超过30日，中标服务单位新增安装污泥减量化设备设施安装完成至投运时间最长不超过30日。如涉及中标服务单位新增安装污泥减量化设备设施的，服务单位需保障在要求的时限内投运；上述时间的起算时间为2025年6月30日，服务单位需保障新增设备设施在2025年8月28日（含当日）前投运。</w:t>
      </w:r>
      <w:bookmarkEnd w:id="680"/>
      <w:bookmarkEnd w:id="681"/>
      <w:r>
        <w:rPr>
          <w:rFonts w:hint="eastAsia" w:ascii="宋体" w:hAnsi="宋体" w:eastAsia="宋体" w:cs="宋体"/>
          <w:color w:val="auto"/>
          <w:kern w:val="2"/>
          <w:sz w:val="21"/>
          <w:szCs w:val="21"/>
          <w:highlight w:val="none"/>
          <w:lang w:val="en-US" w:eastAsia="zh-CN" w:bidi="ar-SA"/>
        </w:rPr>
        <w:t xml:space="preserve"> </w:t>
      </w:r>
    </w:p>
    <w:p w14:paraId="5B806874">
      <w:pPr>
        <w:keepNext w:val="0"/>
        <w:keepLines w:val="0"/>
        <w:pageBreakBefore w:val="0"/>
        <w:widowControl w:val="0"/>
        <w:kinsoku/>
        <w:wordWrap/>
        <w:overflowPunct/>
        <w:topLinePunct w:val="0"/>
        <w:autoSpaceDE/>
        <w:autoSpaceDN/>
        <w:bidi w:val="0"/>
        <w:adjustRightInd/>
        <w:spacing w:line="360" w:lineRule="auto"/>
        <w:ind w:firstLine="420" w:firstLineChars="0"/>
        <w:jc w:val="both"/>
        <w:textAlignment w:val="auto"/>
        <w:outlineLvl w:val="9"/>
        <w:rPr>
          <w:rFonts w:hint="eastAsia" w:ascii="宋体" w:hAnsi="宋体" w:eastAsia="宋体" w:cs="宋体"/>
          <w:b/>
          <w:bCs/>
          <w:color w:val="auto"/>
          <w:kern w:val="2"/>
          <w:sz w:val="21"/>
          <w:szCs w:val="21"/>
          <w:highlight w:val="none"/>
          <w:lang w:val="en-US" w:eastAsia="zh-CN" w:bidi="ar-SA"/>
        </w:rPr>
      </w:pPr>
      <w:bookmarkStart w:id="682" w:name="_Toc3512"/>
      <w:bookmarkStart w:id="683" w:name="_Toc7951"/>
      <w:r>
        <w:rPr>
          <w:rFonts w:hint="eastAsia" w:ascii="宋体" w:hAnsi="宋体" w:eastAsia="宋体" w:cs="宋体"/>
          <w:b/>
          <w:bCs/>
          <w:color w:val="auto"/>
          <w:kern w:val="2"/>
          <w:sz w:val="21"/>
          <w:szCs w:val="21"/>
          <w:highlight w:val="none"/>
          <w:lang w:val="en-US" w:eastAsia="zh-CN" w:bidi="ar-SA"/>
        </w:rPr>
        <w:t>六、污泥计量、污泥含水率及检测、污泥</w:t>
      </w:r>
      <w:r>
        <w:rPr>
          <w:rFonts w:hint="eastAsia" w:ascii="宋体" w:hAnsi="宋体" w:eastAsia="宋体" w:cs="宋体"/>
          <w:b/>
          <w:bCs/>
          <w:color w:val="auto"/>
          <w:szCs w:val="21"/>
          <w:highlight w:val="none"/>
        </w:rPr>
        <w:t>处理处置</w:t>
      </w:r>
      <w:r>
        <w:rPr>
          <w:rFonts w:hint="eastAsia" w:ascii="宋体" w:hAnsi="宋体" w:eastAsia="宋体" w:cs="宋体"/>
          <w:b/>
          <w:bCs/>
          <w:color w:val="auto"/>
          <w:kern w:val="2"/>
          <w:sz w:val="21"/>
          <w:szCs w:val="21"/>
          <w:highlight w:val="none"/>
          <w:lang w:val="en-US" w:eastAsia="zh-CN" w:bidi="ar-SA"/>
        </w:rPr>
        <w:t>服务费计费</w:t>
      </w:r>
      <w:bookmarkEnd w:id="682"/>
      <w:bookmarkEnd w:id="683"/>
    </w:p>
    <w:p w14:paraId="39CC3E34">
      <w:pPr>
        <w:keepNext w:val="0"/>
        <w:keepLines w:val="0"/>
        <w:pageBreakBefore w:val="0"/>
        <w:widowControl w:val="0"/>
        <w:kinsoku/>
        <w:wordWrap/>
        <w:overflowPunct/>
        <w:topLinePunct w:val="0"/>
        <w:autoSpaceDE/>
        <w:autoSpaceDN/>
        <w:bidi w:val="0"/>
        <w:adjustRightInd/>
        <w:spacing w:line="360" w:lineRule="auto"/>
        <w:ind w:firstLine="420" w:firstLineChars="0"/>
        <w:jc w:val="both"/>
        <w:textAlignment w:val="auto"/>
        <w:outlineLvl w:val="9"/>
        <w:rPr>
          <w:rFonts w:hint="eastAsia" w:ascii="宋体" w:hAnsi="宋体" w:eastAsia="宋体" w:cs="宋体"/>
          <w:b/>
          <w:bCs/>
          <w:color w:val="auto"/>
          <w:kern w:val="2"/>
          <w:sz w:val="21"/>
          <w:szCs w:val="21"/>
          <w:highlight w:val="none"/>
          <w:lang w:val="en-US" w:eastAsia="zh-CN" w:bidi="ar-SA"/>
        </w:rPr>
      </w:pPr>
      <w:bookmarkStart w:id="684" w:name="_Toc23902"/>
      <w:bookmarkStart w:id="685" w:name="_Toc25694"/>
      <w:r>
        <w:rPr>
          <w:rFonts w:hint="eastAsia" w:ascii="宋体" w:hAnsi="宋体" w:eastAsia="宋体" w:cs="宋体"/>
          <w:b/>
          <w:bCs/>
          <w:color w:val="auto"/>
          <w:kern w:val="2"/>
          <w:sz w:val="21"/>
          <w:szCs w:val="21"/>
          <w:highlight w:val="none"/>
          <w:lang w:val="en-US" w:eastAsia="zh-CN" w:bidi="ar-SA"/>
        </w:rPr>
        <w:t>1、污泥计量</w:t>
      </w:r>
      <w:bookmarkEnd w:id="684"/>
      <w:bookmarkEnd w:id="685"/>
    </w:p>
    <w:p w14:paraId="77DC87A0">
      <w:pPr>
        <w:keepNext w:val="0"/>
        <w:keepLines w:val="0"/>
        <w:pageBreakBefore w:val="0"/>
        <w:widowControl w:val="0"/>
        <w:kinsoku/>
        <w:wordWrap/>
        <w:overflowPunct/>
        <w:topLinePunct w:val="0"/>
        <w:autoSpaceDE/>
        <w:autoSpaceDN/>
        <w:bidi w:val="0"/>
        <w:adjustRightInd/>
        <w:spacing w:line="360" w:lineRule="auto"/>
        <w:ind w:firstLine="420" w:firstLineChars="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1.1污泥称重计量：樟村水质净化厂出厂的半干化泥粉（泥块），通过招标人指定的地磅的称重数据（磅单）为计量计费依据，计量相关费用均由服务单位承担，</w:t>
      </w:r>
      <w:r>
        <w:rPr>
          <w:rFonts w:hint="eastAsia" w:ascii="宋体" w:hAnsi="宋体" w:eastAsia="宋体" w:cs="宋体"/>
          <w:color w:val="auto"/>
          <w:szCs w:val="21"/>
          <w:highlight w:val="none"/>
        </w:rPr>
        <w:t>樟村水质净化厂厂内设有电子地磅，</w:t>
      </w:r>
      <w:r>
        <w:rPr>
          <w:rFonts w:hint="eastAsia" w:ascii="宋体" w:hAnsi="宋体" w:eastAsia="宋体" w:cs="宋体"/>
          <w:color w:val="auto"/>
          <w:szCs w:val="21"/>
          <w:highlight w:val="none"/>
          <w:lang w:eastAsia="zh-CN"/>
        </w:rPr>
        <w:t>原则上</w:t>
      </w:r>
      <w:r>
        <w:rPr>
          <w:rFonts w:hint="eastAsia" w:ascii="宋体" w:hAnsi="宋体" w:eastAsia="宋体" w:cs="宋体"/>
          <w:color w:val="auto"/>
          <w:szCs w:val="21"/>
          <w:highlight w:val="none"/>
        </w:rPr>
        <w:t>在厂内过磅；若厂内电子地磅因检修等原因不可用，可在附近电子地磅过磅</w:t>
      </w:r>
      <w:r>
        <w:rPr>
          <w:rFonts w:hint="eastAsia" w:ascii="宋体" w:hAnsi="宋体" w:eastAsia="宋体" w:cs="宋体"/>
          <w:color w:val="auto"/>
          <w:kern w:val="2"/>
          <w:sz w:val="21"/>
          <w:szCs w:val="21"/>
          <w:highlight w:val="none"/>
          <w:lang w:val="en-US" w:eastAsia="zh-CN" w:bidi="ar-SA"/>
        </w:rPr>
        <w:t>。招标人电子地磅的称重服务不含税单价为1.51元/吨，称重服务相关条款由招标人与服务单位签订称重服务合同另行约定。</w:t>
      </w:r>
    </w:p>
    <w:p w14:paraId="0D5ED4EC">
      <w:pPr>
        <w:keepNext w:val="0"/>
        <w:keepLines w:val="0"/>
        <w:pageBreakBefore w:val="0"/>
        <w:widowControl w:val="0"/>
        <w:kinsoku/>
        <w:wordWrap/>
        <w:overflowPunct/>
        <w:topLinePunct w:val="0"/>
        <w:autoSpaceDE/>
        <w:autoSpaceDN/>
        <w:bidi w:val="0"/>
        <w:adjustRightInd/>
        <w:spacing w:line="360" w:lineRule="auto"/>
        <w:ind w:firstLine="420" w:firstLineChars="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1.2当车结算泥量。当车结算泥量</w:t>
      </w:r>
      <w:bookmarkStart w:id="686" w:name="OLE_LINK8"/>
      <w:r>
        <w:rPr>
          <w:rFonts w:hint="eastAsia" w:ascii="宋体" w:hAnsi="宋体" w:eastAsia="宋体" w:cs="宋体"/>
          <w:color w:val="auto"/>
          <w:kern w:val="2"/>
          <w:sz w:val="21"/>
          <w:szCs w:val="21"/>
          <w:highlight w:val="none"/>
          <w:lang w:val="en-US" w:eastAsia="zh-CN" w:bidi="ar-SA"/>
        </w:rPr>
        <w:t>（按80%含水率折算）=称重数据（磅单）×（1-50%）/（1-80%）</w:t>
      </w:r>
      <w:bookmarkEnd w:id="686"/>
      <w:r>
        <w:rPr>
          <w:rFonts w:hint="eastAsia" w:ascii="宋体" w:hAnsi="宋体" w:eastAsia="宋体" w:cs="宋体"/>
          <w:color w:val="auto"/>
          <w:kern w:val="2"/>
          <w:sz w:val="21"/>
          <w:szCs w:val="21"/>
          <w:highlight w:val="none"/>
          <w:lang w:val="en-US" w:eastAsia="zh-CN" w:bidi="ar-SA"/>
        </w:rPr>
        <w:t>。</w:t>
      </w:r>
    </w:p>
    <w:p w14:paraId="58864CE9">
      <w:pPr>
        <w:keepNext w:val="0"/>
        <w:keepLines w:val="0"/>
        <w:pageBreakBefore w:val="0"/>
        <w:widowControl w:val="0"/>
        <w:kinsoku/>
        <w:wordWrap/>
        <w:overflowPunct/>
        <w:topLinePunct w:val="0"/>
        <w:autoSpaceDE/>
        <w:autoSpaceDN/>
        <w:bidi w:val="0"/>
        <w:adjustRightInd/>
        <w:spacing w:line="360" w:lineRule="auto"/>
        <w:ind w:firstLine="420" w:firstLineChars="0"/>
        <w:jc w:val="both"/>
        <w:textAlignment w:val="auto"/>
        <w:outlineLvl w:val="9"/>
        <w:rPr>
          <w:rFonts w:hint="eastAsia" w:ascii="宋体" w:hAnsi="宋体" w:eastAsia="宋体" w:cs="宋体"/>
          <w:b/>
          <w:bCs/>
          <w:color w:val="auto"/>
          <w:kern w:val="2"/>
          <w:sz w:val="21"/>
          <w:szCs w:val="21"/>
          <w:highlight w:val="none"/>
          <w:lang w:val="en-US" w:eastAsia="zh-CN" w:bidi="ar-SA"/>
        </w:rPr>
      </w:pPr>
      <w:bookmarkStart w:id="687" w:name="_Toc28493"/>
      <w:bookmarkStart w:id="688" w:name="_Toc14769"/>
      <w:r>
        <w:rPr>
          <w:rFonts w:hint="eastAsia" w:ascii="宋体" w:hAnsi="宋体" w:eastAsia="宋体" w:cs="宋体"/>
          <w:b/>
          <w:bCs/>
          <w:color w:val="auto"/>
          <w:kern w:val="2"/>
          <w:sz w:val="21"/>
          <w:szCs w:val="21"/>
          <w:highlight w:val="none"/>
          <w:lang w:val="en-US" w:eastAsia="zh-CN" w:bidi="ar-SA"/>
        </w:rPr>
        <w:t>2、污泥含水率</w:t>
      </w:r>
      <w:bookmarkEnd w:id="687"/>
      <w:bookmarkEnd w:id="688"/>
    </w:p>
    <w:p w14:paraId="171011AE">
      <w:pPr>
        <w:keepNext w:val="0"/>
        <w:keepLines w:val="0"/>
        <w:pageBreakBefore w:val="0"/>
        <w:widowControl w:val="0"/>
        <w:kinsoku/>
        <w:wordWrap/>
        <w:overflowPunct/>
        <w:topLinePunct w:val="0"/>
        <w:autoSpaceDE/>
        <w:autoSpaceDN/>
        <w:bidi w:val="0"/>
        <w:adjustRightInd/>
        <w:spacing w:line="360" w:lineRule="auto"/>
        <w:ind w:firstLine="420" w:firstLineChars="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服务单位应严格遵照招标人要求将水质净化厂污泥浓缩池抽取的污泥脱水减量至含水率不高于50%的半干化泥粉（泥块）后外运安全处置。</w:t>
      </w:r>
    </w:p>
    <w:p w14:paraId="59EFBDA9">
      <w:pPr>
        <w:keepNext w:val="0"/>
        <w:keepLines w:val="0"/>
        <w:pageBreakBefore w:val="0"/>
        <w:widowControl w:val="0"/>
        <w:kinsoku/>
        <w:wordWrap/>
        <w:overflowPunct/>
        <w:topLinePunct w:val="0"/>
        <w:autoSpaceDE/>
        <w:autoSpaceDN/>
        <w:bidi w:val="0"/>
        <w:adjustRightInd/>
        <w:spacing w:line="360" w:lineRule="auto"/>
        <w:ind w:firstLine="420" w:firstLineChars="0"/>
        <w:jc w:val="both"/>
        <w:textAlignment w:val="auto"/>
        <w:outlineLvl w:val="9"/>
        <w:rPr>
          <w:rFonts w:hint="eastAsia" w:ascii="宋体" w:hAnsi="宋体" w:eastAsia="宋体" w:cs="宋体"/>
          <w:b/>
          <w:bCs/>
          <w:color w:val="auto"/>
          <w:kern w:val="2"/>
          <w:sz w:val="21"/>
          <w:szCs w:val="21"/>
          <w:highlight w:val="none"/>
          <w:lang w:val="en-US" w:eastAsia="zh-CN" w:bidi="ar-SA"/>
        </w:rPr>
      </w:pPr>
      <w:bookmarkStart w:id="689" w:name="_Toc5848"/>
      <w:bookmarkStart w:id="690" w:name="_Toc23833"/>
      <w:r>
        <w:rPr>
          <w:rFonts w:hint="eastAsia" w:ascii="宋体" w:hAnsi="宋体" w:eastAsia="宋体" w:cs="宋体"/>
          <w:b/>
          <w:bCs/>
          <w:color w:val="auto"/>
          <w:kern w:val="2"/>
          <w:sz w:val="21"/>
          <w:szCs w:val="21"/>
          <w:highlight w:val="none"/>
          <w:lang w:val="en-US" w:eastAsia="zh-CN" w:bidi="ar-SA"/>
        </w:rPr>
        <w:t>3、污泥含水率检测</w:t>
      </w:r>
      <w:bookmarkEnd w:id="689"/>
      <w:bookmarkEnd w:id="690"/>
    </w:p>
    <w:p w14:paraId="777D1AD1">
      <w:pPr>
        <w:keepNext w:val="0"/>
        <w:keepLines w:val="0"/>
        <w:pageBreakBefore w:val="0"/>
        <w:widowControl w:val="0"/>
        <w:kinsoku/>
        <w:wordWrap/>
        <w:overflowPunct/>
        <w:topLinePunct w:val="0"/>
        <w:autoSpaceDE/>
        <w:autoSpaceDN/>
        <w:bidi w:val="0"/>
        <w:adjustRightInd/>
        <w:spacing w:line="360" w:lineRule="auto"/>
        <w:ind w:firstLine="420" w:firstLineChars="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3.1在本项目半干化泥粉（泥块）外运装车时采集半干化泥粉（泥块）样品，采样点为外运半干化泥粉（泥块）的运输车内，多点取样，即在运输车3个不同的地方，用不锈钢采样器采集泥样后，现场混合碾碎为一个均匀样，采集的均匀样分为3份，并对3份样品进行编码以便记录和区分。上述采样过程，由招标人监督下，服务单位实施，招标人需拍照或视频留存相关记录。</w:t>
      </w:r>
      <w:bookmarkStart w:id="691" w:name="OLE_LINK1"/>
    </w:p>
    <w:p w14:paraId="48034384">
      <w:pPr>
        <w:keepNext w:val="0"/>
        <w:keepLines w:val="0"/>
        <w:pageBreakBefore w:val="0"/>
        <w:widowControl w:val="0"/>
        <w:kinsoku/>
        <w:wordWrap/>
        <w:overflowPunct/>
        <w:topLinePunct w:val="0"/>
        <w:autoSpaceDE/>
        <w:autoSpaceDN/>
        <w:bidi w:val="0"/>
        <w:adjustRightInd/>
        <w:spacing w:line="360" w:lineRule="auto"/>
        <w:ind w:firstLine="420" w:firstLineChars="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3.2污泥样品分为3份，1份交服务单位留存或自检，1份交招标人检测含水率，余下1份交招标人留底存放；原则上以招标人检测的污泥含水率为计费依据，污泥含水率需双方共同确认。若服务单位对招标人检测的污泥含水率有异议，则需在获知后24小时内提出，由服务单位委托有资质的第三方检测公司（双方共同认可的第三方）对招标人留底的样品进行检测（48小时内），并以该含水率作为最终计费依据，相关检测费用由服务单位承担。</w:t>
      </w:r>
      <w:bookmarkEnd w:id="691"/>
    </w:p>
    <w:p w14:paraId="11321879">
      <w:pPr>
        <w:keepNext w:val="0"/>
        <w:keepLines w:val="0"/>
        <w:pageBreakBefore w:val="0"/>
        <w:widowControl w:val="0"/>
        <w:kinsoku/>
        <w:wordWrap/>
        <w:overflowPunct/>
        <w:topLinePunct w:val="0"/>
        <w:autoSpaceDE/>
        <w:autoSpaceDN/>
        <w:bidi w:val="0"/>
        <w:adjustRightInd/>
        <w:spacing w:line="360" w:lineRule="auto"/>
        <w:ind w:firstLine="420" w:firstLineChars="0"/>
        <w:jc w:val="both"/>
        <w:textAlignment w:val="auto"/>
        <w:outlineLvl w:val="9"/>
        <w:rPr>
          <w:rFonts w:hint="eastAsia" w:ascii="宋体" w:hAnsi="宋体" w:eastAsia="宋体" w:cs="宋体"/>
          <w:b/>
          <w:bCs/>
          <w:color w:val="auto"/>
          <w:kern w:val="2"/>
          <w:sz w:val="21"/>
          <w:szCs w:val="21"/>
          <w:highlight w:val="none"/>
          <w:lang w:val="en-US" w:eastAsia="zh-CN" w:bidi="ar-SA"/>
        </w:rPr>
      </w:pPr>
      <w:bookmarkStart w:id="692" w:name="_Toc19034"/>
      <w:bookmarkStart w:id="693" w:name="_Toc27956"/>
      <w:r>
        <w:rPr>
          <w:rFonts w:hint="eastAsia" w:ascii="宋体" w:hAnsi="宋体" w:eastAsia="宋体" w:cs="宋体"/>
          <w:b/>
          <w:bCs/>
          <w:color w:val="auto"/>
          <w:kern w:val="2"/>
          <w:sz w:val="21"/>
          <w:szCs w:val="21"/>
          <w:highlight w:val="none"/>
          <w:lang w:val="en-US" w:eastAsia="zh-CN" w:bidi="ar-SA"/>
        </w:rPr>
        <w:t>4、污泥</w:t>
      </w:r>
      <w:r>
        <w:rPr>
          <w:rFonts w:hint="eastAsia" w:ascii="宋体" w:hAnsi="宋体" w:eastAsia="宋体" w:cs="宋体"/>
          <w:b/>
          <w:bCs/>
          <w:color w:val="auto"/>
          <w:szCs w:val="21"/>
          <w:highlight w:val="none"/>
        </w:rPr>
        <w:t>处理处置</w:t>
      </w:r>
      <w:r>
        <w:rPr>
          <w:rFonts w:hint="eastAsia" w:ascii="宋体" w:hAnsi="宋体" w:eastAsia="宋体" w:cs="宋体"/>
          <w:b/>
          <w:bCs/>
          <w:color w:val="auto"/>
          <w:kern w:val="2"/>
          <w:sz w:val="21"/>
          <w:szCs w:val="21"/>
          <w:highlight w:val="none"/>
          <w:lang w:val="en-US" w:eastAsia="zh-CN" w:bidi="ar-SA"/>
        </w:rPr>
        <w:t>服务费计费</w:t>
      </w:r>
      <w:bookmarkEnd w:id="692"/>
      <w:bookmarkEnd w:id="693"/>
    </w:p>
    <w:p w14:paraId="11856008">
      <w:pPr>
        <w:keepNext w:val="0"/>
        <w:keepLines w:val="0"/>
        <w:pageBreakBefore w:val="0"/>
        <w:widowControl w:val="0"/>
        <w:kinsoku/>
        <w:wordWrap/>
        <w:overflowPunct/>
        <w:topLinePunct w:val="0"/>
        <w:autoSpaceDE/>
        <w:autoSpaceDN/>
        <w:bidi w:val="0"/>
        <w:adjustRightInd/>
        <w:spacing w:line="360" w:lineRule="auto"/>
        <w:ind w:firstLine="420" w:firstLineChars="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4.1当车含水率≤50%时，当车污泥处理处置服务费=当车结算泥量（按80%含水率折算）×综合服务单价（按80%含水率折算）；</w:t>
      </w:r>
    </w:p>
    <w:p w14:paraId="496AA1B0">
      <w:pPr>
        <w:keepNext w:val="0"/>
        <w:keepLines w:val="0"/>
        <w:pageBreakBefore w:val="0"/>
        <w:widowControl w:val="0"/>
        <w:kinsoku/>
        <w:wordWrap/>
        <w:overflowPunct/>
        <w:topLinePunct w:val="0"/>
        <w:autoSpaceDE/>
        <w:autoSpaceDN/>
        <w:bidi w:val="0"/>
        <w:adjustRightInd/>
        <w:spacing w:line="360" w:lineRule="auto"/>
        <w:ind w:firstLine="420" w:firstLineChars="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4.2当车含水率</w:t>
      </w:r>
      <w:r>
        <w:rPr>
          <w:rFonts w:hint="eastAsia" w:ascii="宋体" w:hAnsi="宋体" w:eastAsia="宋体" w:cs="宋体"/>
          <w:color w:val="auto"/>
          <w:szCs w:val="21"/>
          <w:highlight w:val="none"/>
        </w:rPr>
        <w:t>＞</w:t>
      </w:r>
      <w:r>
        <w:rPr>
          <w:rFonts w:hint="eastAsia" w:ascii="宋体" w:hAnsi="宋体" w:eastAsia="宋体" w:cs="宋体"/>
          <w:color w:val="auto"/>
          <w:kern w:val="2"/>
          <w:sz w:val="21"/>
          <w:szCs w:val="21"/>
          <w:highlight w:val="none"/>
          <w:lang w:val="en-US" w:eastAsia="zh-CN" w:bidi="ar-SA"/>
        </w:rPr>
        <w:t>50%时，当车污泥处理处置服务费=当车结算泥量（按80%含水率折算）×综合服务单价（按80%含水率折算）×0。</w:t>
      </w:r>
    </w:p>
    <w:p w14:paraId="027EAA1A">
      <w:pPr>
        <w:keepNext w:val="0"/>
        <w:keepLines w:val="0"/>
        <w:pageBreakBefore w:val="0"/>
        <w:widowControl w:val="0"/>
        <w:kinsoku/>
        <w:wordWrap/>
        <w:overflowPunct/>
        <w:topLinePunct w:val="0"/>
        <w:autoSpaceDE/>
        <w:autoSpaceDN/>
        <w:bidi w:val="0"/>
        <w:adjustRightInd/>
        <w:spacing w:line="360" w:lineRule="auto"/>
        <w:ind w:left="424" w:firstLine="2" w:firstLineChars="0"/>
        <w:jc w:val="both"/>
        <w:textAlignment w:val="auto"/>
        <w:outlineLvl w:val="9"/>
        <w:rPr>
          <w:rFonts w:hint="eastAsia" w:ascii="宋体" w:hAnsi="宋体" w:eastAsia="宋体" w:cs="宋体"/>
          <w:b/>
          <w:color w:val="auto"/>
          <w:kern w:val="2"/>
          <w:sz w:val="21"/>
          <w:szCs w:val="21"/>
          <w:highlight w:val="none"/>
          <w:lang w:val="en-US" w:eastAsia="zh-CN" w:bidi="ar-SA"/>
        </w:rPr>
      </w:pPr>
      <w:bookmarkStart w:id="694" w:name="_Toc20764"/>
      <w:bookmarkStart w:id="695" w:name="_Toc14939"/>
      <w:bookmarkStart w:id="696" w:name="OLE_LINK5"/>
      <w:r>
        <w:rPr>
          <w:rFonts w:hint="eastAsia" w:ascii="宋体" w:hAnsi="宋体" w:eastAsia="宋体" w:cs="宋体"/>
          <w:b/>
          <w:color w:val="auto"/>
          <w:kern w:val="2"/>
          <w:sz w:val="21"/>
          <w:szCs w:val="21"/>
          <w:highlight w:val="none"/>
          <w:lang w:val="en-US" w:eastAsia="zh-CN" w:bidi="ar-SA"/>
        </w:rPr>
        <w:t>七、服务标准及要求</w:t>
      </w:r>
      <w:bookmarkEnd w:id="694"/>
      <w:bookmarkEnd w:id="695"/>
    </w:p>
    <w:p w14:paraId="3EB9E5F6">
      <w:pPr>
        <w:keepNext w:val="0"/>
        <w:keepLines w:val="0"/>
        <w:pageBreakBefore w:val="0"/>
        <w:widowControl w:val="0"/>
        <w:kinsoku/>
        <w:wordWrap/>
        <w:overflowPunct/>
        <w:topLinePunct w:val="0"/>
        <w:autoSpaceDE/>
        <w:autoSpaceDN/>
        <w:bidi w:val="0"/>
        <w:adjustRightInd/>
        <w:spacing w:line="360" w:lineRule="auto"/>
        <w:ind w:firstLine="426" w:firstLineChars="202"/>
        <w:jc w:val="both"/>
        <w:textAlignment w:val="auto"/>
        <w:outlineLvl w:val="9"/>
        <w:rPr>
          <w:rFonts w:hint="eastAsia" w:ascii="宋体" w:hAnsi="宋体" w:eastAsia="宋体" w:cs="宋体"/>
          <w:b/>
          <w:color w:val="auto"/>
          <w:kern w:val="2"/>
          <w:sz w:val="21"/>
          <w:szCs w:val="21"/>
          <w:highlight w:val="none"/>
          <w:lang w:val="en-US" w:eastAsia="zh-CN" w:bidi="ar-SA"/>
        </w:rPr>
      </w:pPr>
      <w:bookmarkStart w:id="697" w:name="_Toc28661"/>
      <w:bookmarkStart w:id="698" w:name="_Toc7967"/>
      <w:r>
        <w:rPr>
          <w:rFonts w:hint="eastAsia" w:ascii="宋体" w:hAnsi="宋体" w:eastAsia="宋体" w:cs="宋体"/>
          <w:b/>
          <w:color w:val="auto"/>
          <w:kern w:val="2"/>
          <w:sz w:val="21"/>
          <w:szCs w:val="21"/>
          <w:highlight w:val="none"/>
          <w:lang w:val="en-US" w:eastAsia="zh-CN" w:bidi="ar-SA"/>
        </w:rPr>
        <w:t>1、污泥处理处置服务标准</w:t>
      </w:r>
      <w:bookmarkEnd w:id="697"/>
      <w:bookmarkEnd w:id="698"/>
    </w:p>
    <w:p w14:paraId="1CE8EB84">
      <w:pPr>
        <w:keepNext w:val="0"/>
        <w:keepLines w:val="0"/>
        <w:pageBreakBefore w:val="0"/>
        <w:widowControl w:val="0"/>
        <w:kinsoku/>
        <w:wordWrap/>
        <w:overflowPunct/>
        <w:topLinePunct w:val="0"/>
        <w:autoSpaceDE/>
        <w:autoSpaceDN/>
        <w:bidi w:val="0"/>
        <w:adjustRightInd/>
        <w:spacing w:line="360" w:lineRule="auto"/>
        <w:ind w:firstLine="424" w:firstLineChars="202"/>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1.1本项目污泥处理处置全过程应当严格遵守《中华人民共和国环境保护法》、《中华人民共和国固体废物污染环境防治法》、《广东省住房和城乡建设厅 广东省生态环境厅城镇生活污水处理厂污泥处理处置管理办法》、《东莞市生活污水处理厂污泥处理处置管理规定》等国家和地方相关法律、法规、规范性引用文件及技术标准，合法处理处置污泥。如本项目实施过程中有新颁布的标准或方法等，服务单位应无条件按照新标准、新规范执行，同时服务单位对处理处置过程和结果负责并承担一切法律责任。</w:t>
      </w:r>
    </w:p>
    <w:p w14:paraId="7066305A">
      <w:pPr>
        <w:keepNext w:val="0"/>
        <w:keepLines w:val="0"/>
        <w:pageBreakBefore w:val="0"/>
        <w:widowControl w:val="0"/>
        <w:kinsoku/>
        <w:wordWrap/>
        <w:overflowPunct/>
        <w:topLinePunct w:val="0"/>
        <w:autoSpaceDE/>
        <w:autoSpaceDN/>
        <w:bidi w:val="0"/>
        <w:adjustRightInd/>
        <w:spacing w:line="360" w:lineRule="auto"/>
        <w:ind w:firstLine="420" w:firstLineChars="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1.2本项目污泥处理处置方法方式必须合法合规，不得采用国家和地方禁止、淘汰的工艺技术或方法，并体现“减量化、稳定化、无害化、资源化”的原则，在坚持“安全、环保”的原则下，实现污泥的综合利用，合法地解决污泥的最终出路。</w:t>
      </w:r>
    </w:p>
    <w:p w14:paraId="4A90C116">
      <w:pPr>
        <w:keepNext w:val="0"/>
        <w:keepLines w:val="0"/>
        <w:pageBreakBefore w:val="0"/>
        <w:widowControl w:val="0"/>
        <w:kinsoku/>
        <w:wordWrap/>
        <w:overflowPunct/>
        <w:topLinePunct w:val="0"/>
        <w:autoSpaceDE/>
        <w:autoSpaceDN/>
        <w:bidi w:val="0"/>
        <w:adjustRightInd/>
        <w:spacing w:line="360" w:lineRule="auto"/>
        <w:ind w:firstLine="420" w:firstLineChars="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1.3本项目污泥处理处置能力不得少于290吨/日（按80%含水率折算，50%含水率对应处理处置能力为116吨/日），将樟村水质净化厂污泥浓缩池抽取的污泥脱水减量至含水率不高于50%的半干化泥粉（泥块），保障不间断的接收处理并安全处置，不造成二次污染。</w:t>
      </w:r>
      <w:r>
        <w:rPr>
          <w:rFonts w:hint="eastAsia" w:ascii="宋体" w:hAnsi="宋体" w:eastAsia="宋体" w:cs="宋体"/>
          <w:color w:val="auto"/>
          <w:kern w:val="0"/>
          <w:sz w:val="21"/>
          <w:szCs w:val="21"/>
          <w:highlight w:val="none"/>
          <w:lang w:val="en-US" w:eastAsia="zh-CN" w:bidi="ar-SA"/>
        </w:rPr>
        <w:t>若因污泥处理处置能力不足，导致樟村水质净化厂减产或停产，服务单位需赔偿全部损失，并依法承担因此造成环境事件的法律责任</w:t>
      </w:r>
      <w:r>
        <w:rPr>
          <w:rFonts w:hint="eastAsia" w:ascii="宋体" w:hAnsi="宋体" w:eastAsia="宋体" w:cs="宋体"/>
          <w:color w:val="auto"/>
          <w:kern w:val="2"/>
          <w:sz w:val="21"/>
          <w:szCs w:val="21"/>
          <w:highlight w:val="none"/>
          <w:lang w:val="en-US" w:eastAsia="zh-CN" w:bidi="ar-SA"/>
        </w:rPr>
        <w:t>。</w:t>
      </w:r>
    </w:p>
    <w:p w14:paraId="26A333B8">
      <w:pPr>
        <w:keepNext w:val="0"/>
        <w:keepLines w:val="0"/>
        <w:pageBreakBefore w:val="0"/>
        <w:widowControl w:val="0"/>
        <w:kinsoku/>
        <w:wordWrap/>
        <w:overflowPunct/>
        <w:topLinePunct w:val="0"/>
        <w:autoSpaceDE/>
        <w:autoSpaceDN/>
        <w:bidi w:val="0"/>
        <w:adjustRightInd/>
        <w:spacing w:line="360" w:lineRule="auto"/>
        <w:ind w:left="424" w:firstLine="2" w:firstLineChars="0"/>
        <w:jc w:val="both"/>
        <w:textAlignment w:val="auto"/>
        <w:outlineLvl w:val="9"/>
        <w:rPr>
          <w:rFonts w:hint="eastAsia" w:ascii="宋体" w:hAnsi="宋体" w:eastAsia="宋体" w:cs="宋体"/>
          <w:bCs/>
          <w:color w:val="auto"/>
          <w:kern w:val="2"/>
          <w:sz w:val="21"/>
          <w:szCs w:val="21"/>
          <w:highlight w:val="none"/>
          <w:lang w:val="en-US" w:eastAsia="zh-CN" w:bidi="ar-SA"/>
        </w:rPr>
      </w:pPr>
      <w:bookmarkStart w:id="699" w:name="_Toc30593"/>
      <w:bookmarkStart w:id="700" w:name="_Toc31697"/>
      <w:r>
        <w:rPr>
          <w:rFonts w:hint="eastAsia" w:ascii="宋体" w:hAnsi="宋体" w:eastAsia="宋体" w:cs="宋体"/>
          <w:bCs/>
          <w:color w:val="auto"/>
          <w:kern w:val="2"/>
          <w:sz w:val="21"/>
          <w:szCs w:val="21"/>
          <w:highlight w:val="none"/>
          <w:lang w:val="en-US" w:eastAsia="zh-CN" w:bidi="ar-SA"/>
        </w:rPr>
        <w:t>1.4 污泥脱水剂调理剂要求</w:t>
      </w:r>
      <w:bookmarkEnd w:id="699"/>
      <w:bookmarkEnd w:id="700"/>
    </w:p>
    <w:p w14:paraId="55ADD933">
      <w:pPr>
        <w:keepNext w:val="0"/>
        <w:keepLines w:val="0"/>
        <w:pageBreakBefore w:val="0"/>
        <w:widowControl w:val="0"/>
        <w:kinsoku/>
        <w:wordWrap/>
        <w:overflowPunct/>
        <w:topLinePunct w:val="0"/>
        <w:autoSpaceDE/>
        <w:autoSpaceDN/>
        <w:bidi w:val="0"/>
        <w:adjustRightInd/>
        <w:spacing w:line="360" w:lineRule="auto"/>
        <w:ind w:firstLine="420" w:firstLineChars="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1.4.1为保证污泥减量效果，本采购项目不允许添加石灰以及含石灰的调理剂。用于污泥减量化的调理剂干固体质量不得超过处理污泥干固体总质量的5%。</w:t>
      </w:r>
    </w:p>
    <w:p w14:paraId="3298D0CF">
      <w:pPr>
        <w:keepNext w:val="0"/>
        <w:keepLines w:val="0"/>
        <w:pageBreakBefore w:val="0"/>
        <w:widowControl w:val="0"/>
        <w:kinsoku/>
        <w:wordWrap/>
        <w:overflowPunct/>
        <w:topLinePunct w:val="0"/>
        <w:autoSpaceDE/>
        <w:autoSpaceDN/>
        <w:bidi w:val="0"/>
        <w:adjustRightInd/>
        <w:spacing w:line="360" w:lineRule="auto"/>
        <w:ind w:firstLine="420" w:firstLineChars="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1.4.2服务单位需做好调理剂等添加药剂的出入库单（或进出场记录）或用量记录，定期提供给招标人，以备各级政府主管部门检查、核查。</w:t>
      </w:r>
    </w:p>
    <w:p w14:paraId="5F63E262">
      <w:pPr>
        <w:keepNext w:val="0"/>
        <w:keepLines w:val="0"/>
        <w:pageBreakBefore w:val="0"/>
        <w:widowControl w:val="0"/>
        <w:kinsoku/>
        <w:wordWrap/>
        <w:overflowPunct/>
        <w:topLinePunct w:val="0"/>
        <w:autoSpaceDE/>
        <w:autoSpaceDN/>
        <w:bidi w:val="0"/>
        <w:adjustRightInd/>
        <w:spacing w:line="360" w:lineRule="auto"/>
        <w:ind w:firstLine="420" w:firstLineChars="0"/>
        <w:jc w:val="both"/>
        <w:textAlignment w:val="auto"/>
        <w:outlineLvl w:val="9"/>
        <w:rPr>
          <w:rFonts w:hint="eastAsia" w:ascii="宋体" w:hAnsi="宋体" w:eastAsia="宋体" w:cs="宋体"/>
          <w:color w:val="auto"/>
          <w:kern w:val="2"/>
          <w:sz w:val="21"/>
          <w:szCs w:val="21"/>
          <w:highlight w:val="none"/>
          <w:lang w:val="en-US" w:eastAsia="zh-CN" w:bidi="ar-SA"/>
        </w:rPr>
      </w:pPr>
      <w:bookmarkStart w:id="701" w:name="_Toc13752"/>
      <w:bookmarkStart w:id="702" w:name="_Toc31807"/>
      <w:r>
        <w:rPr>
          <w:rFonts w:hint="eastAsia" w:ascii="宋体" w:hAnsi="宋体" w:eastAsia="宋体" w:cs="宋体"/>
          <w:color w:val="auto"/>
          <w:kern w:val="2"/>
          <w:sz w:val="21"/>
          <w:szCs w:val="21"/>
          <w:highlight w:val="none"/>
          <w:lang w:val="en-US" w:eastAsia="zh-CN" w:bidi="ar-SA"/>
        </w:rPr>
        <w:t>1.5处理配套设施排放要求</w:t>
      </w:r>
      <w:bookmarkEnd w:id="701"/>
      <w:bookmarkEnd w:id="702"/>
    </w:p>
    <w:p w14:paraId="5EE963F1">
      <w:pPr>
        <w:keepNext w:val="0"/>
        <w:keepLines w:val="0"/>
        <w:pageBreakBefore w:val="0"/>
        <w:widowControl w:val="0"/>
        <w:kinsoku/>
        <w:wordWrap/>
        <w:overflowPunct/>
        <w:topLinePunct w:val="0"/>
        <w:autoSpaceDE/>
        <w:autoSpaceDN/>
        <w:bidi w:val="0"/>
        <w:adjustRightInd/>
        <w:spacing w:line="360" w:lineRule="auto"/>
        <w:ind w:firstLine="420" w:firstLineChars="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1.5.1厂内污泥减量化处理过程中产生的废水须达标排放，废水达到广东省《水污染物排放限值》(DB44/26-2001)第二时段三级标及《污水排入城镇下水道水质标准》(GB/T 31962-2015)B级标准的较严值，且不得对樟村水质净化厂生产造成任何不利影响，</w:t>
      </w:r>
      <w:r>
        <w:rPr>
          <w:rFonts w:hint="eastAsia" w:ascii="宋体" w:hAnsi="宋体" w:eastAsia="宋体" w:cs="宋体"/>
          <w:color w:val="auto"/>
          <w:spacing w:val="4"/>
          <w:kern w:val="2"/>
          <w:sz w:val="21"/>
          <w:szCs w:val="21"/>
          <w:highlight w:val="none"/>
          <w:shd w:val="clear" w:color="auto" w:fill="FFFFFF"/>
          <w:lang w:val="en-US" w:eastAsia="zh-CN" w:bidi="ar-SA"/>
        </w:rPr>
        <w:t>若废水排放未达到上述标准或对樟村水质净化厂生产造成影响，</w:t>
      </w:r>
      <w:r>
        <w:rPr>
          <w:rFonts w:hint="eastAsia" w:ascii="宋体" w:hAnsi="宋体" w:eastAsia="宋体" w:cs="宋体"/>
          <w:color w:val="auto"/>
          <w:kern w:val="2"/>
          <w:sz w:val="21"/>
          <w:szCs w:val="21"/>
          <w:highlight w:val="none"/>
          <w:lang w:val="en-US" w:eastAsia="zh-CN" w:bidi="ar-SA"/>
        </w:rPr>
        <w:t>服务单位负责制定整改方案并限期完成整改工作，产生的相关费用由服务单位自行承担，同时由此给招标人造成损失的，服务单位应当承担全部赔偿责任。</w:t>
      </w:r>
    </w:p>
    <w:p w14:paraId="43F571CA">
      <w:pPr>
        <w:keepNext w:val="0"/>
        <w:keepLines w:val="0"/>
        <w:pageBreakBefore w:val="0"/>
        <w:widowControl w:val="0"/>
        <w:kinsoku/>
        <w:wordWrap/>
        <w:overflowPunct/>
        <w:topLinePunct w:val="0"/>
        <w:autoSpaceDE/>
        <w:autoSpaceDN/>
        <w:bidi w:val="0"/>
        <w:adjustRightInd/>
        <w:spacing w:line="360" w:lineRule="auto"/>
        <w:ind w:firstLine="420" w:firstLineChars="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1.5.2服务单位应确保厂内减量处理过程产生的臭气、噪声不引起投诉。如出现相关投诉或被行政主管部门通知整改时，由服务单位负责制定整改方案并限期完成整改工作，产生的相关费用由服务单位自行承担。</w:t>
      </w:r>
    </w:p>
    <w:p w14:paraId="01246AD2">
      <w:pPr>
        <w:keepNext w:val="0"/>
        <w:keepLines w:val="0"/>
        <w:pageBreakBefore w:val="0"/>
        <w:widowControl w:val="0"/>
        <w:kinsoku/>
        <w:wordWrap/>
        <w:overflowPunct/>
        <w:topLinePunct w:val="0"/>
        <w:autoSpaceDE/>
        <w:autoSpaceDN/>
        <w:bidi w:val="0"/>
        <w:adjustRightInd/>
        <w:spacing w:line="360" w:lineRule="auto"/>
        <w:ind w:firstLine="420" w:firstLineChars="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1.5.3在国家、广东省以及东莞市的相关环保标准调整时，项目执行的排放标准相应进行调整。</w:t>
      </w:r>
    </w:p>
    <w:p w14:paraId="0163D52F">
      <w:pPr>
        <w:keepNext w:val="0"/>
        <w:keepLines w:val="0"/>
        <w:pageBreakBefore w:val="0"/>
        <w:widowControl w:val="0"/>
        <w:kinsoku/>
        <w:wordWrap/>
        <w:overflowPunct/>
        <w:topLinePunct w:val="0"/>
        <w:autoSpaceDE/>
        <w:autoSpaceDN/>
        <w:bidi w:val="0"/>
        <w:adjustRightInd/>
        <w:spacing w:line="360" w:lineRule="auto"/>
        <w:ind w:firstLine="420" w:firstLineChars="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1.6服务单位需按照东莞市生态环境局相关要求配合做好污泥处理处置手续工作。</w:t>
      </w:r>
    </w:p>
    <w:p w14:paraId="45B0138D">
      <w:pPr>
        <w:keepNext w:val="0"/>
        <w:keepLines w:val="0"/>
        <w:pageBreakBefore w:val="0"/>
        <w:widowControl w:val="0"/>
        <w:kinsoku/>
        <w:wordWrap/>
        <w:overflowPunct/>
        <w:topLinePunct w:val="0"/>
        <w:autoSpaceDE/>
        <w:autoSpaceDN/>
        <w:bidi w:val="0"/>
        <w:adjustRightInd/>
        <w:spacing w:line="360" w:lineRule="auto"/>
        <w:ind w:left="424" w:firstLine="2" w:firstLineChars="0"/>
        <w:jc w:val="both"/>
        <w:textAlignment w:val="auto"/>
        <w:outlineLvl w:val="9"/>
        <w:rPr>
          <w:rFonts w:hint="eastAsia" w:ascii="宋体" w:hAnsi="宋体" w:eastAsia="宋体" w:cs="宋体"/>
          <w:b/>
          <w:color w:val="auto"/>
          <w:kern w:val="2"/>
          <w:sz w:val="21"/>
          <w:szCs w:val="21"/>
          <w:highlight w:val="none"/>
          <w:lang w:val="en-US" w:eastAsia="zh-CN" w:bidi="ar-SA"/>
        </w:rPr>
      </w:pPr>
      <w:bookmarkStart w:id="703" w:name="_Toc7827"/>
      <w:bookmarkStart w:id="704" w:name="_Toc27513"/>
      <w:r>
        <w:rPr>
          <w:rFonts w:hint="eastAsia" w:ascii="宋体" w:hAnsi="宋体" w:eastAsia="宋体" w:cs="宋体"/>
          <w:b/>
          <w:color w:val="auto"/>
          <w:kern w:val="2"/>
          <w:sz w:val="21"/>
          <w:szCs w:val="21"/>
          <w:highlight w:val="none"/>
          <w:lang w:val="en-US" w:eastAsia="zh-CN" w:bidi="ar-SA"/>
        </w:rPr>
        <w:t>2、服务要求</w:t>
      </w:r>
      <w:bookmarkEnd w:id="703"/>
      <w:bookmarkEnd w:id="704"/>
    </w:p>
    <w:p w14:paraId="2AFF2D31">
      <w:pPr>
        <w:keepNext w:val="0"/>
        <w:keepLines w:val="0"/>
        <w:pageBreakBefore w:val="0"/>
        <w:widowControl w:val="0"/>
        <w:kinsoku/>
        <w:wordWrap/>
        <w:overflowPunct/>
        <w:topLinePunct w:val="0"/>
        <w:autoSpaceDE/>
        <w:autoSpaceDN/>
        <w:bidi w:val="0"/>
        <w:adjustRightInd/>
        <w:spacing w:line="360" w:lineRule="auto"/>
        <w:ind w:firstLine="420" w:firstLineChars="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2.1服务单位负责污泥脱水减量化服务所涉及的全部设备设施的管理、维护及维修工作，并承担相应的费用。招标人负责将污泥输送至污泥浓缩池，浓缩池及后端设备设施的运维由服务单位统一负责。</w:t>
      </w:r>
    </w:p>
    <w:p w14:paraId="79BA6438">
      <w:pPr>
        <w:keepNext w:val="0"/>
        <w:keepLines w:val="0"/>
        <w:pageBreakBefore w:val="0"/>
        <w:widowControl w:val="0"/>
        <w:kinsoku/>
        <w:wordWrap/>
        <w:overflowPunct/>
        <w:topLinePunct w:val="0"/>
        <w:autoSpaceDE/>
        <w:autoSpaceDN/>
        <w:bidi w:val="0"/>
        <w:adjustRightInd/>
        <w:spacing w:line="360" w:lineRule="auto"/>
        <w:ind w:firstLine="420" w:firstLineChars="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2.2服务期间如涉及“三通一平”及所需的相关主管部门审批手续均由服务单位自主负责，若涉及总配电系统、供水管网、供气管网等设施设备改造或加装，所有费用亦由服务单位承担，招标人予以配合。</w:t>
      </w:r>
    </w:p>
    <w:p w14:paraId="3A1F6850">
      <w:pPr>
        <w:keepNext w:val="0"/>
        <w:keepLines w:val="0"/>
        <w:pageBreakBefore w:val="0"/>
        <w:widowControl w:val="0"/>
        <w:kinsoku/>
        <w:wordWrap/>
        <w:overflowPunct/>
        <w:topLinePunct w:val="0"/>
        <w:autoSpaceDE/>
        <w:autoSpaceDN/>
        <w:bidi w:val="0"/>
        <w:adjustRightInd/>
        <w:spacing w:line="360" w:lineRule="auto"/>
        <w:ind w:firstLine="420" w:firstLineChars="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2.3如服务单位对水质净化厂原有道路、绿化等造成损坏，需在招标人限期内恢复原状并承担一切费用。</w:t>
      </w:r>
    </w:p>
    <w:p w14:paraId="3D099354">
      <w:pPr>
        <w:keepNext w:val="0"/>
        <w:keepLines w:val="0"/>
        <w:pageBreakBefore w:val="0"/>
        <w:widowControl w:val="0"/>
        <w:kinsoku/>
        <w:wordWrap/>
        <w:overflowPunct/>
        <w:topLinePunct w:val="0"/>
        <w:autoSpaceDE/>
        <w:autoSpaceDN/>
        <w:bidi w:val="0"/>
        <w:adjustRightInd/>
        <w:spacing w:line="360" w:lineRule="auto"/>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2.4服务单位本项目服务团队应设置项目负责人、技术人员、运维人员等并细化各岗位职责。</w:t>
      </w:r>
    </w:p>
    <w:p w14:paraId="5DF5EF7F">
      <w:pPr>
        <w:keepNext w:val="0"/>
        <w:keepLines w:val="0"/>
        <w:pageBreakBefore w:val="0"/>
        <w:widowControl w:val="0"/>
        <w:kinsoku/>
        <w:wordWrap/>
        <w:overflowPunct/>
        <w:topLinePunct w:val="0"/>
        <w:autoSpaceDE/>
        <w:autoSpaceDN/>
        <w:bidi w:val="0"/>
        <w:adjustRightInd/>
        <w:spacing w:line="360" w:lineRule="auto"/>
        <w:ind w:firstLine="422" w:firstLineChars="201"/>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2.5服务单位在水质净化厂内的一切活动均须服从招标人的管理要求，服务单位的所有工作人员须遵守招标人的安全生产管理制度，未经招标人同意，不能进入与运营无关的区域，不得影响招标人的办公、生产、生活等。服务单位管理人员、车辆、机械等进出水质净化厂须服从招标人的管理规定，并佩戴服务单位的工作牌，对不服从管理的人员，招标人有权拒绝其进入。</w:t>
      </w:r>
    </w:p>
    <w:p w14:paraId="73FA19D9">
      <w:pPr>
        <w:keepNext w:val="0"/>
        <w:keepLines w:val="0"/>
        <w:pageBreakBefore w:val="0"/>
        <w:widowControl w:val="0"/>
        <w:kinsoku/>
        <w:wordWrap/>
        <w:overflowPunct/>
        <w:topLinePunct w:val="0"/>
        <w:autoSpaceDE/>
        <w:autoSpaceDN/>
        <w:bidi w:val="0"/>
        <w:adjustRightInd/>
        <w:spacing w:line="360" w:lineRule="auto"/>
        <w:ind w:firstLine="422" w:firstLineChars="201"/>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2.6服务单位需协助招标人做好各级政府主管部门的参观检查工作，同时招标人及其上级主管部门有权随时检查服务单位的贮存和处理情况，有权对各种泥样、水样进行取样检测、分析。</w:t>
      </w:r>
    </w:p>
    <w:p w14:paraId="4EC42699">
      <w:pPr>
        <w:keepNext w:val="0"/>
        <w:keepLines w:val="0"/>
        <w:pageBreakBefore w:val="0"/>
        <w:widowControl w:val="0"/>
        <w:kinsoku/>
        <w:wordWrap/>
        <w:overflowPunct/>
        <w:topLinePunct w:val="0"/>
        <w:autoSpaceDE/>
        <w:autoSpaceDN/>
        <w:bidi w:val="0"/>
        <w:adjustRightInd/>
        <w:spacing w:line="360" w:lineRule="auto"/>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2.7服务单位应规范作业人员、完善监管作业体系、健全管理制度，为招标人进行污泥处理处置全过程监管提供便利和协助，对污泥处理处置情况进行登记，建立《污泥台账》(具体格式由服务单位自定)，《污泥台账》内容应包括但不限于：药剂使用量、设备维护维修情况、污泥含水率、污泥转移重量、交接时间、处置方法、处置情况、最终去向以及经办人签名等信息。为便利招标人监管，服务单位需及时向招标人提交项目《污泥台账》并持续更新内容建立台账信息，相关资料保存时间为至少5年。</w:t>
      </w:r>
    </w:p>
    <w:p w14:paraId="515872F6">
      <w:pPr>
        <w:keepNext w:val="0"/>
        <w:keepLines w:val="0"/>
        <w:pageBreakBefore w:val="0"/>
        <w:widowControl w:val="0"/>
        <w:kinsoku/>
        <w:wordWrap/>
        <w:overflowPunct/>
        <w:topLinePunct w:val="0"/>
        <w:autoSpaceDE/>
        <w:autoSpaceDN/>
        <w:bidi w:val="0"/>
        <w:adjustRightInd/>
        <w:spacing w:line="360" w:lineRule="auto"/>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2.8服务单位应按招标人的要求连续不间断的接收处理处置污泥。如果需对污泥处理设备设施进行维护保养等可预见性的停产，服务单位应提前3个工作日书面向招标人申请并经招标人同意后方可停产。如果发生任何计划外停产时，服务单位应立即通知招标人，并即时采取有效的补救措施，确保停产期间污泥能够得到妥善处理处置，且需在停产后的3日内向招标人提交书面的情况说明。</w:t>
      </w:r>
    </w:p>
    <w:p w14:paraId="64A1ED46">
      <w:pPr>
        <w:keepNext w:val="0"/>
        <w:keepLines w:val="0"/>
        <w:pageBreakBefore w:val="0"/>
        <w:widowControl w:val="0"/>
        <w:kinsoku/>
        <w:wordWrap/>
        <w:overflowPunct/>
        <w:topLinePunct w:val="0"/>
        <w:autoSpaceDE/>
        <w:autoSpaceDN/>
        <w:bidi w:val="0"/>
        <w:adjustRightInd/>
        <w:spacing w:line="360" w:lineRule="auto"/>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2.9服务单位必须采取有效的措施对污泥运输过程进行监督，防止造成二次污染。在污泥运输过程中不得进行中间装卸操作，严禁将污泥在集中减量化处理场所、处置场所以外进行中转存放或堆放（紧急情况下经招标人书面同意的临时应急暂存除外），严禁将未经处置的污泥违规偷倒、丢弃、填埋。</w:t>
      </w:r>
    </w:p>
    <w:p w14:paraId="4E96F72D">
      <w:pPr>
        <w:keepNext w:val="0"/>
        <w:keepLines w:val="0"/>
        <w:pageBreakBefore w:val="0"/>
        <w:widowControl w:val="0"/>
        <w:kinsoku/>
        <w:wordWrap/>
        <w:overflowPunct/>
        <w:topLinePunct w:val="0"/>
        <w:autoSpaceDE/>
        <w:autoSpaceDN/>
        <w:bidi w:val="0"/>
        <w:adjustRightInd/>
        <w:spacing w:line="360" w:lineRule="auto"/>
        <w:ind w:firstLine="422" w:firstLineChars="201"/>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2.10服务单位应严格执行《中华人民共和国安全生产法》、《企业安全生产标准化基本规范》（GB/T 33000-2016）等国家和地方有关安全生产和劳动保护的规范和标准，并遵守招标人的安全生产管理制度以及《安全生产管理协议》，建立完善的安全生产和劳动保护体系，制定与污泥安全处理处置有关的规章制度、污泥安全监督管理实施方案和突发事故等安全生产应急预防方案，并向招标人报备，发生污泥流失、泄漏等事故时，服务单位应当立即采取紧急处理措施，并及时向招标人和相关行政主管部门报告。服务单位须在合同履行期间保证安全与卫生设施随项目主体同时投入使用，并制定相应的操作规程。</w:t>
      </w:r>
    </w:p>
    <w:p w14:paraId="573C3440">
      <w:pPr>
        <w:keepNext w:val="0"/>
        <w:keepLines w:val="0"/>
        <w:pageBreakBefore w:val="0"/>
        <w:widowControl w:val="0"/>
        <w:kinsoku/>
        <w:wordWrap/>
        <w:overflowPunct/>
        <w:topLinePunct w:val="0"/>
        <w:autoSpaceDE/>
        <w:autoSpaceDN/>
        <w:bidi w:val="0"/>
        <w:adjustRightInd/>
        <w:spacing w:line="360" w:lineRule="auto"/>
        <w:ind w:firstLine="422" w:firstLineChars="201"/>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2.11如因服务单位安全生产设备、措施、操作规程、环保设备设施、劳动保护条件等不符合规范要求或标准，导致安全生产事故/造成人身损害或财产损失的，由服务单位自行承担全部责任和后果，如因此给招标人造成损失的，服务单位承担全部赔偿责任。</w:t>
      </w:r>
    </w:p>
    <w:p w14:paraId="01A53FA1">
      <w:pPr>
        <w:keepNext w:val="0"/>
        <w:keepLines w:val="0"/>
        <w:pageBreakBefore w:val="0"/>
        <w:widowControl w:val="0"/>
        <w:kinsoku/>
        <w:wordWrap/>
        <w:overflowPunct/>
        <w:topLinePunct w:val="0"/>
        <w:autoSpaceDE/>
        <w:autoSpaceDN/>
        <w:bidi w:val="0"/>
        <w:adjustRightInd/>
        <w:spacing w:line="360" w:lineRule="auto"/>
        <w:ind w:firstLine="422" w:firstLineChars="201"/>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2.12服务期内，服务单位应对本项目所含各项设施设备进行日常养护、维修、更新改造或重置，以满足项目运营目标之需要，并承担相应费用。</w:t>
      </w:r>
    </w:p>
    <w:p w14:paraId="4C86FC17">
      <w:pPr>
        <w:keepNext w:val="0"/>
        <w:keepLines w:val="0"/>
        <w:pageBreakBefore w:val="0"/>
        <w:widowControl w:val="0"/>
        <w:kinsoku/>
        <w:wordWrap/>
        <w:overflowPunct/>
        <w:topLinePunct w:val="0"/>
        <w:autoSpaceDE/>
        <w:autoSpaceDN/>
        <w:bidi w:val="0"/>
        <w:adjustRightInd/>
        <w:snapToGrid w:val="0"/>
        <w:spacing w:line="360" w:lineRule="auto"/>
        <w:ind w:firstLine="424" w:firstLineChars="201"/>
        <w:jc w:val="both"/>
        <w:textAlignment w:val="auto"/>
        <w:outlineLvl w:val="9"/>
        <w:rPr>
          <w:rFonts w:hint="eastAsia" w:ascii="宋体" w:hAnsi="宋体" w:eastAsia="宋体" w:cs="宋体"/>
          <w:b/>
          <w:color w:val="auto"/>
          <w:kern w:val="2"/>
          <w:sz w:val="21"/>
          <w:szCs w:val="21"/>
          <w:highlight w:val="none"/>
          <w:lang w:val="zh-CN" w:eastAsia="zh-CN" w:bidi="ar-SA"/>
        </w:rPr>
      </w:pPr>
      <w:bookmarkStart w:id="705" w:name="_Toc25991"/>
      <w:bookmarkStart w:id="706" w:name="_Toc24032"/>
      <w:r>
        <w:rPr>
          <w:rFonts w:hint="eastAsia" w:ascii="宋体" w:hAnsi="宋体" w:eastAsia="宋体" w:cs="宋体"/>
          <w:b/>
          <w:color w:val="auto"/>
          <w:kern w:val="2"/>
          <w:sz w:val="21"/>
          <w:szCs w:val="21"/>
          <w:highlight w:val="none"/>
          <w:lang w:val="zh-CN" w:eastAsia="zh-CN" w:bidi="ar-SA"/>
        </w:rPr>
        <w:t>八、付费机制</w:t>
      </w:r>
      <w:bookmarkEnd w:id="705"/>
      <w:bookmarkEnd w:id="706"/>
    </w:p>
    <w:p w14:paraId="6D16D8CF">
      <w:pPr>
        <w:keepNext w:val="0"/>
        <w:keepLines w:val="0"/>
        <w:pageBreakBefore w:val="0"/>
        <w:widowControl w:val="0"/>
        <w:kinsoku/>
        <w:wordWrap/>
        <w:overflowPunct/>
        <w:topLinePunct w:val="0"/>
        <w:autoSpaceDE/>
        <w:autoSpaceDN/>
        <w:bidi w:val="0"/>
        <w:adjustRightInd/>
        <w:snapToGrid w:val="0"/>
        <w:spacing w:line="360" w:lineRule="auto"/>
        <w:ind w:firstLine="422" w:firstLineChars="201"/>
        <w:jc w:val="both"/>
        <w:textAlignment w:val="auto"/>
        <w:outlineLvl w:val="9"/>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1、合同的履约过程中，服务单位根据合同约定需向招标人支付违约金、赔偿金、或其他应付费用等款项的，服务单位必须向招标人支付完相关款项后，招标人才根据合同向服务单位支付服务费。若因服务单位未能支付前述费用，影响项目实施的，招标人有权直接从履约担保或未付服务费中直接扣除，且服务单位必须按照扣除前述费用前的污泥处理处置费（销售额）开具等额、合法、有效的增值税专用发票。</w:t>
      </w:r>
    </w:p>
    <w:p w14:paraId="665A99C7">
      <w:pPr>
        <w:keepNext w:val="0"/>
        <w:keepLines w:val="0"/>
        <w:pageBreakBefore w:val="0"/>
        <w:widowControl w:val="0"/>
        <w:kinsoku/>
        <w:wordWrap/>
        <w:overflowPunct/>
        <w:topLinePunct w:val="0"/>
        <w:autoSpaceDE/>
        <w:autoSpaceDN/>
        <w:bidi w:val="0"/>
        <w:adjustRightInd/>
        <w:snapToGrid w:val="0"/>
        <w:spacing w:line="360" w:lineRule="auto"/>
        <w:ind w:firstLine="422" w:firstLineChars="201"/>
        <w:jc w:val="both"/>
        <w:textAlignment w:val="auto"/>
        <w:outlineLvl w:val="9"/>
        <w:rPr>
          <w:rFonts w:hint="eastAsia" w:ascii="宋体" w:hAnsi="宋体" w:eastAsia="宋体" w:cs="宋体"/>
          <w:color w:val="auto"/>
          <w:kern w:val="2"/>
          <w:sz w:val="21"/>
          <w:szCs w:val="21"/>
          <w:highlight w:val="none"/>
          <w:lang w:val="zh-CN" w:eastAsia="zh-CN" w:bidi="ar-SA"/>
        </w:rPr>
      </w:pPr>
      <w:bookmarkStart w:id="707" w:name="_Toc17742"/>
      <w:bookmarkStart w:id="708" w:name="_Toc5215"/>
      <w:r>
        <w:rPr>
          <w:rFonts w:hint="eastAsia" w:ascii="宋体" w:hAnsi="宋体" w:eastAsia="宋体" w:cs="宋体"/>
          <w:color w:val="auto"/>
          <w:kern w:val="2"/>
          <w:sz w:val="21"/>
          <w:szCs w:val="21"/>
          <w:highlight w:val="none"/>
          <w:lang w:val="zh-CN" w:eastAsia="zh-CN" w:bidi="ar-SA"/>
        </w:rPr>
        <w:t>2、支付方式：</w:t>
      </w:r>
      <w:bookmarkEnd w:id="707"/>
      <w:bookmarkEnd w:id="708"/>
    </w:p>
    <w:p w14:paraId="210B9584">
      <w:pPr>
        <w:keepNext w:val="0"/>
        <w:keepLines w:val="0"/>
        <w:pageBreakBefore w:val="0"/>
        <w:widowControl w:val="0"/>
        <w:kinsoku/>
        <w:wordWrap/>
        <w:overflowPunct/>
        <w:topLinePunct w:val="0"/>
        <w:autoSpaceDE/>
        <w:autoSpaceDN/>
        <w:bidi w:val="0"/>
        <w:adjustRightInd/>
        <w:snapToGrid w:val="0"/>
        <w:spacing w:line="360" w:lineRule="auto"/>
        <w:ind w:firstLine="422" w:firstLineChars="201"/>
        <w:jc w:val="both"/>
        <w:textAlignment w:val="auto"/>
        <w:outlineLvl w:val="9"/>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en-US" w:eastAsia="zh-CN" w:bidi="ar-SA"/>
        </w:rPr>
        <w:t>2.1</w:t>
      </w:r>
      <w:r>
        <w:rPr>
          <w:rFonts w:hint="eastAsia" w:ascii="宋体" w:hAnsi="宋体" w:eastAsia="宋体" w:cs="宋体"/>
          <w:color w:val="auto"/>
          <w:kern w:val="2"/>
          <w:sz w:val="21"/>
          <w:szCs w:val="21"/>
          <w:highlight w:val="none"/>
          <w:lang w:val="zh-CN" w:eastAsia="zh-CN" w:bidi="ar-SA"/>
        </w:rPr>
        <w:t>招标人通过</w:t>
      </w:r>
      <w:r>
        <w:rPr>
          <w:rFonts w:hint="eastAsia" w:ascii="宋体" w:hAnsi="宋体" w:eastAsia="宋体" w:cs="宋体"/>
          <w:color w:val="auto"/>
          <w:szCs w:val="21"/>
          <w:highlight w:val="none"/>
          <w:lang w:val="zh-CN"/>
        </w:rPr>
        <w:t>银行转账或</w:t>
      </w:r>
      <w:r>
        <w:rPr>
          <w:rFonts w:hint="eastAsia" w:ascii="宋体" w:hAnsi="宋体" w:eastAsia="宋体" w:cs="宋体"/>
          <w:color w:val="auto"/>
          <w:kern w:val="2"/>
          <w:sz w:val="21"/>
          <w:szCs w:val="21"/>
          <w:highlight w:val="none"/>
          <w:lang w:val="zh-CN" w:eastAsia="zh-CN" w:bidi="ar-SA"/>
        </w:rPr>
        <w:t>银行承兑汇票方式向服务单位支付污泥处理处置费。服务单位应每月15日前，向招标人提交以下文件及单据等有效的请款凭证（所有资料需加盖服务单位公章），申请支付上月污泥处理处置费，招标人收到请款凭证后在45个工作日内完成核实工作，核实后向</w:t>
      </w:r>
      <w:r>
        <w:rPr>
          <w:rFonts w:hint="eastAsia" w:ascii="宋体" w:hAnsi="宋体" w:eastAsia="宋体" w:cs="宋体"/>
          <w:color w:val="auto"/>
          <w:kern w:val="2"/>
          <w:sz w:val="21"/>
          <w:szCs w:val="21"/>
          <w:highlight w:val="none"/>
          <w:lang w:val="en-US" w:eastAsia="zh-CN" w:bidi="ar-SA"/>
        </w:rPr>
        <w:t>服务单位</w:t>
      </w:r>
      <w:r>
        <w:rPr>
          <w:rFonts w:hint="eastAsia" w:ascii="宋体" w:hAnsi="宋体" w:eastAsia="宋体" w:cs="宋体"/>
          <w:color w:val="auto"/>
          <w:kern w:val="2"/>
          <w:sz w:val="21"/>
          <w:szCs w:val="21"/>
          <w:highlight w:val="none"/>
          <w:lang w:val="zh-CN" w:eastAsia="zh-CN" w:bidi="ar-SA"/>
        </w:rPr>
        <w:t>支付请款金额的50%，采用银行承兑汇票的方式支付，付款期限不超过3个月。请款资料包括但不限于：</w:t>
      </w:r>
    </w:p>
    <w:p w14:paraId="3CABC6CF">
      <w:pPr>
        <w:keepNext w:val="0"/>
        <w:keepLines w:val="0"/>
        <w:pageBreakBefore w:val="0"/>
        <w:widowControl w:val="0"/>
        <w:kinsoku/>
        <w:wordWrap/>
        <w:overflowPunct/>
        <w:topLinePunct w:val="0"/>
        <w:autoSpaceDE/>
        <w:autoSpaceDN/>
        <w:bidi w:val="0"/>
        <w:adjustRightInd/>
        <w:snapToGrid w:val="0"/>
        <w:spacing w:line="360" w:lineRule="auto"/>
        <w:ind w:firstLine="422" w:firstLineChars="201"/>
        <w:jc w:val="both"/>
        <w:textAlignment w:val="auto"/>
        <w:outlineLvl w:val="9"/>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A.请款报告；</w:t>
      </w:r>
    </w:p>
    <w:p w14:paraId="514DCA49">
      <w:pPr>
        <w:keepNext w:val="0"/>
        <w:keepLines w:val="0"/>
        <w:pageBreakBefore w:val="0"/>
        <w:widowControl w:val="0"/>
        <w:kinsoku/>
        <w:wordWrap/>
        <w:overflowPunct/>
        <w:topLinePunct w:val="0"/>
        <w:autoSpaceDE/>
        <w:autoSpaceDN/>
        <w:bidi w:val="0"/>
        <w:adjustRightInd/>
        <w:snapToGrid w:val="0"/>
        <w:spacing w:line="360" w:lineRule="auto"/>
        <w:ind w:firstLine="422" w:firstLineChars="201"/>
        <w:jc w:val="both"/>
        <w:textAlignment w:val="auto"/>
        <w:outlineLvl w:val="9"/>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B.请款月份污泥处理处置费100%的</w:t>
      </w:r>
      <w:r>
        <w:rPr>
          <w:rFonts w:hint="eastAsia" w:ascii="宋体" w:hAnsi="宋体" w:eastAsia="宋体" w:cs="宋体"/>
          <w:color w:val="auto"/>
          <w:kern w:val="2"/>
          <w:sz w:val="21"/>
          <w:szCs w:val="21"/>
          <w:highlight w:val="none"/>
          <w:lang w:val="en-US" w:eastAsia="zh-CN" w:bidi="ar-SA"/>
        </w:rPr>
        <w:t>等</w:t>
      </w:r>
      <w:r>
        <w:rPr>
          <w:rFonts w:hint="eastAsia" w:ascii="宋体" w:hAnsi="宋体" w:eastAsia="宋体" w:cs="宋体"/>
          <w:color w:val="auto"/>
          <w:kern w:val="2"/>
          <w:sz w:val="21"/>
          <w:szCs w:val="21"/>
          <w:highlight w:val="none"/>
          <w:lang w:val="zh-CN" w:eastAsia="zh-CN" w:bidi="ar-SA"/>
        </w:rPr>
        <w:t>额、合法、有效的增值税专用发票；</w:t>
      </w:r>
    </w:p>
    <w:p w14:paraId="694BDB5A">
      <w:pPr>
        <w:keepNext w:val="0"/>
        <w:keepLines w:val="0"/>
        <w:pageBreakBefore w:val="0"/>
        <w:widowControl w:val="0"/>
        <w:kinsoku/>
        <w:wordWrap/>
        <w:overflowPunct/>
        <w:topLinePunct w:val="0"/>
        <w:autoSpaceDE/>
        <w:autoSpaceDN/>
        <w:bidi w:val="0"/>
        <w:adjustRightInd/>
        <w:snapToGrid w:val="0"/>
        <w:spacing w:line="360" w:lineRule="auto"/>
        <w:ind w:firstLine="422" w:firstLineChars="201"/>
        <w:jc w:val="both"/>
        <w:textAlignment w:val="auto"/>
        <w:outlineLvl w:val="9"/>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C.</w:t>
      </w:r>
      <w:r>
        <w:rPr>
          <w:rFonts w:ascii="宋体" w:hAnsi="宋体" w:eastAsia="宋体" w:cs="宋体"/>
          <w:color w:val="auto"/>
          <w:szCs w:val="21"/>
          <w:highlight w:val="none"/>
        </w:rPr>
        <w:t>污泥数据汇总表（含污泥处理处置量、含水率等信息）、</w:t>
      </w:r>
      <w:r>
        <w:rPr>
          <w:rFonts w:hint="eastAsia" w:ascii="宋体" w:hAnsi="宋体" w:eastAsia="宋体" w:cs="宋体"/>
          <w:color w:val="auto"/>
          <w:kern w:val="2"/>
          <w:sz w:val="21"/>
          <w:szCs w:val="21"/>
          <w:highlight w:val="none"/>
          <w:lang w:val="en-US" w:eastAsia="zh-CN" w:bidi="ar-SA"/>
        </w:rPr>
        <w:t>地磅称重单、有效签章的污泥转移联单</w:t>
      </w:r>
      <w:r>
        <w:rPr>
          <w:rFonts w:hint="eastAsia" w:ascii="宋体" w:hAnsi="宋体" w:eastAsia="宋体" w:cs="宋体"/>
          <w:color w:val="auto"/>
          <w:kern w:val="2"/>
          <w:sz w:val="21"/>
          <w:szCs w:val="21"/>
          <w:highlight w:val="none"/>
          <w:lang w:val="zh-CN" w:eastAsia="zh-CN" w:bidi="ar-SA"/>
        </w:rPr>
        <w:t>等。</w:t>
      </w:r>
    </w:p>
    <w:p w14:paraId="1D2D5258">
      <w:pPr>
        <w:keepNext w:val="0"/>
        <w:keepLines w:val="0"/>
        <w:pageBreakBefore w:val="0"/>
        <w:widowControl w:val="0"/>
        <w:kinsoku/>
        <w:wordWrap/>
        <w:overflowPunct/>
        <w:topLinePunct w:val="0"/>
        <w:autoSpaceDE/>
        <w:autoSpaceDN/>
        <w:bidi w:val="0"/>
        <w:adjustRightInd/>
        <w:snapToGrid w:val="0"/>
        <w:spacing w:line="360" w:lineRule="auto"/>
        <w:ind w:firstLine="422" w:firstLineChars="201"/>
        <w:jc w:val="both"/>
        <w:textAlignment w:val="auto"/>
        <w:outlineLvl w:val="9"/>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en-US" w:eastAsia="zh-CN" w:bidi="ar-SA"/>
        </w:rPr>
        <w:t>2.2</w:t>
      </w:r>
      <w:r>
        <w:rPr>
          <w:rFonts w:hint="eastAsia" w:ascii="宋体" w:hAnsi="宋体" w:eastAsia="宋体" w:cs="宋体"/>
          <w:color w:val="auto"/>
          <w:kern w:val="2"/>
          <w:sz w:val="21"/>
          <w:szCs w:val="21"/>
          <w:highlight w:val="none"/>
          <w:lang w:val="zh-CN" w:eastAsia="zh-CN" w:bidi="ar-SA"/>
        </w:rPr>
        <w:t>在前述第</w:t>
      </w:r>
      <w:r>
        <w:rPr>
          <w:rFonts w:hint="eastAsia" w:ascii="宋体" w:hAnsi="宋体" w:eastAsia="宋体" w:cs="宋体"/>
          <w:color w:val="auto"/>
          <w:kern w:val="2"/>
          <w:sz w:val="21"/>
          <w:szCs w:val="21"/>
          <w:highlight w:val="none"/>
          <w:lang w:val="en-US" w:eastAsia="zh-CN" w:bidi="ar-SA"/>
        </w:rPr>
        <w:t>2.1</w:t>
      </w:r>
      <w:r>
        <w:rPr>
          <w:rFonts w:hint="eastAsia" w:ascii="宋体" w:hAnsi="宋体" w:eastAsia="宋体" w:cs="宋体"/>
          <w:color w:val="auto"/>
          <w:kern w:val="2"/>
          <w:sz w:val="21"/>
          <w:szCs w:val="21"/>
          <w:highlight w:val="none"/>
          <w:lang w:val="zh-CN" w:eastAsia="zh-CN" w:bidi="ar-SA"/>
        </w:rPr>
        <w:t>项款项支付后三个月内，且招标人扣除服务单位根据合同约定需向招标人支付的违约金、赔偿金或其他应付费用等款项后，通过银行转账或</w:t>
      </w:r>
      <w:r>
        <w:rPr>
          <w:rFonts w:hint="eastAsia" w:ascii="宋体" w:hAnsi="宋体" w:eastAsia="宋体" w:cs="宋体"/>
          <w:color w:val="auto"/>
          <w:szCs w:val="21"/>
          <w:highlight w:val="none"/>
          <w:lang w:val="zh-CN"/>
        </w:rPr>
        <w:t>银行承兑汇票</w:t>
      </w:r>
      <w:r>
        <w:rPr>
          <w:rFonts w:hint="eastAsia" w:ascii="宋体" w:hAnsi="宋体" w:eastAsia="宋体" w:cs="宋体"/>
          <w:color w:val="auto"/>
          <w:kern w:val="2"/>
          <w:sz w:val="21"/>
          <w:szCs w:val="21"/>
          <w:highlight w:val="none"/>
          <w:lang w:val="zh-CN" w:eastAsia="zh-CN" w:bidi="ar-SA"/>
        </w:rPr>
        <w:t>方式向服务单位支付剩余款项</w:t>
      </w:r>
      <w:r>
        <w:rPr>
          <w:rFonts w:hint="eastAsia" w:ascii="宋体" w:hAnsi="宋体" w:eastAsia="宋体" w:cs="宋体"/>
          <w:color w:val="auto"/>
          <w:szCs w:val="21"/>
          <w:highlight w:val="none"/>
          <w:lang w:val="zh-CN"/>
        </w:rPr>
        <w:t>，每期款项支付方式由招标人自主决定</w:t>
      </w:r>
      <w:r>
        <w:rPr>
          <w:rFonts w:hint="eastAsia" w:ascii="宋体" w:hAnsi="宋体" w:eastAsia="宋体" w:cs="宋体"/>
          <w:color w:val="auto"/>
          <w:kern w:val="2"/>
          <w:sz w:val="21"/>
          <w:szCs w:val="21"/>
          <w:highlight w:val="none"/>
          <w:lang w:val="zh-CN" w:eastAsia="zh-CN" w:bidi="ar-SA"/>
        </w:rPr>
        <w:t>。</w:t>
      </w:r>
    </w:p>
    <w:p w14:paraId="12B6C8AB">
      <w:pPr>
        <w:keepNext w:val="0"/>
        <w:keepLines w:val="0"/>
        <w:pageBreakBefore w:val="0"/>
        <w:kinsoku/>
        <w:wordWrap/>
        <w:overflowPunct/>
        <w:topLinePunct w:val="0"/>
        <w:autoSpaceDE/>
        <w:autoSpaceDN/>
        <w:bidi w:val="0"/>
        <w:adjustRightInd/>
        <w:snapToGrid w:val="0"/>
        <w:spacing w:line="360" w:lineRule="auto"/>
        <w:ind w:firstLine="424" w:firstLineChars="202"/>
        <w:jc w:val="both"/>
        <w:textAlignment w:val="auto"/>
        <w:outlineLvl w:val="9"/>
        <w:rPr>
          <w:rFonts w:hint="eastAsia" w:ascii="宋体" w:hAnsi="宋体" w:eastAsia="宋体" w:cs="宋体"/>
          <w:color w:val="auto"/>
          <w:kern w:val="2"/>
          <w:sz w:val="21"/>
          <w:szCs w:val="21"/>
          <w:highlight w:val="none"/>
        </w:rPr>
      </w:pPr>
    </w:p>
    <w:p w14:paraId="5FF55313">
      <w:pPr>
        <w:keepNext w:val="0"/>
        <w:keepLines w:val="0"/>
        <w:pageBreakBefore w:val="0"/>
        <w:tabs>
          <w:tab w:val="left" w:pos="142"/>
        </w:tabs>
        <w:kinsoku/>
        <w:wordWrap/>
        <w:overflowPunct/>
        <w:topLinePunct w:val="0"/>
        <w:autoSpaceDE/>
        <w:autoSpaceDN/>
        <w:bidi w:val="0"/>
        <w:adjustRightInd/>
        <w:snapToGrid w:val="0"/>
        <w:spacing w:line="360" w:lineRule="auto"/>
        <w:ind w:firstLine="422" w:firstLineChars="200"/>
        <w:jc w:val="both"/>
        <w:textAlignment w:val="auto"/>
        <w:outlineLvl w:val="9"/>
        <w:rPr>
          <w:rFonts w:hint="eastAsia" w:ascii="宋体" w:hAnsi="宋体" w:eastAsia="宋体" w:cs="宋体"/>
          <w:b/>
          <w:bCs/>
          <w:color w:val="auto"/>
          <w:kern w:val="2"/>
          <w:sz w:val="21"/>
          <w:szCs w:val="21"/>
          <w:highlight w:val="none"/>
          <w:lang w:val="zh-CN"/>
        </w:rPr>
      </w:pPr>
      <w:bookmarkStart w:id="709" w:name="_Toc9214"/>
      <w:bookmarkStart w:id="710" w:name="_Toc5744"/>
      <w:r>
        <w:rPr>
          <w:rFonts w:hint="eastAsia" w:ascii="宋体" w:hAnsi="宋体" w:eastAsia="宋体" w:cs="宋体"/>
          <w:b/>
          <w:bCs/>
          <w:color w:val="auto"/>
          <w:kern w:val="2"/>
          <w:sz w:val="21"/>
          <w:szCs w:val="21"/>
          <w:highlight w:val="none"/>
          <w:lang w:val="zh-CN"/>
        </w:rPr>
        <w:t>九、服务期内及服务届满后</w:t>
      </w:r>
      <w:r>
        <w:rPr>
          <w:rFonts w:hint="eastAsia" w:ascii="宋体" w:hAnsi="宋体" w:eastAsia="宋体" w:cs="宋体"/>
          <w:b/>
          <w:bCs/>
          <w:color w:val="auto"/>
          <w:highlight w:val="none"/>
          <w:lang w:eastAsia="zh-CN"/>
        </w:rPr>
        <w:t>相关要求</w:t>
      </w:r>
      <w:bookmarkEnd w:id="709"/>
      <w:bookmarkEnd w:id="710"/>
    </w:p>
    <w:p w14:paraId="2A809879">
      <w:pPr>
        <w:keepNext w:val="0"/>
        <w:keepLines w:val="0"/>
        <w:pageBreakBefore w:val="0"/>
        <w:widowControl/>
        <w:kinsoku/>
        <w:wordWrap/>
        <w:overflowPunct/>
        <w:topLinePunct w:val="0"/>
        <w:autoSpaceDE/>
        <w:autoSpaceDN/>
        <w:bidi w:val="0"/>
        <w:adjustRightInd/>
        <w:snapToGrid w:val="0"/>
        <w:spacing w:line="360" w:lineRule="auto"/>
        <w:ind w:firstLine="424" w:firstLineChars="202"/>
        <w:jc w:val="both"/>
        <w:textAlignment w:val="auto"/>
        <w:outlineLvl w:val="9"/>
        <w:rPr>
          <w:rFonts w:hint="eastAsia"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w:t>
      </w:r>
      <w:r>
        <w:rPr>
          <w:rFonts w:hint="eastAsia" w:ascii="宋体" w:hAnsi="宋体" w:eastAsia="宋体" w:cs="宋体"/>
          <w:b/>
          <w:bCs/>
          <w:color w:val="auto"/>
          <w:kern w:val="2"/>
          <w:sz w:val="21"/>
          <w:szCs w:val="21"/>
          <w:highlight w:val="none"/>
          <w:u w:val="single"/>
          <w:lang w:val="zh-CN"/>
        </w:rPr>
        <w:t>除非双方另有合同约定，服务单位在以下情况应自行拆除本项目服务</w:t>
      </w:r>
      <w:r>
        <w:rPr>
          <w:rFonts w:hint="eastAsia" w:ascii="宋体" w:hAnsi="宋体" w:eastAsia="宋体" w:cs="宋体"/>
          <w:b/>
          <w:bCs/>
          <w:color w:val="auto"/>
          <w:szCs w:val="21"/>
          <w:highlight w:val="none"/>
          <w:u w:val="single"/>
          <w:lang w:val="zh-CN"/>
        </w:rPr>
        <w:t>相关的其提供安装</w:t>
      </w:r>
      <w:r>
        <w:rPr>
          <w:rFonts w:hint="eastAsia" w:ascii="宋体" w:hAnsi="宋体" w:eastAsia="宋体" w:cs="宋体"/>
          <w:b/>
          <w:bCs/>
          <w:color w:val="auto"/>
          <w:kern w:val="2"/>
          <w:sz w:val="21"/>
          <w:szCs w:val="21"/>
          <w:highlight w:val="none"/>
          <w:u w:val="single"/>
          <w:lang w:val="zh-CN"/>
        </w:rPr>
        <w:t>的设备设施，并恢复本项目场地的原状：（1）服务期内，发生风险特别约定情况，招标人要求服务单位无条件提前终止服务并发出撤场通知之日起30日内；（</w:t>
      </w:r>
      <w:r>
        <w:rPr>
          <w:rFonts w:hint="eastAsia" w:ascii="宋体" w:hAnsi="宋体" w:eastAsia="宋体" w:cs="宋体"/>
          <w:b/>
          <w:bCs/>
          <w:color w:val="auto"/>
          <w:kern w:val="2"/>
          <w:sz w:val="21"/>
          <w:szCs w:val="21"/>
          <w:highlight w:val="none"/>
          <w:u w:val="single"/>
        </w:rPr>
        <w:t>2</w:t>
      </w:r>
      <w:r>
        <w:rPr>
          <w:rFonts w:hint="eastAsia" w:ascii="宋体" w:hAnsi="宋体" w:eastAsia="宋体" w:cs="宋体"/>
          <w:b/>
          <w:bCs/>
          <w:color w:val="auto"/>
          <w:kern w:val="2"/>
          <w:sz w:val="21"/>
          <w:szCs w:val="21"/>
          <w:highlight w:val="none"/>
          <w:u w:val="single"/>
          <w:lang w:val="zh-CN"/>
        </w:rPr>
        <w:t>）服务期内，因服务单位存在违约行为等，招标人根据合同约定要求服务单位提前终止服务并发出撤场通知之日起</w:t>
      </w:r>
      <w:r>
        <w:rPr>
          <w:rFonts w:hint="eastAsia" w:ascii="宋体" w:hAnsi="宋体" w:eastAsia="宋体" w:cs="宋体"/>
          <w:b/>
          <w:bCs/>
          <w:color w:val="auto"/>
          <w:kern w:val="2"/>
          <w:sz w:val="21"/>
          <w:szCs w:val="21"/>
          <w:highlight w:val="none"/>
          <w:u w:val="single"/>
        </w:rPr>
        <w:t>3</w:t>
      </w:r>
      <w:r>
        <w:rPr>
          <w:rFonts w:hint="eastAsia" w:ascii="宋体" w:hAnsi="宋体" w:eastAsia="宋体" w:cs="宋体"/>
          <w:b/>
          <w:bCs/>
          <w:color w:val="auto"/>
          <w:kern w:val="2"/>
          <w:sz w:val="21"/>
          <w:szCs w:val="21"/>
          <w:highlight w:val="none"/>
          <w:u w:val="single"/>
          <w:lang w:val="zh-CN"/>
        </w:rPr>
        <w:t>0日内；（</w:t>
      </w:r>
      <w:r>
        <w:rPr>
          <w:rFonts w:hint="eastAsia" w:ascii="宋体" w:hAnsi="宋体" w:eastAsia="宋体" w:cs="宋体"/>
          <w:b/>
          <w:bCs/>
          <w:color w:val="auto"/>
          <w:kern w:val="2"/>
          <w:sz w:val="21"/>
          <w:szCs w:val="21"/>
          <w:highlight w:val="none"/>
          <w:u w:val="single"/>
        </w:rPr>
        <w:t>3</w:t>
      </w:r>
      <w:r>
        <w:rPr>
          <w:rFonts w:hint="eastAsia" w:ascii="宋体" w:hAnsi="宋体" w:eastAsia="宋体" w:cs="宋体"/>
          <w:b/>
          <w:bCs/>
          <w:color w:val="auto"/>
          <w:kern w:val="2"/>
          <w:sz w:val="21"/>
          <w:szCs w:val="21"/>
          <w:highlight w:val="none"/>
          <w:u w:val="single"/>
          <w:lang w:val="zh-CN"/>
        </w:rPr>
        <w:t>）服务期届满后</w:t>
      </w:r>
      <w:r>
        <w:rPr>
          <w:rFonts w:hint="eastAsia" w:ascii="宋体" w:hAnsi="宋体" w:eastAsia="宋体" w:cs="宋体"/>
          <w:b/>
          <w:bCs/>
          <w:color w:val="auto"/>
          <w:kern w:val="2"/>
          <w:sz w:val="21"/>
          <w:szCs w:val="21"/>
          <w:highlight w:val="none"/>
          <w:u w:val="single"/>
        </w:rPr>
        <w:t>3</w:t>
      </w:r>
      <w:r>
        <w:rPr>
          <w:rFonts w:hint="eastAsia" w:ascii="宋体" w:hAnsi="宋体" w:eastAsia="宋体" w:cs="宋体"/>
          <w:b/>
          <w:bCs/>
          <w:color w:val="auto"/>
          <w:kern w:val="2"/>
          <w:sz w:val="21"/>
          <w:szCs w:val="21"/>
          <w:highlight w:val="none"/>
          <w:u w:val="single"/>
          <w:lang w:val="zh-CN"/>
        </w:rPr>
        <w:t>0日内。以上所导致的因拆除设备设施及场地复原产生的相应费用由服务单位承担，在本项目的拆除过程中和拆除之后，招标人无须向服务单位支付任何补偿或移交费用</w:t>
      </w:r>
      <w:r>
        <w:rPr>
          <w:rFonts w:hint="eastAsia" w:ascii="宋体" w:hAnsi="宋体" w:eastAsia="宋体" w:cs="宋体"/>
          <w:b/>
          <w:bCs/>
          <w:color w:val="auto"/>
          <w:kern w:val="2"/>
          <w:sz w:val="21"/>
          <w:szCs w:val="21"/>
          <w:highlight w:val="none"/>
          <w:lang w:val="zh-CN"/>
        </w:rPr>
        <w:t>。</w:t>
      </w:r>
    </w:p>
    <w:bookmarkEnd w:id="696"/>
    <w:p w14:paraId="080DFF16">
      <w:pPr>
        <w:autoSpaceDE w:val="0"/>
        <w:autoSpaceDN w:val="0"/>
        <w:adjustRightInd w:val="0"/>
        <w:spacing w:line="360" w:lineRule="auto"/>
        <w:ind w:firstLine="424" w:firstLineChars="202"/>
        <w:jc w:val="left"/>
        <w:rPr>
          <w:rFonts w:hint="eastAsia" w:ascii="宋体" w:hAnsi="宋体" w:eastAsia="宋体" w:cs="宋体"/>
          <w:color w:val="auto"/>
          <w:kern w:val="0"/>
          <w:sz w:val="21"/>
          <w:szCs w:val="21"/>
          <w:highlight w:val="none"/>
        </w:rPr>
      </w:pPr>
    </w:p>
    <w:p w14:paraId="48976272">
      <w:pPr>
        <w:autoSpaceDE w:val="0"/>
        <w:autoSpaceDN w:val="0"/>
        <w:adjustRightInd w:val="0"/>
        <w:ind w:firstLine="420" w:firstLineChars="200"/>
        <w:jc w:val="left"/>
        <w:rPr>
          <w:rFonts w:hint="eastAsia" w:ascii="宋体" w:hAnsi="宋体" w:eastAsia="宋体" w:cs="宋体"/>
          <w:color w:val="auto"/>
          <w:kern w:val="0"/>
          <w:sz w:val="21"/>
          <w:szCs w:val="21"/>
          <w:highlight w:val="none"/>
        </w:rPr>
      </w:pPr>
    </w:p>
    <w:p w14:paraId="2CD15AAD">
      <w:pPr>
        <w:rPr>
          <w:rFonts w:ascii="宋体" w:hAnsi="宋体" w:eastAsia="宋体" w:cs="Times New Roman"/>
          <w:b/>
          <w:color w:val="auto"/>
          <w:szCs w:val="21"/>
          <w:highlight w:val="none"/>
        </w:rPr>
      </w:pPr>
    </w:p>
    <w:p w14:paraId="127E33E6">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auto"/>
          <w:kern w:val="44"/>
          <w:sz w:val="32"/>
          <w:szCs w:val="32"/>
          <w:highlight w:val="none"/>
          <w:lang w:val="zh-CN"/>
        </w:rPr>
      </w:pPr>
      <w:bookmarkStart w:id="711" w:name="_Toc23232"/>
      <w:bookmarkStart w:id="712" w:name="_Toc1813"/>
      <w:bookmarkStart w:id="713" w:name="_Toc24268"/>
      <w:bookmarkStart w:id="714" w:name="_Toc21574"/>
      <w:bookmarkStart w:id="715" w:name="_Toc1576"/>
      <w:bookmarkStart w:id="716" w:name="_Toc26234"/>
      <w:bookmarkStart w:id="717" w:name="_Toc486167707"/>
      <w:bookmarkStart w:id="718" w:name="_Toc16287"/>
      <w:bookmarkStart w:id="719" w:name="_Toc25251"/>
      <w:bookmarkStart w:id="720" w:name="_Toc20401"/>
      <w:bookmarkStart w:id="721" w:name="_Toc1819"/>
      <w:bookmarkStart w:id="722" w:name="_Toc450662892"/>
      <w:bookmarkStart w:id="723" w:name="_Toc11281_WPSOffice_Level1"/>
      <w:bookmarkStart w:id="724" w:name="_Toc142508359"/>
      <w:r>
        <w:rPr>
          <w:rFonts w:hint="eastAsia" w:ascii="宋体" w:hAnsi="宋体" w:eastAsia="宋体" w:cs="宋体"/>
          <w:b/>
          <w:bCs/>
          <w:color w:val="auto"/>
          <w:kern w:val="44"/>
          <w:sz w:val="32"/>
          <w:szCs w:val="32"/>
          <w:highlight w:val="none"/>
          <w:lang w:val="zh-CN"/>
        </w:rPr>
        <w:t>第四篇</w:t>
      </w:r>
      <w:r>
        <w:rPr>
          <w:rFonts w:ascii="宋体" w:hAnsi="宋体" w:eastAsia="宋体" w:cs="宋体"/>
          <w:b/>
          <w:bCs/>
          <w:color w:val="auto"/>
          <w:kern w:val="44"/>
          <w:sz w:val="32"/>
          <w:szCs w:val="32"/>
          <w:highlight w:val="none"/>
          <w:lang w:val="zh-CN"/>
        </w:rPr>
        <w:t xml:space="preserve"> </w:t>
      </w:r>
      <w:r>
        <w:rPr>
          <w:rFonts w:hint="eastAsia" w:ascii="宋体" w:hAnsi="宋体" w:eastAsia="宋体" w:cs="宋体"/>
          <w:b/>
          <w:bCs/>
          <w:color w:val="auto"/>
          <w:kern w:val="44"/>
          <w:sz w:val="32"/>
          <w:szCs w:val="32"/>
          <w:highlight w:val="none"/>
          <w:lang w:val="zh-CN"/>
        </w:rPr>
        <w:t>合同条款格式</w:t>
      </w:r>
      <w:bookmarkEnd w:id="711"/>
      <w:bookmarkEnd w:id="712"/>
      <w:bookmarkEnd w:id="713"/>
      <w:bookmarkEnd w:id="714"/>
      <w:bookmarkEnd w:id="715"/>
      <w:bookmarkEnd w:id="716"/>
    </w:p>
    <w:p w14:paraId="697ACD71">
      <w:pPr>
        <w:autoSpaceDE w:val="0"/>
        <w:autoSpaceDN w:val="0"/>
        <w:adjustRightInd w:val="0"/>
        <w:snapToGrid w:val="0"/>
        <w:spacing w:line="360" w:lineRule="auto"/>
        <w:jc w:val="center"/>
        <w:rPr>
          <w:rFonts w:ascii="宋体" w:hAnsi="宋体" w:eastAsia="宋体" w:cs="Times New Roman"/>
          <w:color w:val="auto"/>
          <w:kern w:val="0"/>
          <w:sz w:val="24"/>
          <w:szCs w:val="24"/>
          <w:highlight w:val="none"/>
        </w:rPr>
      </w:pPr>
    </w:p>
    <w:p w14:paraId="162EBBA4">
      <w:pPr>
        <w:keepNext w:val="0"/>
        <w:keepLines w:val="0"/>
        <w:kinsoku/>
        <w:wordWrap/>
        <w:overflowPunct/>
        <w:topLinePunct w:val="0"/>
        <w:autoSpaceDE w:val="0"/>
        <w:autoSpaceDN w:val="0"/>
        <w:bidi w:val="0"/>
        <w:adjustRightInd w:val="0"/>
        <w:snapToGrid w:val="0"/>
        <w:spacing w:line="360" w:lineRule="auto"/>
        <w:jc w:val="center"/>
        <w:textAlignment w:val="auto"/>
        <w:outlineLvl w:val="9"/>
        <w:rPr>
          <w:rFonts w:ascii="宋体" w:hAnsi="宋体" w:eastAsia="宋体" w:cs="Times New Roman"/>
          <w:color w:val="auto"/>
          <w:kern w:val="0"/>
          <w:sz w:val="24"/>
          <w:szCs w:val="24"/>
          <w:highlight w:val="none"/>
        </w:rPr>
      </w:pPr>
    </w:p>
    <w:p w14:paraId="5A43BCDC">
      <w:pPr>
        <w:keepNext w:val="0"/>
        <w:keepLines w:val="0"/>
        <w:kinsoku/>
        <w:wordWrap/>
        <w:overflowPunct/>
        <w:topLinePunct w:val="0"/>
        <w:autoSpaceDE w:val="0"/>
        <w:autoSpaceDN w:val="0"/>
        <w:bidi w:val="0"/>
        <w:adjustRightInd w:val="0"/>
        <w:snapToGrid w:val="0"/>
        <w:spacing w:line="360" w:lineRule="auto"/>
        <w:jc w:val="center"/>
        <w:textAlignment w:val="auto"/>
        <w:outlineLvl w:val="9"/>
        <w:rPr>
          <w:rFonts w:ascii="宋体" w:hAnsi="宋体" w:eastAsia="宋体" w:cs="Times New Roman"/>
          <w:color w:val="auto"/>
          <w:kern w:val="0"/>
          <w:sz w:val="24"/>
          <w:szCs w:val="24"/>
          <w:highlight w:val="none"/>
        </w:rPr>
      </w:pPr>
    </w:p>
    <w:p w14:paraId="11452994">
      <w:pPr>
        <w:keepNext w:val="0"/>
        <w:keepLines w:val="0"/>
        <w:kinsoku/>
        <w:wordWrap/>
        <w:overflowPunct/>
        <w:topLinePunct w:val="0"/>
        <w:autoSpaceDE w:val="0"/>
        <w:autoSpaceDN w:val="0"/>
        <w:bidi w:val="0"/>
        <w:adjustRightInd w:val="0"/>
        <w:spacing w:line="360" w:lineRule="auto"/>
        <w:jc w:val="center"/>
        <w:textAlignment w:val="auto"/>
        <w:outlineLvl w:val="9"/>
        <w:rPr>
          <w:rFonts w:ascii="宋体" w:hAnsi="宋体" w:eastAsia="宋体" w:cs="Times New Roman"/>
          <w:b/>
          <w:color w:val="auto"/>
          <w:kern w:val="0"/>
          <w:sz w:val="52"/>
          <w:szCs w:val="96"/>
          <w:highlight w:val="none"/>
        </w:rPr>
      </w:pPr>
      <w:r>
        <w:rPr>
          <w:rFonts w:hint="eastAsia" w:ascii="宋体" w:hAnsi="宋体" w:eastAsia="宋体" w:cs="Times New Roman"/>
          <w:b/>
          <w:color w:val="auto"/>
          <w:kern w:val="0"/>
          <w:sz w:val="52"/>
          <w:szCs w:val="96"/>
          <w:highlight w:val="none"/>
          <w:lang w:val="zh-CN"/>
        </w:rPr>
        <w:t>东莞市樟村水质净化厂污泥处理处置服务项目（2025-2026年）</w:t>
      </w:r>
    </w:p>
    <w:p w14:paraId="293A18E3">
      <w:pPr>
        <w:keepNext w:val="0"/>
        <w:keepLines w:val="0"/>
        <w:kinsoku/>
        <w:wordWrap/>
        <w:overflowPunct/>
        <w:topLinePunct w:val="0"/>
        <w:autoSpaceDE w:val="0"/>
        <w:autoSpaceDN w:val="0"/>
        <w:bidi w:val="0"/>
        <w:adjustRightInd w:val="0"/>
        <w:spacing w:line="360" w:lineRule="auto"/>
        <w:jc w:val="center"/>
        <w:textAlignment w:val="auto"/>
        <w:outlineLvl w:val="9"/>
        <w:rPr>
          <w:rFonts w:ascii="宋体" w:hAnsi="宋体" w:eastAsia="宋体" w:cs="Times New Roman"/>
          <w:bCs/>
          <w:color w:val="auto"/>
          <w:kern w:val="0"/>
          <w:sz w:val="52"/>
          <w:szCs w:val="52"/>
          <w:highlight w:val="none"/>
        </w:rPr>
      </w:pPr>
    </w:p>
    <w:p w14:paraId="4E33C9FF">
      <w:pPr>
        <w:keepNext w:val="0"/>
        <w:keepLines w:val="0"/>
        <w:kinsoku/>
        <w:wordWrap/>
        <w:overflowPunct/>
        <w:topLinePunct w:val="0"/>
        <w:autoSpaceDE w:val="0"/>
        <w:autoSpaceDN w:val="0"/>
        <w:bidi w:val="0"/>
        <w:adjustRightInd w:val="0"/>
        <w:spacing w:before="840" w:beforeLines="350" w:after="360" w:afterLines="150" w:line="360" w:lineRule="auto"/>
        <w:jc w:val="center"/>
        <w:textAlignment w:val="auto"/>
        <w:outlineLvl w:val="9"/>
        <w:rPr>
          <w:rFonts w:ascii="宋体" w:hAnsi="宋体" w:eastAsia="宋体" w:cs="Times New Roman"/>
          <w:b/>
          <w:bCs/>
          <w:color w:val="auto"/>
          <w:spacing w:val="60"/>
          <w:kern w:val="0"/>
          <w:sz w:val="52"/>
          <w:szCs w:val="52"/>
          <w:highlight w:val="none"/>
        </w:rPr>
      </w:pPr>
      <w:r>
        <w:rPr>
          <w:rFonts w:hint="eastAsia" w:ascii="宋体" w:hAnsi="宋体" w:eastAsia="宋体" w:cs="Times New Roman"/>
          <w:b/>
          <w:bCs/>
          <w:color w:val="auto"/>
          <w:spacing w:val="60"/>
          <w:kern w:val="0"/>
          <w:sz w:val="52"/>
          <w:szCs w:val="52"/>
          <w:highlight w:val="none"/>
        </w:rPr>
        <w:t>采购合同</w:t>
      </w:r>
    </w:p>
    <w:p w14:paraId="56B90CA3">
      <w:pPr>
        <w:keepNext w:val="0"/>
        <w:keepLines w:val="0"/>
        <w:kinsoku/>
        <w:wordWrap/>
        <w:overflowPunct/>
        <w:topLinePunct w:val="0"/>
        <w:autoSpaceDE w:val="0"/>
        <w:autoSpaceDN w:val="0"/>
        <w:bidi w:val="0"/>
        <w:adjustRightInd w:val="0"/>
        <w:spacing w:line="360" w:lineRule="auto"/>
        <w:jc w:val="center"/>
        <w:textAlignment w:val="auto"/>
        <w:outlineLvl w:val="9"/>
        <w:rPr>
          <w:rFonts w:ascii="宋体" w:hAnsi="宋体" w:eastAsia="宋体" w:cs="Times New Roman"/>
          <w:b/>
          <w:bCs/>
          <w:color w:val="auto"/>
          <w:kern w:val="0"/>
          <w:sz w:val="24"/>
          <w:szCs w:val="21"/>
          <w:highlight w:val="none"/>
        </w:rPr>
      </w:pPr>
      <w:r>
        <w:rPr>
          <w:rFonts w:hint="eastAsia" w:ascii="宋体" w:hAnsi="宋体" w:eastAsia="宋体" w:cs="Times New Roman"/>
          <w:b/>
          <w:bCs/>
          <w:color w:val="auto"/>
          <w:kern w:val="0"/>
          <w:sz w:val="24"/>
          <w:szCs w:val="21"/>
          <w:highlight w:val="none"/>
        </w:rPr>
        <w:t>（合同编号：       ）</w:t>
      </w:r>
    </w:p>
    <w:p w14:paraId="3D13AEBA">
      <w:pPr>
        <w:keepNext w:val="0"/>
        <w:keepLines w:val="0"/>
        <w:kinsoku/>
        <w:wordWrap/>
        <w:overflowPunct/>
        <w:topLinePunct w:val="0"/>
        <w:autoSpaceDE w:val="0"/>
        <w:autoSpaceDN w:val="0"/>
        <w:bidi w:val="0"/>
        <w:adjustRightInd w:val="0"/>
        <w:spacing w:line="360" w:lineRule="auto"/>
        <w:jc w:val="left"/>
        <w:textAlignment w:val="auto"/>
        <w:outlineLvl w:val="9"/>
        <w:rPr>
          <w:rFonts w:ascii="宋体" w:hAnsi="宋体" w:eastAsia="宋体" w:cs="Times New Roman"/>
          <w:b/>
          <w:bCs/>
          <w:color w:val="auto"/>
          <w:kern w:val="0"/>
          <w:sz w:val="24"/>
          <w:szCs w:val="21"/>
          <w:highlight w:val="none"/>
        </w:rPr>
      </w:pPr>
    </w:p>
    <w:p w14:paraId="494F4A21">
      <w:pPr>
        <w:keepNext w:val="0"/>
        <w:keepLines w:val="0"/>
        <w:kinsoku/>
        <w:wordWrap/>
        <w:overflowPunct/>
        <w:topLinePunct w:val="0"/>
        <w:autoSpaceDE w:val="0"/>
        <w:autoSpaceDN w:val="0"/>
        <w:bidi w:val="0"/>
        <w:adjustRightInd w:val="0"/>
        <w:spacing w:line="360" w:lineRule="auto"/>
        <w:jc w:val="left"/>
        <w:textAlignment w:val="auto"/>
        <w:outlineLvl w:val="9"/>
        <w:rPr>
          <w:rFonts w:ascii="宋体" w:hAnsi="宋体" w:eastAsia="宋体" w:cs="Times New Roman"/>
          <w:b/>
          <w:bCs/>
          <w:color w:val="auto"/>
          <w:kern w:val="0"/>
          <w:sz w:val="24"/>
          <w:szCs w:val="21"/>
          <w:highlight w:val="none"/>
        </w:rPr>
      </w:pPr>
    </w:p>
    <w:p w14:paraId="75E7C497">
      <w:pPr>
        <w:keepNext w:val="0"/>
        <w:keepLines w:val="0"/>
        <w:kinsoku/>
        <w:wordWrap/>
        <w:overflowPunct/>
        <w:topLinePunct w:val="0"/>
        <w:autoSpaceDE w:val="0"/>
        <w:autoSpaceDN w:val="0"/>
        <w:bidi w:val="0"/>
        <w:adjustRightInd w:val="0"/>
        <w:spacing w:line="360" w:lineRule="auto"/>
        <w:jc w:val="left"/>
        <w:textAlignment w:val="auto"/>
        <w:outlineLvl w:val="9"/>
        <w:rPr>
          <w:rFonts w:ascii="宋体" w:hAnsi="宋体" w:eastAsia="宋体" w:cs="Times New Roman"/>
          <w:b/>
          <w:bCs/>
          <w:color w:val="auto"/>
          <w:kern w:val="0"/>
          <w:sz w:val="24"/>
          <w:szCs w:val="21"/>
          <w:highlight w:val="none"/>
        </w:rPr>
      </w:pPr>
    </w:p>
    <w:p w14:paraId="0CA6EF08">
      <w:pPr>
        <w:keepNext w:val="0"/>
        <w:keepLines w:val="0"/>
        <w:kinsoku/>
        <w:wordWrap/>
        <w:overflowPunct/>
        <w:topLinePunct w:val="0"/>
        <w:autoSpaceDE w:val="0"/>
        <w:autoSpaceDN w:val="0"/>
        <w:bidi w:val="0"/>
        <w:adjustRightInd w:val="0"/>
        <w:spacing w:line="360" w:lineRule="auto"/>
        <w:jc w:val="left"/>
        <w:textAlignment w:val="auto"/>
        <w:outlineLvl w:val="9"/>
        <w:rPr>
          <w:rFonts w:ascii="宋体" w:hAnsi="宋体" w:eastAsia="宋体" w:cs="Times New Roman"/>
          <w:b/>
          <w:bCs/>
          <w:color w:val="auto"/>
          <w:kern w:val="0"/>
          <w:sz w:val="24"/>
          <w:szCs w:val="21"/>
          <w:highlight w:val="none"/>
        </w:rPr>
      </w:pPr>
    </w:p>
    <w:p w14:paraId="0A5E5977">
      <w:pPr>
        <w:keepNext w:val="0"/>
        <w:keepLines w:val="0"/>
        <w:kinsoku/>
        <w:wordWrap/>
        <w:overflowPunct/>
        <w:topLinePunct w:val="0"/>
        <w:autoSpaceDE w:val="0"/>
        <w:autoSpaceDN w:val="0"/>
        <w:bidi w:val="0"/>
        <w:adjustRightInd w:val="0"/>
        <w:spacing w:line="480" w:lineRule="auto"/>
        <w:ind w:firstLine="1102" w:firstLineChars="392"/>
        <w:jc w:val="left"/>
        <w:textAlignment w:val="auto"/>
        <w:outlineLvl w:val="9"/>
        <w:rPr>
          <w:rFonts w:ascii="宋体" w:hAnsi="宋体" w:eastAsia="宋体" w:cs="Times New Roman"/>
          <w:b/>
          <w:bCs/>
          <w:color w:val="auto"/>
          <w:kern w:val="0"/>
          <w:sz w:val="28"/>
          <w:szCs w:val="28"/>
          <w:highlight w:val="none"/>
        </w:rPr>
      </w:pPr>
      <w:r>
        <w:rPr>
          <w:rFonts w:hint="eastAsia" w:ascii="宋体" w:hAnsi="宋体" w:eastAsia="宋体" w:cs="宋体"/>
          <w:b/>
          <w:bCs/>
          <w:color w:val="auto"/>
          <w:kern w:val="0"/>
          <w:sz w:val="28"/>
          <w:szCs w:val="28"/>
          <w:highlight w:val="none"/>
        </w:rPr>
        <w:t>甲方：</w:t>
      </w:r>
      <w:r>
        <w:rPr>
          <w:rFonts w:hint="eastAsia" w:ascii="宋体" w:hAnsi="宋体" w:eastAsia="宋体" w:cs="宋体"/>
          <w:b/>
          <w:bCs/>
          <w:color w:val="auto"/>
          <w:kern w:val="0"/>
          <w:sz w:val="28"/>
          <w:szCs w:val="28"/>
          <w:highlight w:val="none"/>
          <w:u w:val="single"/>
        </w:rPr>
        <w:t xml:space="preserve">                         </w:t>
      </w:r>
      <w:r>
        <w:rPr>
          <w:rFonts w:hint="eastAsia" w:ascii="宋体" w:hAnsi="宋体" w:eastAsia="宋体" w:cs="Times New Roman"/>
          <w:b/>
          <w:bCs/>
          <w:color w:val="auto"/>
          <w:kern w:val="0"/>
          <w:sz w:val="28"/>
          <w:szCs w:val="28"/>
          <w:highlight w:val="none"/>
          <w:u w:val="single"/>
        </w:rPr>
        <w:t xml:space="preserve"> </w:t>
      </w:r>
      <w:r>
        <w:rPr>
          <w:rFonts w:ascii="宋体" w:hAnsi="宋体" w:eastAsia="宋体" w:cs="Times New Roman"/>
          <w:b/>
          <w:bCs/>
          <w:color w:val="auto"/>
          <w:kern w:val="0"/>
          <w:sz w:val="28"/>
          <w:szCs w:val="28"/>
          <w:highlight w:val="none"/>
        </w:rPr>
        <w:t xml:space="preserve"> </w:t>
      </w:r>
    </w:p>
    <w:p w14:paraId="222EED2A">
      <w:pPr>
        <w:keepNext w:val="0"/>
        <w:keepLines w:val="0"/>
        <w:kinsoku/>
        <w:wordWrap/>
        <w:overflowPunct/>
        <w:topLinePunct w:val="0"/>
        <w:autoSpaceDE w:val="0"/>
        <w:autoSpaceDN w:val="0"/>
        <w:bidi w:val="0"/>
        <w:adjustRightInd w:val="0"/>
        <w:spacing w:line="480" w:lineRule="auto"/>
        <w:ind w:firstLine="1102" w:firstLineChars="392"/>
        <w:jc w:val="left"/>
        <w:textAlignment w:val="auto"/>
        <w:outlineLvl w:val="9"/>
        <w:rPr>
          <w:rFonts w:ascii="宋体" w:hAnsi="宋体" w:eastAsia="宋体" w:cs="Times New Roman"/>
          <w:b/>
          <w:bCs/>
          <w:color w:val="auto"/>
          <w:kern w:val="0"/>
          <w:sz w:val="28"/>
          <w:szCs w:val="28"/>
          <w:highlight w:val="none"/>
          <w:u w:val="single"/>
        </w:rPr>
      </w:pPr>
      <w:r>
        <w:rPr>
          <w:rFonts w:hint="eastAsia" w:ascii="宋体" w:hAnsi="宋体" w:eastAsia="宋体" w:cs="宋体"/>
          <w:b/>
          <w:bCs/>
          <w:color w:val="auto"/>
          <w:kern w:val="0"/>
          <w:sz w:val="28"/>
          <w:szCs w:val="28"/>
          <w:highlight w:val="none"/>
        </w:rPr>
        <w:t>乙方：</w:t>
      </w:r>
      <w:r>
        <w:rPr>
          <w:rFonts w:hint="eastAsia" w:ascii="宋体" w:hAnsi="宋体" w:eastAsia="宋体" w:cs="宋体"/>
          <w:b/>
          <w:bCs/>
          <w:color w:val="auto"/>
          <w:kern w:val="0"/>
          <w:sz w:val="28"/>
          <w:szCs w:val="28"/>
          <w:highlight w:val="none"/>
          <w:u w:val="single"/>
        </w:rPr>
        <w:t xml:space="preserve">                          </w:t>
      </w:r>
    </w:p>
    <w:p w14:paraId="5DB07DEF">
      <w:pPr>
        <w:keepNext w:val="0"/>
        <w:keepLines w:val="0"/>
        <w:kinsoku/>
        <w:wordWrap/>
        <w:overflowPunct/>
        <w:topLinePunct w:val="0"/>
        <w:autoSpaceDE w:val="0"/>
        <w:autoSpaceDN w:val="0"/>
        <w:bidi w:val="0"/>
        <w:adjustRightInd w:val="0"/>
        <w:spacing w:line="360" w:lineRule="auto"/>
        <w:ind w:firstLine="1102" w:firstLineChars="392"/>
        <w:jc w:val="left"/>
        <w:textAlignment w:val="auto"/>
        <w:outlineLvl w:val="9"/>
        <w:rPr>
          <w:rFonts w:ascii="宋体" w:hAnsi="宋体" w:eastAsia="宋体" w:cs="宋体"/>
          <w:b/>
          <w:bCs/>
          <w:color w:val="auto"/>
          <w:kern w:val="0"/>
          <w:sz w:val="28"/>
          <w:szCs w:val="28"/>
          <w:highlight w:val="none"/>
        </w:rPr>
      </w:pPr>
    </w:p>
    <w:p w14:paraId="2B3E7A65">
      <w:pPr>
        <w:keepNext w:val="0"/>
        <w:keepLines w:val="0"/>
        <w:kinsoku/>
        <w:wordWrap/>
        <w:overflowPunct/>
        <w:topLinePunct w:val="0"/>
        <w:autoSpaceDE w:val="0"/>
        <w:autoSpaceDN w:val="0"/>
        <w:bidi w:val="0"/>
        <w:adjustRightInd w:val="0"/>
        <w:spacing w:line="360" w:lineRule="auto"/>
        <w:ind w:firstLine="1102" w:firstLineChars="392"/>
        <w:jc w:val="left"/>
        <w:textAlignment w:val="auto"/>
        <w:outlineLvl w:val="9"/>
        <w:rPr>
          <w:rFonts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签订日期：   年   月   日</w:t>
      </w:r>
    </w:p>
    <w:p w14:paraId="7173506E">
      <w:pPr>
        <w:pStyle w:val="18"/>
        <w:keepNext w:val="0"/>
        <w:keepLines w:val="0"/>
        <w:kinsoku/>
        <w:wordWrap/>
        <w:overflowPunct/>
        <w:topLinePunct w:val="0"/>
        <w:bidi w:val="0"/>
        <w:jc w:val="both"/>
        <w:textAlignment w:val="auto"/>
        <w:outlineLvl w:val="9"/>
        <w:rPr>
          <w:color w:val="auto"/>
          <w:highlight w:val="none"/>
        </w:rPr>
      </w:pPr>
    </w:p>
    <w:p w14:paraId="0E0E29FF">
      <w:pPr>
        <w:keepNext w:val="0"/>
        <w:keepLines w:val="0"/>
        <w:kinsoku/>
        <w:wordWrap/>
        <w:overflowPunct/>
        <w:topLinePunct w:val="0"/>
        <w:bidi w:val="0"/>
        <w:snapToGrid w:val="0"/>
        <w:spacing w:line="360" w:lineRule="auto"/>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甲方：</w:t>
      </w:r>
      <w:r>
        <w:rPr>
          <w:rFonts w:hint="eastAsia" w:ascii="宋体" w:hAnsi="宋体" w:eastAsia="宋体" w:cs="宋体"/>
          <w:color w:val="auto"/>
          <w:szCs w:val="21"/>
          <w:highlight w:val="none"/>
          <w:u w:val="single"/>
        </w:rPr>
        <w:t xml:space="preserve">                           </w:t>
      </w:r>
    </w:p>
    <w:p w14:paraId="29FC85CE">
      <w:pPr>
        <w:keepNext w:val="0"/>
        <w:keepLines w:val="0"/>
        <w:kinsoku/>
        <w:wordWrap/>
        <w:overflowPunct/>
        <w:topLinePunct w:val="0"/>
        <w:bidi w:val="0"/>
        <w:snapToGrid w:val="0"/>
        <w:spacing w:line="360" w:lineRule="auto"/>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乙方：</w:t>
      </w:r>
      <w:r>
        <w:rPr>
          <w:rFonts w:hint="eastAsia" w:ascii="宋体" w:hAnsi="宋体" w:eastAsia="宋体" w:cs="宋体"/>
          <w:color w:val="auto"/>
          <w:szCs w:val="21"/>
          <w:highlight w:val="none"/>
          <w:u w:val="single"/>
        </w:rPr>
        <w:t xml:space="preserve">                           </w:t>
      </w:r>
    </w:p>
    <w:p w14:paraId="405DA601">
      <w:pPr>
        <w:keepNext w:val="0"/>
        <w:keepLines w:val="0"/>
        <w:kinsoku/>
        <w:wordWrap/>
        <w:overflowPunct/>
        <w:topLinePunct w:val="0"/>
        <w:bidi w:val="0"/>
        <w:snapToGrid w:val="0"/>
        <w:spacing w:line="360" w:lineRule="auto"/>
        <w:textAlignment w:val="auto"/>
        <w:outlineLvl w:val="9"/>
        <w:rPr>
          <w:rFonts w:ascii="宋体" w:hAnsi="宋体" w:eastAsia="宋体" w:cs="宋体"/>
          <w:color w:val="auto"/>
          <w:szCs w:val="21"/>
          <w:highlight w:val="none"/>
        </w:rPr>
      </w:pPr>
    </w:p>
    <w:p w14:paraId="3105759F">
      <w:pPr>
        <w:keepNext w:val="0"/>
        <w:keepLines w:val="0"/>
        <w:kinsoku/>
        <w:wordWrap/>
        <w:overflowPunct/>
        <w:topLinePunct w:val="0"/>
        <w:bidi w:val="0"/>
        <w:snapToGrid w:val="0"/>
        <w:spacing w:line="360" w:lineRule="auto"/>
        <w:ind w:firstLine="411" w:firstLineChars="196"/>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根据《中华人民共和国民法典》及</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日通知的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项目中标结果（招标编号：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）和招标文件的要求，经双方协商一致，签订本合同。</w:t>
      </w:r>
    </w:p>
    <w:p w14:paraId="1ABE04A9">
      <w:pPr>
        <w:keepNext w:val="0"/>
        <w:keepLines w:val="0"/>
        <w:kinsoku/>
        <w:wordWrap/>
        <w:overflowPunct/>
        <w:topLinePunct w:val="0"/>
        <w:bidi w:val="0"/>
        <w:snapToGrid w:val="0"/>
        <w:spacing w:line="360" w:lineRule="auto"/>
        <w:ind w:firstLine="413" w:firstLineChars="196"/>
        <w:textAlignment w:val="auto"/>
        <w:outlineLvl w:val="9"/>
        <w:rPr>
          <w:rFonts w:ascii="宋体" w:hAnsi="宋体" w:eastAsia="宋体" w:cs="宋体"/>
          <w:b/>
          <w:color w:val="auto"/>
          <w:szCs w:val="21"/>
          <w:highlight w:val="none"/>
        </w:rPr>
      </w:pPr>
    </w:p>
    <w:p w14:paraId="516FAABB">
      <w:pPr>
        <w:keepNext w:val="0"/>
        <w:keepLines w:val="0"/>
        <w:kinsoku/>
        <w:wordWrap/>
        <w:overflowPunct/>
        <w:topLinePunct w:val="0"/>
        <w:bidi w:val="0"/>
        <w:snapToGrid w:val="0"/>
        <w:spacing w:line="360" w:lineRule="auto"/>
        <w:ind w:firstLine="413" w:firstLineChars="196"/>
        <w:textAlignment w:val="auto"/>
        <w:outlineLvl w:val="9"/>
        <w:rPr>
          <w:rFonts w:ascii="宋体" w:hAnsi="宋体" w:eastAsia="宋体" w:cs="宋体"/>
          <w:b/>
          <w:color w:val="auto"/>
          <w:szCs w:val="21"/>
          <w:highlight w:val="none"/>
        </w:rPr>
      </w:pPr>
      <w:bookmarkStart w:id="725" w:name="_Toc24314"/>
      <w:r>
        <w:rPr>
          <w:rFonts w:hint="eastAsia" w:ascii="宋体" w:hAnsi="宋体" w:eastAsia="宋体" w:cs="宋体"/>
          <w:b/>
          <w:color w:val="auto"/>
          <w:szCs w:val="21"/>
          <w:highlight w:val="none"/>
        </w:rPr>
        <w:t>第一条 服务范围及期限</w:t>
      </w:r>
      <w:bookmarkEnd w:id="725"/>
    </w:p>
    <w:p w14:paraId="39499164">
      <w:pPr>
        <w:keepNext w:val="0"/>
        <w:keepLines w:val="0"/>
        <w:kinsoku/>
        <w:wordWrap/>
        <w:overflowPunct/>
        <w:topLinePunct w:val="0"/>
        <w:bidi w:val="0"/>
        <w:snapToGrid w:val="0"/>
        <w:spacing w:line="360" w:lineRule="auto"/>
        <w:ind w:firstLine="411" w:firstLineChars="196"/>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1、项目名称：东莞市樟村水质净化厂</w:t>
      </w:r>
      <w:r>
        <w:rPr>
          <w:rFonts w:ascii="宋体" w:hAnsi="宋体" w:eastAsia="宋体" w:cs="宋体"/>
          <w:color w:val="auto"/>
          <w:szCs w:val="21"/>
          <w:highlight w:val="none"/>
        </w:rPr>
        <w:t>污泥处理处置服务项目</w:t>
      </w:r>
      <w:r>
        <w:rPr>
          <w:rFonts w:hint="eastAsia" w:ascii="宋体" w:hAnsi="宋体" w:eastAsia="宋体" w:cs="宋体"/>
          <w:color w:val="auto"/>
          <w:szCs w:val="21"/>
          <w:highlight w:val="none"/>
        </w:rPr>
        <w:t>（2</w:t>
      </w:r>
      <w:r>
        <w:rPr>
          <w:rFonts w:ascii="宋体" w:hAnsi="宋体" w:eastAsia="宋体" w:cs="宋体"/>
          <w:color w:val="auto"/>
          <w:szCs w:val="21"/>
          <w:highlight w:val="none"/>
        </w:rPr>
        <w:t>025-2026</w:t>
      </w:r>
      <w:r>
        <w:rPr>
          <w:rFonts w:hint="eastAsia" w:ascii="宋体" w:hAnsi="宋体" w:eastAsia="宋体" w:cs="宋体"/>
          <w:color w:val="auto"/>
          <w:szCs w:val="21"/>
          <w:highlight w:val="none"/>
        </w:rPr>
        <w:t>年）</w:t>
      </w:r>
      <w:r>
        <w:rPr>
          <w:rFonts w:ascii="宋体" w:hAnsi="宋体" w:eastAsia="宋体" w:cs="宋体"/>
          <w:color w:val="auto"/>
          <w:szCs w:val="21"/>
          <w:highlight w:val="none"/>
        </w:rPr>
        <w:t>。</w:t>
      </w:r>
    </w:p>
    <w:p w14:paraId="491C64F2">
      <w:pPr>
        <w:keepNext w:val="0"/>
        <w:keepLines w:val="0"/>
        <w:kinsoku/>
        <w:wordWrap/>
        <w:overflowPunct/>
        <w:topLinePunct w:val="0"/>
        <w:bidi w:val="0"/>
        <w:snapToGrid w:val="0"/>
        <w:spacing w:line="360" w:lineRule="auto"/>
        <w:ind w:firstLine="411" w:firstLineChars="196"/>
        <w:textAlignment w:val="auto"/>
        <w:outlineLvl w:val="9"/>
        <w:rPr>
          <w:rFonts w:ascii="宋体" w:hAnsi="宋体" w:eastAsia="宋体" w:cs="宋体"/>
          <w:color w:val="auto"/>
          <w:szCs w:val="21"/>
          <w:highlight w:val="none"/>
        </w:rPr>
      </w:pPr>
      <w:r>
        <w:rPr>
          <w:rFonts w:ascii="宋体" w:hAnsi="宋体" w:eastAsia="宋体" w:cs="宋体"/>
          <w:color w:val="auto"/>
          <w:szCs w:val="21"/>
          <w:highlight w:val="none"/>
        </w:rPr>
        <w:t>2</w:t>
      </w:r>
      <w:r>
        <w:rPr>
          <w:rFonts w:hint="eastAsia" w:ascii="宋体" w:hAnsi="宋体" w:eastAsia="宋体" w:cs="宋体"/>
          <w:color w:val="auto"/>
          <w:szCs w:val="21"/>
          <w:highlight w:val="none"/>
        </w:rPr>
        <w:t>、服务范围：樟村水质净化厂污泥处理处置全流程服务，乙方负责实施污泥全流程处理和处置工作，将水质净化厂污泥浓缩池抽取</w:t>
      </w:r>
      <w:r>
        <w:rPr>
          <w:rFonts w:hint="eastAsia" w:ascii="宋体" w:hAnsi="宋体" w:eastAsia="宋体" w:cs="宋体"/>
          <w:color w:val="auto"/>
          <w:highlight w:val="none"/>
        </w:rPr>
        <w:t>的</w:t>
      </w:r>
      <w:r>
        <w:rPr>
          <w:rFonts w:hint="eastAsia" w:ascii="宋体" w:hAnsi="宋体" w:eastAsia="宋体" w:cs="宋体"/>
          <w:color w:val="auto"/>
          <w:highlight w:val="none"/>
          <w:lang w:val="en-US" w:eastAsia="zh-CN"/>
        </w:rPr>
        <w:t>污</w:t>
      </w:r>
      <w:r>
        <w:rPr>
          <w:rFonts w:hint="eastAsia" w:ascii="宋体" w:hAnsi="宋体" w:eastAsia="宋体" w:cs="宋体"/>
          <w:color w:val="auto"/>
          <w:szCs w:val="21"/>
          <w:highlight w:val="none"/>
        </w:rPr>
        <w:t>泥脱水减量至含水率不高于50%的半干化泥粉（泥块），保障不间断的接</w:t>
      </w:r>
      <w:r>
        <w:rPr>
          <w:rFonts w:hint="eastAsia" w:ascii="宋体" w:hAnsi="宋体" w:eastAsia="宋体" w:cs="宋体"/>
          <w:color w:val="auto"/>
          <w:szCs w:val="21"/>
          <w:highlight w:val="none"/>
          <w:lang w:val="en-US" w:eastAsia="zh-CN"/>
        </w:rPr>
        <w:t>收</w:t>
      </w:r>
      <w:r>
        <w:rPr>
          <w:rFonts w:hint="eastAsia" w:ascii="宋体" w:hAnsi="宋体" w:eastAsia="宋体" w:cs="宋体"/>
          <w:color w:val="auto"/>
          <w:szCs w:val="21"/>
          <w:highlight w:val="none"/>
        </w:rPr>
        <w:t>处理并安全处置，不造成二次污染。为保障服务质量，乙方不限于提供污泥处理设备设施、外部运输、资源化处置及所相关的人</w:t>
      </w:r>
      <w:r>
        <w:rPr>
          <w:rFonts w:hint="eastAsia" w:ascii="宋体" w:hAnsi="宋体" w:eastAsia="宋体" w:cs="宋体"/>
          <w:color w:val="auto"/>
          <w:szCs w:val="21"/>
          <w:highlight w:val="none"/>
          <w:lang w:val="en-US" w:eastAsia="zh-CN"/>
        </w:rPr>
        <w:t>员</w:t>
      </w:r>
      <w:r>
        <w:rPr>
          <w:rFonts w:hint="eastAsia" w:ascii="宋体" w:hAnsi="宋体" w:eastAsia="宋体" w:cs="宋体"/>
          <w:color w:val="auto"/>
          <w:szCs w:val="21"/>
          <w:highlight w:val="none"/>
        </w:rPr>
        <w:t>、机械、材料等一切相关运维服务等。污泥的处理处置方法方式必须合法合规，不得采用国家和地方禁止、淘汰的工艺技术或方法，并体现“减量化、稳定化、无害化、资源化”的原则，在坚持“安全、环保”的原则下，实现污泥的综合利用，合法地解决污泥的最终出路。</w:t>
      </w:r>
    </w:p>
    <w:p w14:paraId="3F8CEC5F">
      <w:pPr>
        <w:keepNext w:val="0"/>
        <w:keepLines w:val="0"/>
        <w:kinsoku/>
        <w:wordWrap/>
        <w:overflowPunct/>
        <w:topLinePunct w:val="0"/>
        <w:bidi w:val="0"/>
        <w:snapToGrid w:val="0"/>
        <w:spacing w:line="360" w:lineRule="auto"/>
        <w:ind w:firstLine="411" w:firstLineChars="196"/>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本合同污泥处理处置暂定规模量为290吨/日（按80%含水率折算，50%含水率对应处理处置规模为116</w:t>
      </w:r>
      <w:r>
        <w:rPr>
          <w:rFonts w:hint="eastAsia" w:ascii="宋体" w:hAnsi="宋体" w:eastAsia="宋体" w:cs="宋体"/>
          <w:color w:val="auto"/>
          <w:szCs w:val="21"/>
          <w:highlight w:val="none"/>
          <w:lang w:eastAsia="zh-CN"/>
        </w:rPr>
        <w:t>吨/日</w:t>
      </w:r>
      <w:r>
        <w:rPr>
          <w:rFonts w:hint="eastAsia" w:ascii="宋体" w:hAnsi="宋体" w:eastAsia="宋体" w:cs="宋体"/>
          <w:color w:val="auto"/>
          <w:szCs w:val="21"/>
          <w:highlight w:val="none"/>
        </w:rPr>
        <w:t>），1年暂定处理处置量为105850吨（按80%含水率折算，50%含水率对应处理处置量为42340吨）。由于樟村水质净化厂每日实际生产负荷和进水水质情况存在差异，规模暂定量仅为暂定，实际污泥量存在波动和差异，乙方需以满足樟村水质净化厂生产要求为前提，按实际需求提供污泥处理处置服务，同时应制定完善措施方案，确保在污泥产量增加时能够及时调整处理增加能力。</w:t>
      </w:r>
    </w:p>
    <w:p w14:paraId="73DD57A0">
      <w:pPr>
        <w:keepNext w:val="0"/>
        <w:keepLines w:val="0"/>
        <w:kinsoku/>
        <w:wordWrap/>
        <w:overflowPunct/>
        <w:topLinePunct w:val="0"/>
        <w:bidi w:val="0"/>
        <w:snapToGrid w:val="0"/>
        <w:spacing w:line="360" w:lineRule="auto"/>
        <w:ind w:firstLine="411" w:firstLineChars="196"/>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上述污泥处理处置暂定量仅为便于乙方了解项目情况使用，不作为最终委托处理处置量的保证。最终按实际处理量结算，乙方不得因脱水减量化处理处置量的减少或增加而要求提供任何形式的补偿或赔偿，或要求按暂定规模或暂定量提供相应的污泥处理处置服务。</w:t>
      </w:r>
    </w:p>
    <w:p w14:paraId="34965EB1">
      <w:pPr>
        <w:keepNext w:val="0"/>
        <w:keepLines w:val="0"/>
        <w:kinsoku/>
        <w:wordWrap/>
        <w:overflowPunct/>
        <w:topLinePunct w:val="0"/>
        <w:bidi w:val="0"/>
        <w:snapToGrid w:val="0"/>
        <w:spacing w:line="360" w:lineRule="auto"/>
        <w:ind w:firstLine="411" w:firstLineChars="196"/>
        <w:textAlignment w:val="auto"/>
        <w:outlineLvl w:val="9"/>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、服务期限：本项目服务起始日期为2025年6月30日，暂定至2026年6月29日结束。</w:t>
      </w:r>
    </w:p>
    <w:p w14:paraId="0C9BFE64">
      <w:pPr>
        <w:keepNext w:val="0"/>
        <w:keepLines w:val="0"/>
        <w:kinsoku/>
        <w:wordWrap/>
        <w:overflowPunct/>
        <w:topLinePunct w:val="0"/>
        <w:bidi w:val="0"/>
        <w:snapToGrid w:val="0"/>
        <w:spacing w:line="360" w:lineRule="auto"/>
        <w:ind w:firstLine="411" w:firstLineChars="196"/>
        <w:textAlignment w:val="auto"/>
        <w:outlineLvl w:val="9"/>
        <w:rPr>
          <w:rFonts w:ascii="宋体" w:hAnsi="宋体" w:eastAsia="宋体" w:cs="宋体"/>
          <w:color w:val="auto"/>
          <w:szCs w:val="21"/>
          <w:highlight w:val="none"/>
        </w:rPr>
      </w:pPr>
      <w:bookmarkStart w:id="726" w:name="_Toc25290"/>
      <w:r>
        <w:rPr>
          <w:rFonts w:ascii="宋体" w:hAnsi="宋体" w:eastAsia="宋体" w:cs="宋体"/>
          <w:color w:val="auto"/>
          <w:szCs w:val="21"/>
          <w:highlight w:val="none"/>
        </w:rPr>
        <w:t>4</w:t>
      </w:r>
      <w:r>
        <w:rPr>
          <w:rFonts w:hint="eastAsia" w:ascii="宋体" w:hAnsi="宋体" w:eastAsia="宋体" w:cs="宋体"/>
          <w:color w:val="auto"/>
          <w:szCs w:val="21"/>
          <w:highlight w:val="none"/>
        </w:rPr>
        <w:t>、良好的服务衔接要求：</w:t>
      </w:r>
      <w:bookmarkEnd w:id="726"/>
    </w:p>
    <w:p w14:paraId="690DF141">
      <w:pPr>
        <w:keepNext w:val="0"/>
        <w:keepLines w:val="0"/>
        <w:kinsoku/>
        <w:wordWrap/>
        <w:overflowPunct/>
        <w:topLinePunct w:val="0"/>
        <w:bidi w:val="0"/>
        <w:snapToGrid w:val="0"/>
        <w:spacing w:line="360" w:lineRule="auto"/>
        <w:ind w:firstLine="411" w:firstLineChars="196"/>
        <w:textAlignment w:val="auto"/>
        <w:outlineLvl w:val="9"/>
        <w:rPr>
          <w:rFonts w:ascii="宋体" w:hAnsi="宋体" w:eastAsia="宋体" w:cs="宋体"/>
          <w:color w:val="auto"/>
          <w:szCs w:val="21"/>
          <w:highlight w:val="none"/>
        </w:rPr>
      </w:pPr>
      <w:r>
        <w:rPr>
          <w:rFonts w:ascii="宋体" w:hAnsi="宋体" w:eastAsia="宋体" w:cs="宋体"/>
          <w:color w:val="auto"/>
          <w:szCs w:val="21"/>
          <w:highlight w:val="none"/>
        </w:rPr>
        <w:t>4.1</w:t>
      </w:r>
      <w:r>
        <w:rPr>
          <w:rFonts w:hint="eastAsia" w:ascii="宋体" w:hAnsi="宋体" w:eastAsia="宋体" w:cs="宋体"/>
          <w:color w:val="auto"/>
          <w:szCs w:val="21"/>
          <w:highlight w:val="none"/>
        </w:rPr>
        <w:t>服务期开始时间为2025年6月30日，乙方需于当日起开始正常提供污泥处理处置服务，乙方需在此前做好充分准备工作。</w:t>
      </w:r>
    </w:p>
    <w:p w14:paraId="689A9DCD">
      <w:pPr>
        <w:keepNext w:val="0"/>
        <w:keepLines w:val="0"/>
        <w:kinsoku/>
        <w:wordWrap/>
        <w:overflowPunct/>
        <w:topLinePunct w:val="0"/>
        <w:bidi w:val="0"/>
        <w:snapToGrid w:val="0"/>
        <w:spacing w:line="360" w:lineRule="auto"/>
        <w:ind w:firstLine="411" w:firstLineChars="196"/>
        <w:textAlignment w:val="auto"/>
        <w:outlineLvl w:val="9"/>
        <w:rPr>
          <w:rFonts w:ascii="宋体" w:hAnsi="宋体" w:eastAsia="宋体" w:cs="宋体"/>
          <w:color w:val="auto"/>
          <w:szCs w:val="21"/>
          <w:highlight w:val="none"/>
        </w:rPr>
      </w:pPr>
      <w:r>
        <w:rPr>
          <w:rFonts w:ascii="宋体" w:hAnsi="宋体" w:eastAsia="宋体" w:cs="宋体"/>
          <w:color w:val="auto"/>
          <w:szCs w:val="21"/>
          <w:highlight w:val="none"/>
        </w:rPr>
        <w:t>4.2</w:t>
      </w:r>
      <w:r>
        <w:rPr>
          <w:rFonts w:hint="eastAsia" w:ascii="宋体" w:hAnsi="宋体" w:eastAsia="宋体" w:cs="宋体"/>
          <w:color w:val="auto"/>
          <w:szCs w:val="21"/>
          <w:highlight w:val="none"/>
        </w:rPr>
        <w:t>可能涉及到乙方需要新增污泥脱水减量化设备设施，如涉及到，乙方须做好新增污泥脱水减量化设备设施正常投运前过渡阶段的污泥处理处置服务，保障樟村水质净化厂正常生产的需要，污泥处理处置能力约290吨/日（按80%含水率折算，50%含水率对应处理处置能力为116</w:t>
      </w:r>
      <w:r>
        <w:rPr>
          <w:rFonts w:hint="eastAsia" w:ascii="宋体" w:hAnsi="宋体" w:eastAsia="宋体" w:cs="宋体"/>
          <w:color w:val="auto"/>
          <w:szCs w:val="21"/>
          <w:highlight w:val="none"/>
          <w:lang w:eastAsia="zh-CN"/>
        </w:rPr>
        <w:t>吨/日</w:t>
      </w:r>
      <w:r>
        <w:rPr>
          <w:rFonts w:hint="eastAsia" w:ascii="宋体" w:hAnsi="宋体" w:eastAsia="宋体" w:cs="宋体"/>
          <w:color w:val="auto"/>
          <w:szCs w:val="21"/>
          <w:highlight w:val="none"/>
        </w:rPr>
        <w:t>），污泥出厂含水率不高于50%；在过渡阶段乙方为保障提供正常服务，不限于提供临时移动污泥脱水减量化设备服务等方式，且污泥的处理处置方法方式须符合国家、地方相关规定。</w:t>
      </w:r>
    </w:p>
    <w:p w14:paraId="0EDDD9C2">
      <w:pPr>
        <w:keepNext w:val="0"/>
        <w:keepLines w:val="0"/>
        <w:kinsoku/>
        <w:wordWrap/>
        <w:overflowPunct/>
        <w:topLinePunct w:val="0"/>
        <w:bidi w:val="0"/>
        <w:snapToGrid w:val="0"/>
        <w:spacing w:line="360" w:lineRule="auto"/>
        <w:ind w:firstLine="411" w:firstLineChars="196"/>
        <w:textAlignment w:val="auto"/>
        <w:outlineLvl w:val="9"/>
        <w:rPr>
          <w:rFonts w:ascii="宋体" w:hAnsi="宋体" w:eastAsia="宋体" w:cs="宋体"/>
          <w:color w:val="auto"/>
          <w:szCs w:val="21"/>
          <w:highlight w:val="none"/>
        </w:rPr>
      </w:pPr>
      <w:r>
        <w:rPr>
          <w:rFonts w:ascii="宋体" w:hAnsi="宋体" w:eastAsia="宋体" w:cs="宋体"/>
          <w:color w:val="auto"/>
          <w:szCs w:val="21"/>
          <w:highlight w:val="none"/>
        </w:rPr>
        <w:t>4.3</w:t>
      </w:r>
      <w:r>
        <w:rPr>
          <w:rFonts w:hint="eastAsia" w:ascii="宋体" w:hAnsi="宋体" w:eastAsia="宋体" w:cs="宋体"/>
          <w:color w:val="auto"/>
          <w:szCs w:val="21"/>
          <w:highlight w:val="none"/>
        </w:rPr>
        <w:t xml:space="preserve">樟村水质净化厂能提供的安装污泥减量化设备设施的场所原则上为污泥脱水机房，如遇位置调整等特殊情况以甲方提供为准。本合同可能涉及到原污泥处理处置合同中原服务单位污泥减量化设备设施拆除，如乙方涉及新增安装污泥减量化设备设施，原服务单位污泥减量化设备设施拆除时间最长不超过30日，乙方新增安装污泥减量化设备设施安装完成至投运时间最长不超过30日。如涉及乙方新增安装污泥减量化设备设施的，乙方需保障在要求的时限内投运；上述时间的起算时间为2025年6月30日，乙方需保障新增设备设施在2025年8月28日（含当日）前投运。  </w:t>
      </w:r>
    </w:p>
    <w:p w14:paraId="50D35721">
      <w:pPr>
        <w:keepNext w:val="0"/>
        <w:keepLines w:val="0"/>
        <w:kinsoku/>
        <w:wordWrap/>
        <w:overflowPunct/>
        <w:topLinePunct w:val="0"/>
        <w:bidi w:val="0"/>
        <w:snapToGrid w:val="0"/>
        <w:spacing w:line="360" w:lineRule="auto"/>
        <w:ind w:firstLine="413" w:firstLineChars="196"/>
        <w:textAlignment w:val="auto"/>
        <w:outlineLvl w:val="9"/>
        <w:rPr>
          <w:rFonts w:ascii="宋体" w:hAnsi="宋体" w:eastAsia="宋体" w:cs="宋体"/>
          <w:b/>
          <w:color w:val="auto"/>
          <w:szCs w:val="21"/>
          <w:highlight w:val="none"/>
        </w:rPr>
      </w:pPr>
    </w:p>
    <w:p w14:paraId="37302A07">
      <w:pPr>
        <w:keepNext w:val="0"/>
        <w:keepLines w:val="0"/>
        <w:kinsoku/>
        <w:wordWrap/>
        <w:overflowPunct/>
        <w:topLinePunct w:val="0"/>
        <w:bidi w:val="0"/>
        <w:snapToGrid w:val="0"/>
        <w:spacing w:line="360" w:lineRule="auto"/>
        <w:ind w:firstLine="413" w:firstLineChars="196"/>
        <w:textAlignment w:val="auto"/>
        <w:outlineLvl w:val="9"/>
        <w:rPr>
          <w:rFonts w:ascii="宋体" w:hAnsi="宋体" w:eastAsia="宋体" w:cs="宋体"/>
          <w:b/>
          <w:color w:val="auto"/>
          <w:szCs w:val="21"/>
          <w:highlight w:val="none"/>
        </w:rPr>
      </w:pPr>
      <w:bookmarkStart w:id="727" w:name="_Toc23003"/>
      <w:r>
        <w:rPr>
          <w:rFonts w:hint="eastAsia" w:ascii="宋体" w:hAnsi="宋体" w:eastAsia="宋体" w:cs="宋体"/>
          <w:b/>
          <w:color w:val="auto"/>
          <w:szCs w:val="21"/>
          <w:highlight w:val="none"/>
        </w:rPr>
        <w:t xml:space="preserve">第二条 </w:t>
      </w:r>
      <w:r>
        <w:rPr>
          <w:rFonts w:hint="eastAsia" w:ascii="宋体" w:hAnsi="宋体" w:eastAsia="宋体" w:cs="宋体"/>
          <w:b/>
          <w:bCs/>
          <w:color w:val="auto"/>
          <w:szCs w:val="21"/>
          <w:highlight w:val="none"/>
        </w:rPr>
        <w:t>风险特别约定</w:t>
      </w:r>
      <w:bookmarkEnd w:id="727"/>
    </w:p>
    <w:p w14:paraId="75ADFDD3">
      <w:pPr>
        <w:keepNext w:val="0"/>
        <w:keepLines w:val="0"/>
        <w:widowControl/>
        <w:kinsoku/>
        <w:wordWrap/>
        <w:overflowPunct/>
        <w:topLinePunct w:val="0"/>
        <w:bidi w:val="0"/>
        <w:snapToGrid w:val="0"/>
        <w:spacing w:line="360" w:lineRule="auto"/>
        <w:ind w:firstLine="413" w:firstLineChars="196"/>
        <w:jc w:val="left"/>
        <w:textAlignment w:val="auto"/>
        <w:outlineLvl w:val="9"/>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乙方清楚理解并同意接受本项目具有很大的不确定性，在服务期间如发生以下情形（包括但不限于）：政府要求或樟村水质净化厂污水处理服务协议书到期导致樟村水质净化厂关停或间歇性停产、乙方提供的设施不达标或超标或因用电用地等原因导致甲方不接受乙方安装</w:t>
      </w:r>
      <w:r>
        <w:rPr>
          <w:rFonts w:hint="eastAsia" w:ascii="宋体" w:hAnsi="宋体" w:eastAsia="宋体" w:cs="宋体"/>
          <w:b/>
          <w:bCs/>
          <w:color w:val="auto"/>
          <w:szCs w:val="21"/>
          <w:highlight w:val="none"/>
          <w:lang w:val="en-US" w:eastAsia="zh-CN"/>
        </w:rPr>
        <w:t>的</w:t>
      </w:r>
      <w:r>
        <w:rPr>
          <w:rFonts w:hint="eastAsia" w:ascii="宋体" w:hAnsi="宋体" w:eastAsia="宋体" w:cs="宋体"/>
          <w:b/>
          <w:bCs/>
          <w:color w:val="auto"/>
          <w:szCs w:val="21"/>
          <w:highlight w:val="none"/>
        </w:rPr>
        <w:t>污泥脱水减量化处理设施、樟村水质净化厂不具备安装乙方的污泥脱水减量化处理设施的条件、樟村水质净化厂用地手续不完善或其他合法合规性问题被相关行政主管部门责令停止运营或叫停相关服务、以及其他非因甲方或乙方原因导致项目无法实施等情形。甲方有权单方解除本项目污泥处理处置服务合同且不需承担违约责任，乙方同意放弃向甲方追讨因合同提前终止而产生的任何费用、损失或主张任何权利和责任，乙方应立即停止相关服务、按照甲方的要求妥善撤离和处理已安装的设备、设施，并配合甲方完成合同终止后的相关善后工作，包括但不限于结算已提供的服务费用（如有）、交接相关资料等。</w:t>
      </w:r>
    </w:p>
    <w:p w14:paraId="57FB68DF">
      <w:pPr>
        <w:keepNext w:val="0"/>
        <w:keepLines w:val="0"/>
        <w:widowControl/>
        <w:kinsoku/>
        <w:wordWrap/>
        <w:overflowPunct/>
        <w:topLinePunct w:val="0"/>
        <w:bidi w:val="0"/>
        <w:ind w:firstLine="422" w:firstLineChars="200"/>
        <w:jc w:val="left"/>
        <w:textAlignment w:val="auto"/>
        <w:outlineLvl w:val="9"/>
        <w:rPr>
          <w:rFonts w:ascii="宋体" w:hAnsi="宋体" w:eastAsia="宋体" w:cs="宋体"/>
          <w:b/>
          <w:color w:val="auto"/>
          <w:szCs w:val="21"/>
          <w:highlight w:val="none"/>
        </w:rPr>
      </w:pPr>
    </w:p>
    <w:p w14:paraId="620F18E3">
      <w:pPr>
        <w:keepNext w:val="0"/>
        <w:keepLines w:val="0"/>
        <w:kinsoku/>
        <w:wordWrap/>
        <w:overflowPunct/>
        <w:topLinePunct w:val="0"/>
        <w:bidi w:val="0"/>
        <w:snapToGrid w:val="0"/>
        <w:spacing w:line="360" w:lineRule="auto"/>
        <w:ind w:firstLine="413" w:firstLineChars="196"/>
        <w:textAlignment w:val="auto"/>
        <w:outlineLvl w:val="9"/>
        <w:rPr>
          <w:rFonts w:ascii="宋体" w:hAnsi="宋体" w:eastAsia="宋体" w:cs="宋体"/>
          <w:b/>
          <w:color w:val="auto"/>
          <w:szCs w:val="21"/>
          <w:highlight w:val="none"/>
        </w:rPr>
      </w:pPr>
      <w:bookmarkStart w:id="728" w:name="_Toc19928"/>
      <w:r>
        <w:rPr>
          <w:rFonts w:hint="eastAsia" w:ascii="宋体" w:hAnsi="宋体" w:eastAsia="宋体" w:cs="宋体"/>
          <w:b/>
          <w:color w:val="auto"/>
          <w:szCs w:val="21"/>
          <w:highlight w:val="none"/>
        </w:rPr>
        <w:t>第三条 服务标准及要求</w:t>
      </w:r>
      <w:bookmarkEnd w:id="728"/>
    </w:p>
    <w:p w14:paraId="655908DD">
      <w:pPr>
        <w:keepNext w:val="0"/>
        <w:keepLines w:val="0"/>
        <w:kinsoku/>
        <w:wordWrap/>
        <w:overflowPunct/>
        <w:topLinePunct w:val="0"/>
        <w:bidi w:val="0"/>
        <w:snapToGrid w:val="0"/>
        <w:spacing w:line="360" w:lineRule="auto"/>
        <w:ind w:firstLine="411" w:firstLineChars="196"/>
        <w:textAlignment w:val="auto"/>
        <w:outlineLvl w:val="9"/>
        <w:rPr>
          <w:rFonts w:ascii="宋体" w:hAnsi="宋体" w:eastAsia="宋体" w:cs="宋体"/>
          <w:color w:val="auto"/>
          <w:szCs w:val="21"/>
          <w:highlight w:val="none"/>
        </w:rPr>
      </w:pPr>
      <w:r>
        <w:rPr>
          <w:rFonts w:ascii="宋体" w:hAnsi="宋体" w:eastAsia="宋体" w:cs="宋体"/>
          <w:color w:val="auto"/>
          <w:szCs w:val="21"/>
          <w:highlight w:val="none"/>
        </w:rPr>
        <w:t>1、污泥处理处置服务标准</w:t>
      </w:r>
    </w:p>
    <w:p w14:paraId="2A3F187F">
      <w:pPr>
        <w:keepNext w:val="0"/>
        <w:keepLines w:val="0"/>
        <w:kinsoku/>
        <w:wordWrap/>
        <w:overflowPunct/>
        <w:topLinePunct w:val="0"/>
        <w:bidi w:val="0"/>
        <w:snapToGrid w:val="0"/>
        <w:spacing w:line="360" w:lineRule="auto"/>
        <w:ind w:firstLine="411" w:firstLineChars="196"/>
        <w:textAlignment w:val="auto"/>
        <w:outlineLvl w:val="9"/>
        <w:rPr>
          <w:rFonts w:ascii="宋体" w:hAnsi="宋体" w:eastAsia="宋体" w:cs="宋体"/>
          <w:color w:val="auto"/>
          <w:szCs w:val="21"/>
          <w:highlight w:val="none"/>
        </w:rPr>
      </w:pPr>
      <w:r>
        <w:rPr>
          <w:rFonts w:ascii="宋体" w:hAnsi="宋体" w:eastAsia="宋体" w:cs="宋体"/>
          <w:color w:val="auto"/>
          <w:szCs w:val="21"/>
          <w:highlight w:val="none"/>
        </w:rPr>
        <w:t>1.1本项目污泥处理处置全过程应当严格遵守《中华人民共和国环境保护法》、《中华人民共和国固体废物污染环境防治法》、《广东省住房和城乡建设厅 广东省生态环境厅城镇生活污水处理厂污泥处理处置管理办法》、《东莞市生活污水处理厂污泥处理处置管理规定》等国家和地方相关法律、法规、规范性引用文件及技术标准，合法处理处置污泥。如本项目实施过程中有新颁布的标准或方法等，乙方应无条件按照新标准、新规范执行，同时乙方对处理处置过程和结果负责并承担一切法律责任。</w:t>
      </w:r>
    </w:p>
    <w:p w14:paraId="1254237F">
      <w:pPr>
        <w:keepNext w:val="0"/>
        <w:keepLines w:val="0"/>
        <w:kinsoku/>
        <w:wordWrap/>
        <w:overflowPunct/>
        <w:topLinePunct w:val="0"/>
        <w:bidi w:val="0"/>
        <w:snapToGrid w:val="0"/>
        <w:spacing w:line="360" w:lineRule="auto"/>
        <w:ind w:firstLine="411" w:firstLineChars="196"/>
        <w:textAlignment w:val="auto"/>
        <w:outlineLvl w:val="9"/>
        <w:rPr>
          <w:rFonts w:ascii="宋体" w:hAnsi="宋体" w:eastAsia="宋体" w:cs="宋体"/>
          <w:color w:val="auto"/>
          <w:szCs w:val="21"/>
          <w:highlight w:val="none"/>
        </w:rPr>
      </w:pPr>
      <w:r>
        <w:rPr>
          <w:rFonts w:ascii="宋体" w:hAnsi="宋体" w:eastAsia="宋体" w:cs="宋体"/>
          <w:color w:val="auto"/>
          <w:szCs w:val="21"/>
          <w:highlight w:val="none"/>
        </w:rPr>
        <w:t>1.2本项目污泥处理处置方法方式必须合法合规，不得采用国家和地方禁止、淘汰的工艺技术或方法，并体现“减量化、稳定化、无害化、资源化”的原则，在坚持“安全、环保”的原则下，实现污泥的综合利用，合法地解决污泥的最终出路。</w:t>
      </w:r>
    </w:p>
    <w:p w14:paraId="5AF13AD9">
      <w:pPr>
        <w:keepNext w:val="0"/>
        <w:keepLines w:val="0"/>
        <w:kinsoku/>
        <w:wordWrap/>
        <w:overflowPunct/>
        <w:topLinePunct w:val="0"/>
        <w:bidi w:val="0"/>
        <w:snapToGrid w:val="0"/>
        <w:spacing w:line="360" w:lineRule="auto"/>
        <w:ind w:firstLine="411" w:firstLineChars="196"/>
        <w:textAlignment w:val="auto"/>
        <w:outlineLvl w:val="9"/>
        <w:rPr>
          <w:rFonts w:ascii="宋体" w:hAnsi="宋体" w:eastAsia="宋体" w:cs="宋体"/>
          <w:color w:val="auto"/>
          <w:szCs w:val="21"/>
          <w:highlight w:val="none"/>
        </w:rPr>
      </w:pPr>
      <w:r>
        <w:rPr>
          <w:rFonts w:ascii="宋体" w:hAnsi="宋体" w:eastAsia="宋体" w:cs="宋体"/>
          <w:color w:val="auto"/>
          <w:szCs w:val="21"/>
          <w:highlight w:val="none"/>
        </w:rPr>
        <w:t>1.3本项目污泥处理处置能力不得少于290吨/日（按80%含水率折算</w:t>
      </w:r>
      <w:r>
        <w:rPr>
          <w:rFonts w:hint="eastAsia" w:ascii="宋体" w:hAnsi="宋体" w:eastAsia="宋体" w:cs="宋体"/>
          <w:color w:val="auto"/>
          <w:szCs w:val="21"/>
          <w:highlight w:val="none"/>
        </w:rPr>
        <w:t>，50%含水率对应处理处置能力为116</w:t>
      </w:r>
      <w:r>
        <w:rPr>
          <w:rFonts w:hint="eastAsia" w:ascii="宋体" w:hAnsi="宋体" w:eastAsia="宋体" w:cs="宋体"/>
          <w:color w:val="auto"/>
          <w:szCs w:val="21"/>
          <w:highlight w:val="none"/>
          <w:lang w:eastAsia="zh-CN"/>
        </w:rPr>
        <w:t>吨/日</w:t>
      </w:r>
      <w:r>
        <w:rPr>
          <w:rFonts w:ascii="宋体" w:hAnsi="宋体" w:eastAsia="宋体" w:cs="宋体"/>
          <w:color w:val="auto"/>
          <w:szCs w:val="21"/>
          <w:highlight w:val="none"/>
        </w:rPr>
        <w:t>），将樟村水质净化厂污泥浓缩池抽取的污泥脱水减量至含水率不高于50%的半干化泥粉（泥块），保障不间断的接</w:t>
      </w:r>
      <w:r>
        <w:rPr>
          <w:rFonts w:hint="eastAsia" w:ascii="宋体" w:hAnsi="宋体" w:eastAsia="宋体" w:cs="宋体"/>
          <w:color w:val="auto"/>
          <w:szCs w:val="21"/>
          <w:highlight w:val="none"/>
          <w:lang w:val="en-US" w:eastAsia="zh-CN"/>
        </w:rPr>
        <w:t>收</w:t>
      </w:r>
      <w:r>
        <w:rPr>
          <w:rFonts w:ascii="宋体" w:hAnsi="宋体" w:eastAsia="宋体" w:cs="宋体"/>
          <w:color w:val="auto"/>
          <w:szCs w:val="21"/>
          <w:highlight w:val="none"/>
        </w:rPr>
        <w:t>处理并安全处置，不造成二次污染。若因污泥处理处置能力不足，导致樟村水质净化厂减产或停产，乙方需赔偿全部损失，并依法承担因此造成环境事件的法律责任。</w:t>
      </w:r>
    </w:p>
    <w:p w14:paraId="5E6DB956">
      <w:pPr>
        <w:keepNext w:val="0"/>
        <w:keepLines w:val="0"/>
        <w:kinsoku/>
        <w:wordWrap/>
        <w:overflowPunct/>
        <w:topLinePunct w:val="0"/>
        <w:bidi w:val="0"/>
        <w:snapToGrid w:val="0"/>
        <w:spacing w:line="360" w:lineRule="auto"/>
        <w:ind w:firstLine="411" w:firstLineChars="196"/>
        <w:textAlignment w:val="auto"/>
        <w:outlineLvl w:val="9"/>
        <w:rPr>
          <w:rFonts w:ascii="宋体" w:hAnsi="宋体" w:eastAsia="宋体" w:cs="宋体"/>
          <w:color w:val="auto"/>
          <w:szCs w:val="21"/>
          <w:highlight w:val="none"/>
        </w:rPr>
      </w:pPr>
      <w:r>
        <w:rPr>
          <w:rFonts w:ascii="宋体" w:hAnsi="宋体" w:eastAsia="宋体" w:cs="宋体"/>
          <w:color w:val="auto"/>
          <w:szCs w:val="21"/>
          <w:highlight w:val="none"/>
        </w:rPr>
        <w:t>1.4 污泥脱水剂调理剂要求</w:t>
      </w:r>
    </w:p>
    <w:p w14:paraId="6A38E58B">
      <w:pPr>
        <w:keepNext w:val="0"/>
        <w:keepLines w:val="0"/>
        <w:kinsoku/>
        <w:wordWrap/>
        <w:overflowPunct/>
        <w:topLinePunct w:val="0"/>
        <w:bidi w:val="0"/>
        <w:snapToGrid w:val="0"/>
        <w:spacing w:line="360" w:lineRule="auto"/>
        <w:ind w:firstLine="411" w:firstLineChars="196"/>
        <w:textAlignment w:val="auto"/>
        <w:outlineLvl w:val="9"/>
        <w:rPr>
          <w:rFonts w:ascii="宋体" w:hAnsi="宋体" w:eastAsia="宋体" w:cs="宋体"/>
          <w:color w:val="auto"/>
          <w:szCs w:val="21"/>
          <w:highlight w:val="none"/>
        </w:rPr>
      </w:pPr>
      <w:r>
        <w:rPr>
          <w:rFonts w:ascii="宋体" w:hAnsi="宋体" w:eastAsia="宋体" w:cs="宋体"/>
          <w:color w:val="auto"/>
          <w:szCs w:val="21"/>
          <w:highlight w:val="none"/>
        </w:rPr>
        <w:t>1.4.1为保证污泥减量效果，本采购项目不允许添加石灰以及含石灰的调理剂。用于污泥减量化的调理剂干固体质量不得超过处理污泥干固体总质量的5%。</w:t>
      </w:r>
    </w:p>
    <w:p w14:paraId="20B1350D">
      <w:pPr>
        <w:keepNext w:val="0"/>
        <w:keepLines w:val="0"/>
        <w:kinsoku/>
        <w:wordWrap/>
        <w:overflowPunct/>
        <w:topLinePunct w:val="0"/>
        <w:bidi w:val="0"/>
        <w:snapToGrid w:val="0"/>
        <w:spacing w:line="360" w:lineRule="auto"/>
        <w:ind w:firstLine="411" w:firstLineChars="196"/>
        <w:textAlignment w:val="auto"/>
        <w:outlineLvl w:val="9"/>
        <w:rPr>
          <w:rFonts w:ascii="宋体" w:hAnsi="宋体" w:eastAsia="宋体" w:cs="宋体"/>
          <w:color w:val="auto"/>
          <w:szCs w:val="21"/>
          <w:highlight w:val="none"/>
        </w:rPr>
      </w:pPr>
      <w:r>
        <w:rPr>
          <w:rFonts w:ascii="宋体" w:hAnsi="宋体" w:eastAsia="宋体" w:cs="宋体"/>
          <w:color w:val="auto"/>
          <w:szCs w:val="21"/>
          <w:highlight w:val="none"/>
        </w:rPr>
        <w:t>1.4.2乙方需做好调理剂等添加药剂的出入库单（或进出场记录）或用量记录，定期提供给甲方，以备各级政府主管部门检查、核查。</w:t>
      </w:r>
    </w:p>
    <w:p w14:paraId="0D32E50F">
      <w:pPr>
        <w:keepNext w:val="0"/>
        <w:keepLines w:val="0"/>
        <w:kinsoku/>
        <w:wordWrap/>
        <w:overflowPunct/>
        <w:topLinePunct w:val="0"/>
        <w:bidi w:val="0"/>
        <w:snapToGrid w:val="0"/>
        <w:spacing w:line="360" w:lineRule="auto"/>
        <w:ind w:firstLine="411" w:firstLineChars="196"/>
        <w:textAlignment w:val="auto"/>
        <w:outlineLvl w:val="9"/>
        <w:rPr>
          <w:rFonts w:ascii="宋体" w:hAnsi="宋体" w:eastAsia="宋体" w:cs="宋体"/>
          <w:color w:val="auto"/>
          <w:szCs w:val="21"/>
          <w:highlight w:val="none"/>
        </w:rPr>
      </w:pPr>
      <w:r>
        <w:rPr>
          <w:rFonts w:ascii="宋体" w:hAnsi="宋体" w:eastAsia="宋体" w:cs="宋体"/>
          <w:color w:val="auto"/>
          <w:szCs w:val="21"/>
          <w:highlight w:val="none"/>
        </w:rPr>
        <w:t>1.5处理配套设施排放要求</w:t>
      </w:r>
    </w:p>
    <w:p w14:paraId="5B1EB200">
      <w:pPr>
        <w:keepNext w:val="0"/>
        <w:keepLines w:val="0"/>
        <w:kinsoku/>
        <w:wordWrap/>
        <w:overflowPunct/>
        <w:topLinePunct w:val="0"/>
        <w:bidi w:val="0"/>
        <w:snapToGrid w:val="0"/>
        <w:spacing w:line="360" w:lineRule="auto"/>
        <w:ind w:firstLine="411" w:firstLineChars="196"/>
        <w:textAlignment w:val="auto"/>
        <w:outlineLvl w:val="9"/>
        <w:rPr>
          <w:rFonts w:ascii="宋体" w:hAnsi="宋体" w:eastAsia="宋体" w:cs="宋体"/>
          <w:color w:val="auto"/>
          <w:szCs w:val="21"/>
          <w:highlight w:val="none"/>
        </w:rPr>
      </w:pPr>
      <w:r>
        <w:rPr>
          <w:rFonts w:ascii="宋体" w:hAnsi="宋体" w:eastAsia="宋体" w:cs="宋体"/>
          <w:color w:val="auto"/>
          <w:szCs w:val="21"/>
          <w:highlight w:val="none"/>
        </w:rPr>
        <w:t>1.5.1厂内污泥减量化处理过程中产生的废水须达标排放，废水达到广东省《水污染物排放限值》(DB44/26-2001)第二时段三级标及《污水排入城镇下水道水质标准》(GB/T 31962-2015)B级标准的较严值，且不得对樟村水质净化厂生产造成任何不利影响，若废水排放未达到上述标准或对樟村水质净化厂生产造成影响，乙方负责制定整改方案并限期完成整改工作，产生的相关费用由乙方自行承担，同时由此给甲方造成损失的，乙方应当承担全部赔偿责任。</w:t>
      </w:r>
    </w:p>
    <w:p w14:paraId="3C894B52">
      <w:pPr>
        <w:keepNext w:val="0"/>
        <w:keepLines w:val="0"/>
        <w:kinsoku/>
        <w:wordWrap/>
        <w:overflowPunct/>
        <w:topLinePunct w:val="0"/>
        <w:bidi w:val="0"/>
        <w:snapToGrid w:val="0"/>
        <w:spacing w:line="360" w:lineRule="auto"/>
        <w:ind w:firstLine="411" w:firstLineChars="196"/>
        <w:textAlignment w:val="auto"/>
        <w:outlineLvl w:val="9"/>
        <w:rPr>
          <w:rFonts w:ascii="宋体" w:hAnsi="宋体" w:eastAsia="宋体" w:cs="宋体"/>
          <w:color w:val="auto"/>
          <w:szCs w:val="21"/>
          <w:highlight w:val="none"/>
        </w:rPr>
      </w:pPr>
      <w:r>
        <w:rPr>
          <w:rFonts w:ascii="宋体" w:hAnsi="宋体" w:eastAsia="宋体" w:cs="宋体"/>
          <w:color w:val="auto"/>
          <w:szCs w:val="21"/>
          <w:highlight w:val="none"/>
        </w:rPr>
        <w:t>1.5.2乙方应确保</w:t>
      </w:r>
      <w:r>
        <w:rPr>
          <w:rFonts w:hint="eastAsia" w:ascii="宋体" w:hAnsi="宋体" w:eastAsia="宋体" w:cs="宋体"/>
          <w:color w:val="auto"/>
          <w:szCs w:val="21"/>
          <w:highlight w:val="none"/>
        </w:rPr>
        <w:t>厂内</w:t>
      </w:r>
      <w:r>
        <w:rPr>
          <w:rFonts w:ascii="宋体" w:hAnsi="宋体" w:eastAsia="宋体" w:cs="宋体"/>
          <w:color w:val="auto"/>
          <w:szCs w:val="21"/>
          <w:highlight w:val="none"/>
        </w:rPr>
        <w:t>减量处理</w:t>
      </w:r>
      <w:r>
        <w:rPr>
          <w:rFonts w:hint="eastAsia" w:ascii="宋体" w:hAnsi="宋体" w:eastAsia="宋体" w:cs="宋体"/>
          <w:color w:val="auto"/>
          <w:szCs w:val="21"/>
          <w:highlight w:val="none"/>
        </w:rPr>
        <w:t>过程</w:t>
      </w:r>
      <w:r>
        <w:rPr>
          <w:rFonts w:ascii="宋体" w:hAnsi="宋体" w:eastAsia="宋体" w:cs="宋体"/>
          <w:color w:val="auto"/>
          <w:szCs w:val="21"/>
          <w:highlight w:val="none"/>
        </w:rPr>
        <w:t>产生的臭气、噪声不引起投诉。如出现相关投诉或被行政主管部门通知整改时，由乙方负责制定整改方案并限期完成整改工作，产生的相关费用由乙方自行承担。</w:t>
      </w:r>
    </w:p>
    <w:p w14:paraId="01ED0504">
      <w:pPr>
        <w:keepNext w:val="0"/>
        <w:keepLines w:val="0"/>
        <w:kinsoku/>
        <w:wordWrap/>
        <w:overflowPunct/>
        <w:topLinePunct w:val="0"/>
        <w:bidi w:val="0"/>
        <w:snapToGrid w:val="0"/>
        <w:spacing w:line="360" w:lineRule="auto"/>
        <w:ind w:firstLine="411" w:firstLineChars="196"/>
        <w:textAlignment w:val="auto"/>
        <w:outlineLvl w:val="9"/>
        <w:rPr>
          <w:rFonts w:ascii="宋体" w:hAnsi="宋体" w:eastAsia="宋体" w:cs="宋体"/>
          <w:color w:val="auto"/>
          <w:szCs w:val="21"/>
          <w:highlight w:val="none"/>
        </w:rPr>
      </w:pPr>
      <w:r>
        <w:rPr>
          <w:rFonts w:ascii="宋体" w:hAnsi="宋体" w:eastAsia="宋体" w:cs="宋体"/>
          <w:color w:val="auto"/>
          <w:szCs w:val="21"/>
          <w:highlight w:val="none"/>
        </w:rPr>
        <w:t>1.5.3在国家、广东省以及东莞市的相关环保标准调整时，项目执行的排放标准相应进行调整。</w:t>
      </w:r>
    </w:p>
    <w:p w14:paraId="49EE09A4">
      <w:pPr>
        <w:keepNext w:val="0"/>
        <w:keepLines w:val="0"/>
        <w:kinsoku/>
        <w:wordWrap/>
        <w:overflowPunct/>
        <w:topLinePunct w:val="0"/>
        <w:bidi w:val="0"/>
        <w:snapToGrid w:val="0"/>
        <w:spacing w:line="360" w:lineRule="auto"/>
        <w:ind w:firstLine="411" w:firstLineChars="196"/>
        <w:textAlignment w:val="auto"/>
        <w:outlineLvl w:val="9"/>
        <w:rPr>
          <w:rFonts w:ascii="宋体" w:hAnsi="宋体" w:eastAsia="宋体" w:cs="宋体"/>
          <w:color w:val="auto"/>
          <w:szCs w:val="21"/>
          <w:highlight w:val="none"/>
        </w:rPr>
      </w:pPr>
      <w:r>
        <w:rPr>
          <w:rFonts w:ascii="宋体" w:hAnsi="宋体" w:eastAsia="宋体" w:cs="宋体"/>
          <w:color w:val="auto"/>
          <w:szCs w:val="21"/>
          <w:highlight w:val="none"/>
        </w:rPr>
        <w:t>1.6乙方需按照东莞市生态环境局相关要求配合做好污泥处理处置手续工作。</w:t>
      </w:r>
    </w:p>
    <w:p w14:paraId="3C22DA9C">
      <w:pPr>
        <w:keepNext w:val="0"/>
        <w:keepLines w:val="0"/>
        <w:kinsoku/>
        <w:wordWrap/>
        <w:overflowPunct/>
        <w:topLinePunct w:val="0"/>
        <w:bidi w:val="0"/>
        <w:snapToGrid w:val="0"/>
        <w:spacing w:line="360" w:lineRule="auto"/>
        <w:ind w:firstLine="411" w:firstLineChars="196"/>
        <w:textAlignment w:val="auto"/>
        <w:outlineLvl w:val="9"/>
        <w:rPr>
          <w:rFonts w:ascii="宋体" w:hAnsi="宋体" w:eastAsia="宋体" w:cs="宋体"/>
          <w:color w:val="auto"/>
          <w:szCs w:val="21"/>
          <w:highlight w:val="none"/>
        </w:rPr>
      </w:pPr>
      <w:r>
        <w:rPr>
          <w:rFonts w:ascii="宋体" w:hAnsi="宋体" w:eastAsia="宋体" w:cs="宋体"/>
          <w:color w:val="auto"/>
          <w:szCs w:val="21"/>
          <w:highlight w:val="none"/>
        </w:rPr>
        <w:t>2、服务要求</w:t>
      </w:r>
    </w:p>
    <w:p w14:paraId="6581C34F">
      <w:pPr>
        <w:keepNext w:val="0"/>
        <w:keepLines w:val="0"/>
        <w:kinsoku/>
        <w:wordWrap/>
        <w:overflowPunct/>
        <w:topLinePunct w:val="0"/>
        <w:bidi w:val="0"/>
        <w:snapToGrid w:val="0"/>
        <w:spacing w:line="360" w:lineRule="auto"/>
        <w:ind w:firstLine="411" w:firstLineChars="196"/>
        <w:textAlignment w:val="auto"/>
        <w:outlineLvl w:val="9"/>
        <w:rPr>
          <w:rFonts w:ascii="宋体" w:hAnsi="宋体" w:eastAsia="宋体" w:cs="宋体"/>
          <w:color w:val="auto"/>
          <w:szCs w:val="21"/>
          <w:highlight w:val="none"/>
        </w:rPr>
      </w:pPr>
      <w:r>
        <w:rPr>
          <w:rFonts w:ascii="宋体" w:hAnsi="宋体" w:eastAsia="宋体" w:cs="宋体"/>
          <w:color w:val="auto"/>
          <w:szCs w:val="21"/>
          <w:highlight w:val="none"/>
        </w:rPr>
        <w:t>2.1乙方负责污泥脱水减量化服务所涉及的全部设备设施的管理、维护及维修工作，并承担相应的费用。甲方负责将污泥输送至污泥浓缩池，浓缩池及后端设备设施的运维由乙方统一负责。</w:t>
      </w:r>
    </w:p>
    <w:p w14:paraId="66591559">
      <w:pPr>
        <w:keepNext w:val="0"/>
        <w:keepLines w:val="0"/>
        <w:kinsoku/>
        <w:wordWrap/>
        <w:overflowPunct/>
        <w:topLinePunct w:val="0"/>
        <w:bidi w:val="0"/>
        <w:snapToGrid w:val="0"/>
        <w:spacing w:line="360" w:lineRule="auto"/>
        <w:ind w:firstLine="411" w:firstLineChars="196"/>
        <w:textAlignment w:val="auto"/>
        <w:outlineLvl w:val="9"/>
        <w:rPr>
          <w:rFonts w:ascii="宋体" w:hAnsi="宋体" w:eastAsia="宋体" w:cs="宋体"/>
          <w:color w:val="auto"/>
          <w:szCs w:val="21"/>
          <w:highlight w:val="none"/>
        </w:rPr>
      </w:pPr>
      <w:r>
        <w:rPr>
          <w:rFonts w:ascii="宋体" w:hAnsi="宋体" w:eastAsia="宋体" w:cs="宋体"/>
          <w:color w:val="auto"/>
          <w:szCs w:val="21"/>
          <w:highlight w:val="none"/>
        </w:rPr>
        <w:t>2.2服务期间如涉及“三通一平”及所需的相关主管部门审批手续均由乙方自主负责，若涉及总配电系统、供水管网、供气管网等设施设备改造或加装，所有费用亦由乙方承担，甲方予以配合。</w:t>
      </w:r>
    </w:p>
    <w:p w14:paraId="227E90D4">
      <w:pPr>
        <w:keepNext w:val="0"/>
        <w:keepLines w:val="0"/>
        <w:kinsoku/>
        <w:wordWrap/>
        <w:overflowPunct/>
        <w:topLinePunct w:val="0"/>
        <w:bidi w:val="0"/>
        <w:snapToGrid w:val="0"/>
        <w:spacing w:line="360" w:lineRule="auto"/>
        <w:ind w:firstLine="411" w:firstLineChars="196"/>
        <w:textAlignment w:val="auto"/>
        <w:outlineLvl w:val="9"/>
        <w:rPr>
          <w:rFonts w:ascii="宋体" w:hAnsi="宋体" w:eastAsia="宋体" w:cs="宋体"/>
          <w:color w:val="auto"/>
          <w:szCs w:val="21"/>
          <w:highlight w:val="none"/>
        </w:rPr>
      </w:pPr>
      <w:r>
        <w:rPr>
          <w:rFonts w:ascii="宋体" w:hAnsi="宋体" w:eastAsia="宋体" w:cs="宋体"/>
          <w:color w:val="auto"/>
          <w:szCs w:val="21"/>
          <w:highlight w:val="none"/>
        </w:rPr>
        <w:t>2.3如乙方对水质净化厂原有道路、绿化等造成损坏，需在甲方限期内恢复原状并承担一切费用。</w:t>
      </w:r>
    </w:p>
    <w:p w14:paraId="04E13A1B">
      <w:pPr>
        <w:keepNext w:val="0"/>
        <w:keepLines w:val="0"/>
        <w:kinsoku/>
        <w:wordWrap/>
        <w:overflowPunct/>
        <w:topLinePunct w:val="0"/>
        <w:bidi w:val="0"/>
        <w:snapToGrid w:val="0"/>
        <w:spacing w:line="360" w:lineRule="auto"/>
        <w:ind w:firstLine="411" w:firstLineChars="196"/>
        <w:textAlignment w:val="auto"/>
        <w:outlineLvl w:val="9"/>
        <w:rPr>
          <w:rFonts w:ascii="宋体" w:hAnsi="宋体" w:eastAsia="宋体" w:cs="宋体"/>
          <w:color w:val="auto"/>
          <w:szCs w:val="21"/>
          <w:highlight w:val="none"/>
        </w:rPr>
      </w:pPr>
      <w:r>
        <w:rPr>
          <w:rFonts w:ascii="宋体" w:hAnsi="宋体" w:eastAsia="宋体" w:cs="宋体"/>
          <w:color w:val="auto"/>
          <w:szCs w:val="21"/>
          <w:highlight w:val="none"/>
        </w:rPr>
        <w:t>2.4乙方本项目服务团队应设置项目负责人、技术人员、运维人员等并细化各岗位职责。</w:t>
      </w:r>
    </w:p>
    <w:p w14:paraId="5E0343E1">
      <w:pPr>
        <w:keepNext w:val="0"/>
        <w:keepLines w:val="0"/>
        <w:kinsoku/>
        <w:wordWrap/>
        <w:overflowPunct/>
        <w:topLinePunct w:val="0"/>
        <w:bidi w:val="0"/>
        <w:snapToGrid w:val="0"/>
        <w:spacing w:line="360" w:lineRule="auto"/>
        <w:ind w:firstLine="411" w:firstLineChars="196"/>
        <w:textAlignment w:val="auto"/>
        <w:outlineLvl w:val="9"/>
        <w:rPr>
          <w:rFonts w:ascii="宋体" w:hAnsi="宋体" w:eastAsia="宋体" w:cs="宋体"/>
          <w:color w:val="auto"/>
          <w:szCs w:val="21"/>
          <w:highlight w:val="none"/>
        </w:rPr>
      </w:pPr>
      <w:r>
        <w:rPr>
          <w:rFonts w:ascii="宋体" w:hAnsi="宋体" w:eastAsia="宋体" w:cs="宋体"/>
          <w:color w:val="auto"/>
          <w:szCs w:val="21"/>
          <w:highlight w:val="none"/>
        </w:rPr>
        <w:t>2.5乙方在水质净化厂内的一切活动均须服从甲方的管理要求，乙方的所有工作人员须遵守甲方的安全生产管理制度，未经甲方同意，不能进入与运营无关的区域，不得影响甲方的办公、生产、生活等。乙方管理人员、车辆、机械等进出水质净化厂须服从甲方的管理规定，并佩戴乙方的工作牌，对不服从管理的人员，甲方有权拒绝其进入。</w:t>
      </w:r>
    </w:p>
    <w:p w14:paraId="39D57111">
      <w:pPr>
        <w:keepNext w:val="0"/>
        <w:keepLines w:val="0"/>
        <w:kinsoku/>
        <w:wordWrap/>
        <w:overflowPunct/>
        <w:topLinePunct w:val="0"/>
        <w:bidi w:val="0"/>
        <w:snapToGrid w:val="0"/>
        <w:spacing w:line="360" w:lineRule="auto"/>
        <w:ind w:firstLine="411" w:firstLineChars="196"/>
        <w:textAlignment w:val="auto"/>
        <w:outlineLvl w:val="9"/>
        <w:rPr>
          <w:rFonts w:ascii="宋体" w:hAnsi="宋体" w:eastAsia="宋体" w:cs="宋体"/>
          <w:color w:val="auto"/>
          <w:szCs w:val="21"/>
          <w:highlight w:val="none"/>
        </w:rPr>
      </w:pPr>
      <w:r>
        <w:rPr>
          <w:rFonts w:ascii="宋体" w:hAnsi="宋体" w:eastAsia="宋体" w:cs="宋体"/>
          <w:color w:val="auto"/>
          <w:szCs w:val="21"/>
          <w:highlight w:val="none"/>
        </w:rPr>
        <w:t>2.6乙方需协助甲方做好各级政府主管部门的参观检查工作，同时甲方及其上级主管部门有权随时检查乙方的贮存和处理情况，有权对各种泥样、水样进行取样检测、分析。</w:t>
      </w:r>
    </w:p>
    <w:p w14:paraId="7EA7EBFE">
      <w:pPr>
        <w:keepNext w:val="0"/>
        <w:keepLines w:val="0"/>
        <w:kinsoku/>
        <w:wordWrap/>
        <w:overflowPunct/>
        <w:topLinePunct w:val="0"/>
        <w:bidi w:val="0"/>
        <w:snapToGrid w:val="0"/>
        <w:spacing w:line="360" w:lineRule="auto"/>
        <w:ind w:firstLine="411" w:firstLineChars="196"/>
        <w:textAlignment w:val="auto"/>
        <w:outlineLvl w:val="9"/>
        <w:rPr>
          <w:rFonts w:ascii="宋体" w:hAnsi="宋体" w:eastAsia="宋体" w:cs="宋体"/>
          <w:color w:val="auto"/>
          <w:szCs w:val="21"/>
          <w:highlight w:val="none"/>
        </w:rPr>
      </w:pPr>
      <w:r>
        <w:rPr>
          <w:rFonts w:ascii="宋体" w:hAnsi="宋体" w:eastAsia="宋体" w:cs="宋体"/>
          <w:color w:val="auto"/>
          <w:szCs w:val="21"/>
          <w:highlight w:val="none"/>
        </w:rPr>
        <w:t>2.7乙方应规范作业人员、完善监管作业体系、健全管理制度，为甲方进行污泥处理处置全过程监管提供便利和协助，对污泥处理处置情况进行登记，建立《污泥台账》(具体格式由乙方自定)，《污泥台账》内容应包括但不限于：药剂使用量、设备维护维修情况、污泥含水率、污泥转移重量、交接时间、处置方法、处置情况、最终去向以及经办人签名等信息。为便利甲方监管，乙方需及时向甲方提交项目《污泥台账》并持续更新内容建立台账信息，相关资料保存时间为至少5年。</w:t>
      </w:r>
    </w:p>
    <w:p w14:paraId="098F292D">
      <w:pPr>
        <w:keepNext w:val="0"/>
        <w:keepLines w:val="0"/>
        <w:kinsoku/>
        <w:wordWrap/>
        <w:overflowPunct/>
        <w:topLinePunct w:val="0"/>
        <w:bidi w:val="0"/>
        <w:snapToGrid w:val="0"/>
        <w:spacing w:line="360" w:lineRule="auto"/>
        <w:ind w:firstLine="411" w:firstLineChars="196"/>
        <w:textAlignment w:val="auto"/>
        <w:outlineLvl w:val="9"/>
        <w:rPr>
          <w:rFonts w:ascii="宋体" w:hAnsi="宋体" w:eastAsia="宋体" w:cs="宋体"/>
          <w:color w:val="auto"/>
          <w:szCs w:val="21"/>
          <w:highlight w:val="none"/>
        </w:rPr>
      </w:pPr>
      <w:r>
        <w:rPr>
          <w:rFonts w:ascii="宋体" w:hAnsi="宋体" w:eastAsia="宋体" w:cs="宋体"/>
          <w:color w:val="auto"/>
          <w:szCs w:val="21"/>
          <w:highlight w:val="none"/>
        </w:rPr>
        <w:t>2.8乙方应按甲方的要求连续不间断的接收处理处置污泥。如果需对污泥处理设备设施进行维护保养等可预见性的停产，乙方应提前3个工作日书面向甲方申请并经甲方同意后方可停产。如果发生任何计划外停产时，乙方应立即通知甲方，并即时采取有效的补救措施，确保停产期间污泥能够得到妥善处理处置，且需在停产后的3日内向甲方提交书面的情况说明。</w:t>
      </w:r>
    </w:p>
    <w:p w14:paraId="314520B4">
      <w:pPr>
        <w:keepNext w:val="0"/>
        <w:keepLines w:val="0"/>
        <w:kinsoku/>
        <w:wordWrap/>
        <w:overflowPunct/>
        <w:topLinePunct w:val="0"/>
        <w:bidi w:val="0"/>
        <w:snapToGrid w:val="0"/>
        <w:spacing w:line="360" w:lineRule="auto"/>
        <w:ind w:firstLine="411" w:firstLineChars="196"/>
        <w:textAlignment w:val="auto"/>
        <w:outlineLvl w:val="9"/>
        <w:rPr>
          <w:rFonts w:ascii="宋体" w:hAnsi="宋体" w:eastAsia="宋体" w:cs="宋体"/>
          <w:color w:val="auto"/>
          <w:szCs w:val="21"/>
          <w:highlight w:val="none"/>
        </w:rPr>
      </w:pPr>
      <w:r>
        <w:rPr>
          <w:rFonts w:ascii="宋体" w:hAnsi="宋体" w:eastAsia="宋体" w:cs="宋体"/>
          <w:color w:val="auto"/>
          <w:szCs w:val="21"/>
          <w:highlight w:val="none"/>
        </w:rPr>
        <w:t>2.9乙方必须采取有效的措施对污泥运输过程进行监督，防止造成二次污染。在污泥运输过程中不得进行中间装卸操作，严禁将污泥在集中减量化处理场所、处置场所以外进行中转存放或堆放（紧急情况下经甲方书面同意的临时应急暂存除外），严禁将未经处置的污泥违规偷倒、丢弃、填埋。</w:t>
      </w:r>
    </w:p>
    <w:p w14:paraId="029C93AB">
      <w:pPr>
        <w:keepNext w:val="0"/>
        <w:keepLines w:val="0"/>
        <w:kinsoku/>
        <w:wordWrap/>
        <w:overflowPunct/>
        <w:topLinePunct w:val="0"/>
        <w:bidi w:val="0"/>
        <w:snapToGrid w:val="0"/>
        <w:spacing w:line="360" w:lineRule="auto"/>
        <w:ind w:firstLine="411" w:firstLineChars="196"/>
        <w:textAlignment w:val="auto"/>
        <w:outlineLvl w:val="9"/>
        <w:rPr>
          <w:rFonts w:ascii="宋体" w:hAnsi="宋体" w:eastAsia="宋体" w:cs="宋体"/>
          <w:color w:val="auto"/>
          <w:szCs w:val="21"/>
          <w:highlight w:val="none"/>
        </w:rPr>
      </w:pPr>
      <w:r>
        <w:rPr>
          <w:rFonts w:ascii="宋体" w:hAnsi="宋体" w:eastAsia="宋体" w:cs="宋体"/>
          <w:color w:val="auto"/>
          <w:szCs w:val="21"/>
          <w:highlight w:val="none"/>
        </w:rPr>
        <w:t>2.10乙方应严格执行《中华人民共和国安全生产法》、《企业安全生产标准化基本规范》（GB/T 33000-2016）等国家和地方有关安全生产和劳动保护的规范和标准，并遵守甲方的安全生产管理制度以及《安全生产管理协议》，建立完善的安全生产和劳动保护体系，制定与污泥安全处理处置有关的规章制度、污泥安全监督管理实施方案和突发事故等安全生产应急预防方案，并向甲方报备，发生污泥流失、泄漏等事故时，乙方应当立即采取紧急处理措施，并及时向甲方和相关行政主管部门报告。乙方须在合同履行期间保证安全与卫生设施</w:t>
      </w:r>
      <w:r>
        <w:rPr>
          <w:rFonts w:hint="eastAsia" w:ascii="宋体" w:hAnsi="宋体" w:eastAsia="宋体" w:cs="宋体"/>
          <w:color w:val="auto"/>
          <w:szCs w:val="21"/>
          <w:highlight w:val="none"/>
        </w:rPr>
        <w:t>随项目主体同时投入使用，并制定相应的操作规程。</w:t>
      </w:r>
    </w:p>
    <w:p w14:paraId="2FA93923">
      <w:pPr>
        <w:keepNext w:val="0"/>
        <w:keepLines w:val="0"/>
        <w:kinsoku/>
        <w:wordWrap/>
        <w:overflowPunct/>
        <w:topLinePunct w:val="0"/>
        <w:bidi w:val="0"/>
        <w:snapToGrid w:val="0"/>
        <w:spacing w:line="360" w:lineRule="auto"/>
        <w:ind w:firstLine="411" w:firstLineChars="196"/>
        <w:textAlignment w:val="auto"/>
        <w:outlineLvl w:val="9"/>
        <w:rPr>
          <w:rFonts w:ascii="宋体" w:hAnsi="宋体" w:eastAsia="宋体" w:cs="宋体"/>
          <w:color w:val="auto"/>
          <w:szCs w:val="21"/>
          <w:highlight w:val="none"/>
        </w:rPr>
      </w:pPr>
      <w:r>
        <w:rPr>
          <w:rFonts w:ascii="宋体" w:hAnsi="宋体" w:eastAsia="宋体" w:cs="宋体"/>
          <w:color w:val="auto"/>
          <w:szCs w:val="21"/>
          <w:highlight w:val="none"/>
        </w:rPr>
        <w:t>2.11如因乙方安全生产设备、措施、操作规程、环保设备设施、劳动保护条件等不符合规范要求或标准，导致安全生产事故/造成人身损害或财产损失的，由乙方自行承担全部责任和后果，如因此给甲方造成损失的，乙方承担全部赔偿责任。</w:t>
      </w:r>
    </w:p>
    <w:p w14:paraId="50C12EC6">
      <w:pPr>
        <w:keepNext w:val="0"/>
        <w:keepLines w:val="0"/>
        <w:kinsoku/>
        <w:wordWrap/>
        <w:overflowPunct/>
        <w:topLinePunct w:val="0"/>
        <w:bidi w:val="0"/>
        <w:snapToGrid w:val="0"/>
        <w:spacing w:line="360" w:lineRule="auto"/>
        <w:ind w:firstLine="411" w:firstLineChars="196"/>
        <w:textAlignment w:val="auto"/>
        <w:outlineLvl w:val="9"/>
        <w:rPr>
          <w:rFonts w:ascii="宋体" w:hAnsi="宋体" w:eastAsia="宋体" w:cs="宋体"/>
          <w:color w:val="auto"/>
          <w:szCs w:val="21"/>
          <w:highlight w:val="none"/>
        </w:rPr>
      </w:pPr>
      <w:r>
        <w:rPr>
          <w:rFonts w:ascii="宋体" w:hAnsi="宋体" w:eastAsia="宋体" w:cs="宋体"/>
          <w:color w:val="auto"/>
          <w:szCs w:val="21"/>
          <w:highlight w:val="none"/>
        </w:rPr>
        <w:t>2.12服务期内，乙方应对本项目所含各项设施设备进行日常养护、维修、更新改造或重置，以满足项目运营目标之需要，并承担相应费用。</w:t>
      </w:r>
    </w:p>
    <w:p w14:paraId="3455B7E2">
      <w:pPr>
        <w:keepNext w:val="0"/>
        <w:keepLines w:val="0"/>
        <w:kinsoku/>
        <w:wordWrap/>
        <w:overflowPunct/>
        <w:topLinePunct w:val="0"/>
        <w:bidi w:val="0"/>
        <w:snapToGrid w:val="0"/>
        <w:spacing w:line="360" w:lineRule="auto"/>
        <w:ind w:firstLine="411" w:firstLineChars="196"/>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3、其他要求</w:t>
      </w:r>
    </w:p>
    <w:p w14:paraId="26562874">
      <w:pPr>
        <w:keepNext w:val="0"/>
        <w:keepLines w:val="0"/>
        <w:kinsoku/>
        <w:wordWrap/>
        <w:overflowPunct/>
        <w:topLinePunct w:val="0"/>
        <w:bidi w:val="0"/>
        <w:snapToGrid w:val="0"/>
        <w:spacing w:line="360" w:lineRule="auto"/>
        <w:ind w:firstLine="411" w:firstLineChars="196"/>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乙方在以下情况应自行拆除本项目服务相关的其提供安装的设备设施，并恢复本项目场地的原状：（</w:t>
      </w:r>
      <w:r>
        <w:rPr>
          <w:rFonts w:ascii="宋体" w:hAnsi="宋体" w:eastAsia="宋体" w:cs="宋体"/>
          <w:color w:val="auto"/>
          <w:szCs w:val="21"/>
          <w:highlight w:val="none"/>
        </w:rPr>
        <w:t>1）服务期内，发生</w:t>
      </w:r>
      <w:r>
        <w:rPr>
          <w:rFonts w:hint="eastAsia" w:ascii="宋体" w:hAnsi="宋体" w:eastAsia="宋体" w:cs="宋体"/>
          <w:color w:val="auto"/>
          <w:szCs w:val="21"/>
          <w:highlight w:val="none"/>
          <w:lang w:val="en-US" w:eastAsia="zh-CN"/>
        </w:rPr>
        <w:t>本合同第二条</w:t>
      </w:r>
      <w:r>
        <w:rPr>
          <w:rFonts w:ascii="宋体" w:hAnsi="宋体" w:eastAsia="宋体" w:cs="宋体"/>
          <w:color w:val="auto"/>
          <w:szCs w:val="21"/>
          <w:highlight w:val="none"/>
        </w:rPr>
        <w:t>风险特别约定情况，</w:t>
      </w:r>
      <w:r>
        <w:rPr>
          <w:rFonts w:hint="eastAsia" w:ascii="宋体" w:hAnsi="宋体" w:eastAsia="宋体" w:cs="宋体"/>
          <w:color w:val="auto"/>
          <w:szCs w:val="21"/>
          <w:highlight w:val="none"/>
        </w:rPr>
        <w:t>甲方</w:t>
      </w:r>
      <w:r>
        <w:rPr>
          <w:rFonts w:ascii="宋体" w:hAnsi="宋体" w:eastAsia="宋体" w:cs="宋体"/>
          <w:color w:val="auto"/>
          <w:szCs w:val="21"/>
          <w:highlight w:val="none"/>
        </w:rPr>
        <w:t>要求</w:t>
      </w:r>
      <w:r>
        <w:rPr>
          <w:rFonts w:hint="eastAsia" w:ascii="宋体" w:hAnsi="宋体" w:eastAsia="宋体" w:cs="宋体"/>
          <w:color w:val="auto"/>
          <w:szCs w:val="21"/>
          <w:highlight w:val="none"/>
        </w:rPr>
        <w:t>乙方</w:t>
      </w:r>
      <w:r>
        <w:rPr>
          <w:rFonts w:ascii="宋体" w:hAnsi="宋体" w:eastAsia="宋体" w:cs="宋体"/>
          <w:color w:val="auto"/>
          <w:szCs w:val="21"/>
          <w:highlight w:val="none"/>
        </w:rPr>
        <w:t>无条件提前终止服务并发出撤场通知之日起30日内；（2）服务期内，因</w:t>
      </w:r>
      <w:r>
        <w:rPr>
          <w:rFonts w:hint="eastAsia" w:ascii="宋体" w:hAnsi="宋体" w:eastAsia="宋体" w:cs="宋体"/>
          <w:color w:val="auto"/>
          <w:szCs w:val="21"/>
          <w:highlight w:val="none"/>
        </w:rPr>
        <w:t>乙方</w:t>
      </w:r>
      <w:r>
        <w:rPr>
          <w:rFonts w:ascii="宋体" w:hAnsi="宋体" w:eastAsia="宋体" w:cs="宋体"/>
          <w:color w:val="auto"/>
          <w:szCs w:val="21"/>
          <w:highlight w:val="none"/>
        </w:rPr>
        <w:t>存在违约行为等，</w:t>
      </w:r>
      <w:r>
        <w:rPr>
          <w:rFonts w:hint="eastAsia" w:ascii="宋体" w:hAnsi="宋体" w:eastAsia="宋体" w:cs="宋体"/>
          <w:color w:val="auto"/>
          <w:szCs w:val="21"/>
          <w:highlight w:val="none"/>
        </w:rPr>
        <w:t>甲方</w:t>
      </w:r>
      <w:r>
        <w:rPr>
          <w:rFonts w:ascii="宋体" w:hAnsi="宋体" w:eastAsia="宋体" w:cs="宋体"/>
          <w:color w:val="auto"/>
          <w:szCs w:val="21"/>
          <w:highlight w:val="none"/>
        </w:rPr>
        <w:t>根据合同约定要求</w:t>
      </w:r>
      <w:r>
        <w:rPr>
          <w:rFonts w:hint="eastAsia" w:ascii="宋体" w:hAnsi="宋体" w:eastAsia="宋体" w:cs="宋体"/>
          <w:color w:val="auto"/>
          <w:szCs w:val="21"/>
          <w:highlight w:val="none"/>
          <w:lang w:val="en-US" w:eastAsia="zh-CN"/>
        </w:rPr>
        <w:t>乙方</w:t>
      </w:r>
      <w:r>
        <w:rPr>
          <w:rFonts w:ascii="宋体" w:hAnsi="宋体" w:eastAsia="宋体" w:cs="宋体"/>
          <w:color w:val="auto"/>
          <w:szCs w:val="21"/>
          <w:highlight w:val="none"/>
        </w:rPr>
        <w:t>提前终止服务并发出撤场通知之日起30日内；（3）服务期届满后30日内。以上所导致的因拆除设备设施及场地复原产生的相应费用由</w:t>
      </w:r>
      <w:r>
        <w:rPr>
          <w:rFonts w:hint="eastAsia" w:ascii="宋体" w:hAnsi="宋体" w:eastAsia="宋体" w:cs="宋体"/>
          <w:color w:val="auto"/>
          <w:szCs w:val="21"/>
          <w:highlight w:val="none"/>
        </w:rPr>
        <w:t>乙方</w:t>
      </w:r>
      <w:r>
        <w:rPr>
          <w:rFonts w:ascii="宋体" w:hAnsi="宋体" w:eastAsia="宋体" w:cs="宋体"/>
          <w:color w:val="auto"/>
          <w:szCs w:val="21"/>
          <w:highlight w:val="none"/>
        </w:rPr>
        <w:t>承担，在本项目的拆除过程中和拆除之后，</w:t>
      </w:r>
      <w:r>
        <w:rPr>
          <w:rFonts w:hint="eastAsia" w:ascii="宋体" w:hAnsi="宋体" w:eastAsia="宋体" w:cs="宋体"/>
          <w:color w:val="auto"/>
          <w:szCs w:val="21"/>
          <w:highlight w:val="none"/>
        </w:rPr>
        <w:t>甲方</w:t>
      </w:r>
      <w:r>
        <w:rPr>
          <w:rFonts w:ascii="宋体" w:hAnsi="宋体" w:eastAsia="宋体" w:cs="宋体"/>
          <w:color w:val="auto"/>
          <w:szCs w:val="21"/>
          <w:highlight w:val="none"/>
        </w:rPr>
        <w:t>无须向</w:t>
      </w:r>
      <w:r>
        <w:rPr>
          <w:rFonts w:hint="eastAsia" w:ascii="宋体" w:hAnsi="宋体" w:eastAsia="宋体" w:cs="宋体"/>
          <w:color w:val="auto"/>
          <w:szCs w:val="21"/>
          <w:highlight w:val="none"/>
          <w:lang w:val="en-US" w:eastAsia="zh-CN"/>
        </w:rPr>
        <w:t>乙方</w:t>
      </w:r>
      <w:r>
        <w:rPr>
          <w:rFonts w:ascii="宋体" w:hAnsi="宋体" w:eastAsia="宋体" w:cs="宋体"/>
          <w:color w:val="auto"/>
          <w:szCs w:val="21"/>
          <w:highlight w:val="none"/>
        </w:rPr>
        <w:t>支付任何补偿或移交费用。</w:t>
      </w:r>
    </w:p>
    <w:p w14:paraId="3364FDFC">
      <w:pPr>
        <w:keepNext w:val="0"/>
        <w:keepLines w:val="0"/>
        <w:kinsoku/>
        <w:wordWrap/>
        <w:overflowPunct/>
        <w:topLinePunct w:val="0"/>
        <w:bidi w:val="0"/>
        <w:snapToGrid w:val="0"/>
        <w:spacing w:line="360" w:lineRule="auto"/>
        <w:ind w:firstLine="413" w:firstLineChars="196"/>
        <w:textAlignment w:val="auto"/>
        <w:outlineLvl w:val="9"/>
        <w:rPr>
          <w:rFonts w:ascii="宋体" w:hAnsi="宋体" w:eastAsia="宋体" w:cs="宋体"/>
          <w:b/>
          <w:color w:val="auto"/>
          <w:szCs w:val="21"/>
          <w:highlight w:val="none"/>
        </w:rPr>
      </w:pPr>
      <w:bookmarkStart w:id="729" w:name="_Toc1093"/>
      <w:r>
        <w:rPr>
          <w:rFonts w:hint="eastAsia" w:ascii="宋体" w:hAnsi="宋体" w:eastAsia="宋体" w:cs="宋体"/>
          <w:b/>
          <w:color w:val="auto"/>
          <w:szCs w:val="21"/>
          <w:highlight w:val="none"/>
        </w:rPr>
        <w:t>第四条 污泥计量、污泥含水率及检测、污泥处理处置服务费计费</w:t>
      </w:r>
      <w:bookmarkEnd w:id="729"/>
    </w:p>
    <w:p w14:paraId="37F5C002">
      <w:pPr>
        <w:keepNext w:val="0"/>
        <w:keepLines w:val="0"/>
        <w:kinsoku/>
        <w:wordWrap/>
        <w:overflowPunct/>
        <w:topLinePunct w:val="0"/>
        <w:bidi w:val="0"/>
        <w:snapToGrid w:val="0"/>
        <w:spacing w:line="360" w:lineRule="auto"/>
        <w:ind w:firstLine="411" w:firstLineChars="196"/>
        <w:textAlignment w:val="auto"/>
        <w:outlineLvl w:val="9"/>
        <w:rPr>
          <w:rFonts w:ascii="宋体" w:hAnsi="宋体" w:eastAsia="宋体" w:cs="宋体"/>
          <w:color w:val="auto"/>
          <w:szCs w:val="21"/>
          <w:highlight w:val="none"/>
        </w:rPr>
      </w:pPr>
      <w:bookmarkStart w:id="730" w:name="_Toc4098"/>
      <w:r>
        <w:rPr>
          <w:rFonts w:hint="eastAsia" w:ascii="宋体" w:hAnsi="宋体" w:eastAsia="宋体" w:cs="宋体"/>
          <w:color w:val="auto"/>
          <w:szCs w:val="21"/>
          <w:highlight w:val="none"/>
        </w:rPr>
        <w:t>1、污泥计量</w:t>
      </w:r>
      <w:bookmarkEnd w:id="730"/>
    </w:p>
    <w:p w14:paraId="2AE4630C">
      <w:pPr>
        <w:keepNext w:val="0"/>
        <w:keepLines w:val="0"/>
        <w:kinsoku/>
        <w:wordWrap/>
        <w:overflowPunct/>
        <w:topLinePunct w:val="0"/>
        <w:bidi w:val="0"/>
        <w:snapToGrid w:val="0"/>
        <w:spacing w:line="360" w:lineRule="auto"/>
        <w:ind w:firstLine="411" w:firstLineChars="196"/>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1.1污泥称重计量：樟村水质净化厂出厂的半干化泥粉（泥块），通过甲方指定的地磅的称重数据（磅单）为计量计费依据，计量相关费用均由乙方承担</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樟村水质净化厂厂内设有电子地磅，</w:t>
      </w:r>
      <w:r>
        <w:rPr>
          <w:rFonts w:hint="eastAsia" w:ascii="宋体" w:hAnsi="宋体" w:eastAsia="宋体" w:cs="宋体"/>
          <w:color w:val="auto"/>
          <w:szCs w:val="21"/>
          <w:highlight w:val="none"/>
          <w:lang w:eastAsia="zh-CN"/>
        </w:rPr>
        <w:t>原则上</w:t>
      </w:r>
      <w:r>
        <w:rPr>
          <w:rFonts w:hint="eastAsia" w:ascii="宋体" w:hAnsi="宋体" w:eastAsia="宋体" w:cs="宋体"/>
          <w:color w:val="auto"/>
          <w:szCs w:val="21"/>
          <w:highlight w:val="none"/>
        </w:rPr>
        <w:t>在厂内过磅；若厂内电子地磅因检修等原因不可用，可在附近电子地磅过磅</w:t>
      </w:r>
      <w:r>
        <w:rPr>
          <w:rFonts w:hint="eastAsia" w:ascii="宋体" w:hAnsi="宋体" w:eastAsia="宋体" w:cs="宋体"/>
          <w:color w:val="auto"/>
          <w:kern w:val="2"/>
          <w:sz w:val="21"/>
          <w:szCs w:val="21"/>
          <w:highlight w:val="none"/>
          <w:lang w:val="en-US" w:eastAsia="zh-CN" w:bidi="ar-SA"/>
        </w:rPr>
        <w:t>。甲方电子地磅的称重服务不含税单价为1.51元/吨，称重服务相关条款由甲方与乙方签订称重服务合同另行约定</w:t>
      </w:r>
      <w:r>
        <w:rPr>
          <w:rFonts w:hint="eastAsia" w:ascii="宋体" w:hAnsi="宋体" w:eastAsia="宋体" w:cs="宋体"/>
          <w:color w:val="auto"/>
          <w:szCs w:val="21"/>
          <w:highlight w:val="none"/>
        </w:rPr>
        <w:t>。</w:t>
      </w:r>
    </w:p>
    <w:p w14:paraId="6C5C749D">
      <w:pPr>
        <w:keepNext w:val="0"/>
        <w:keepLines w:val="0"/>
        <w:kinsoku/>
        <w:wordWrap/>
        <w:overflowPunct/>
        <w:topLinePunct w:val="0"/>
        <w:bidi w:val="0"/>
        <w:snapToGrid w:val="0"/>
        <w:spacing w:line="360" w:lineRule="auto"/>
        <w:ind w:firstLine="411" w:firstLineChars="196"/>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1.2当车结算泥量。当车结算泥量（按80%含水率折算）=称重数据（磅单）×（1-50%）/（1-80%）。</w:t>
      </w:r>
    </w:p>
    <w:p w14:paraId="7E636B8C">
      <w:pPr>
        <w:keepNext w:val="0"/>
        <w:keepLines w:val="0"/>
        <w:kinsoku/>
        <w:wordWrap/>
        <w:overflowPunct/>
        <w:topLinePunct w:val="0"/>
        <w:bidi w:val="0"/>
        <w:snapToGrid w:val="0"/>
        <w:spacing w:line="360" w:lineRule="auto"/>
        <w:ind w:firstLine="411" w:firstLineChars="196"/>
        <w:textAlignment w:val="auto"/>
        <w:outlineLvl w:val="9"/>
        <w:rPr>
          <w:rFonts w:ascii="宋体" w:hAnsi="宋体" w:eastAsia="宋体" w:cs="宋体"/>
          <w:color w:val="auto"/>
          <w:szCs w:val="21"/>
          <w:highlight w:val="none"/>
        </w:rPr>
      </w:pPr>
      <w:bookmarkStart w:id="731" w:name="_Toc27950"/>
      <w:r>
        <w:rPr>
          <w:rFonts w:hint="eastAsia" w:ascii="宋体" w:hAnsi="宋体" w:eastAsia="宋体" w:cs="宋体"/>
          <w:color w:val="auto"/>
          <w:szCs w:val="21"/>
          <w:highlight w:val="none"/>
        </w:rPr>
        <w:t>2、污泥含水率</w:t>
      </w:r>
      <w:bookmarkEnd w:id="731"/>
    </w:p>
    <w:p w14:paraId="1D24B15C">
      <w:pPr>
        <w:keepNext w:val="0"/>
        <w:keepLines w:val="0"/>
        <w:kinsoku/>
        <w:wordWrap/>
        <w:overflowPunct/>
        <w:topLinePunct w:val="0"/>
        <w:bidi w:val="0"/>
        <w:snapToGrid w:val="0"/>
        <w:spacing w:line="360" w:lineRule="auto"/>
        <w:ind w:firstLine="411" w:firstLineChars="196"/>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乙方应严格遵照甲方要求将水质净化厂污泥浓缩池抽取的</w:t>
      </w:r>
      <w:r>
        <w:rPr>
          <w:rFonts w:hint="eastAsia" w:ascii="宋体" w:hAnsi="宋体" w:eastAsia="宋体" w:cs="宋体"/>
          <w:color w:val="auto"/>
          <w:szCs w:val="21"/>
          <w:highlight w:val="none"/>
          <w:lang w:val="en-US" w:eastAsia="zh-CN"/>
        </w:rPr>
        <w:t>污</w:t>
      </w:r>
      <w:r>
        <w:rPr>
          <w:rFonts w:hint="eastAsia" w:ascii="宋体" w:hAnsi="宋体" w:eastAsia="宋体" w:cs="宋体"/>
          <w:color w:val="auto"/>
          <w:szCs w:val="21"/>
          <w:highlight w:val="none"/>
        </w:rPr>
        <w:t>泥脱水减量至含水率不高于50%的半干化泥粉（泥块）后外运安全处置。</w:t>
      </w:r>
    </w:p>
    <w:p w14:paraId="2AC332DA">
      <w:pPr>
        <w:keepNext w:val="0"/>
        <w:keepLines w:val="0"/>
        <w:kinsoku/>
        <w:wordWrap/>
        <w:overflowPunct/>
        <w:topLinePunct w:val="0"/>
        <w:bidi w:val="0"/>
        <w:snapToGrid w:val="0"/>
        <w:spacing w:line="360" w:lineRule="auto"/>
        <w:ind w:firstLine="411" w:firstLineChars="196"/>
        <w:textAlignment w:val="auto"/>
        <w:outlineLvl w:val="9"/>
        <w:rPr>
          <w:rFonts w:ascii="宋体" w:hAnsi="宋体" w:eastAsia="宋体" w:cs="宋体"/>
          <w:color w:val="auto"/>
          <w:szCs w:val="21"/>
          <w:highlight w:val="none"/>
        </w:rPr>
      </w:pPr>
      <w:bookmarkStart w:id="732" w:name="_Toc27698"/>
      <w:r>
        <w:rPr>
          <w:rFonts w:hint="eastAsia" w:ascii="宋体" w:hAnsi="宋体" w:eastAsia="宋体" w:cs="宋体"/>
          <w:color w:val="auto"/>
          <w:szCs w:val="21"/>
          <w:highlight w:val="none"/>
        </w:rPr>
        <w:t>3、污泥含水率检测</w:t>
      </w:r>
      <w:bookmarkEnd w:id="732"/>
    </w:p>
    <w:p w14:paraId="3B22748C">
      <w:pPr>
        <w:keepNext w:val="0"/>
        <w:keepLines w:val="0"/>
        <w:kinsoku/>
        <w:wordWrap/>
        <w:overflowPunct/>
        <w:topLinePunct w:val="0"/>
        <w:bidi w:val="0"/>
        <w:snapToGrid w:val="0"/>
        <w:spacing w:line="360" w:lineRule="auto"/>
        <w:ind w:firstLine="411" w:firstLineChars="196"/>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3.1在本项目半干化泥粉（泥块）外运装车时采集半干化泥粉（泥块）样品，采样点为外运半干化泥粉（泥块）的运输车内，多点取样，即在运输车3个不同的地方，用不锈钢采样器采集泥样后，现场混合碾碎为一个均匀样，采集的均匀样分为3份，并对3份样品进行编码以便记录和区分。上述采样过程，由甲方监督下，乙方实施，甲方需拍照或视频留存相关记录。</w:t>
      </w:r>
    </w:p>
    <w:p w14:paraId="69215B6B">
      <w:pPr>
        <w:keepNext w:val="0"/>
        <w:keepLines w:val="0"/>
        <w:kinsoku/>
        <w:wordWrap/>
        <w:overflowPunct/>
        <w:topLinePunct w:val="0"/>
        <w:bidi w:val="0"/>
        <w:snapToGrid w:val="0"/>
        <w:spacing w:line="360" w:lineRule="auto"/>
        <w:ind w:firstLine="411" w:firstLineChars="196"/>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3.2污泥样品分为3份，1份交乙方留存或自检，1份交甲方检测含水率，余下1份交甲方留底存放；原则上以甲方检测的污泥含水率为计费依据，污泥含水率需双方共同确认。若乙方对甲方检测的污泥含水率有异议，则需在获知后24小时内提出，由乙方委托有资质的第三方检测公司（双方共同认可的第三方）对甲方留底的样品进行检测（48小时内），并以该含水率作为最终计费依据，相关检测费用由乙方承担。</w:t>
      </w:r>
    </w:p>
    <w:p w14:paraId="0FF60821">
      <w:pPr>
        <w:keepNext w:val="0"/>
        <w:keepLines w:val="0"/>
        <w:kinsoku/>
        <w:wordWrap/>
        <w:overflowPunct/>
        <w:topLinePunct w:val="0"/>
        <w:bidi w:val="0"/>
        <w:snapToGrid w:val="0"/>
        <w:spacing w:line="360" w:lineRule="auto"/>
        <w:ind w:firstLine="411" w:firstLineChars="196"/>
        <w:textAlignment w:val="auto"/>
        <w:outlineLvl w:val="9"/>
        <w:rPr>
          <w:rFonts w:ascii="宋体" w:hAnsi="宋体" w:eastAsia="宋体" w:cs="宋体"/>
          <w:color w:val="auto"/>
          <w:szCs w:val="21"/>
          <w:highlight w:val="none"/>
        </w:rPr>
      </w:pPr>
      <w:bookmarkStart w:id="733" w:name="_Toc9339"/>
      <w:r>
        <w:rPr>
          <w:rFonts w:hint="eastAsia" w:ascii="宋体" w:hAnsi="宋体" w:eastAsia="宋体" w:cs="宋体"/>
          <w:color w:val="auto"/>
          <w:szCs w:val="21"/>
          <w:highlight w:val="none"/>
        </w:rPr>
        <w:t>4、污泥处理处置服务费计费</w:t>
      </w:r>
      <w:bookmarkEnd w:id="733"/>
    </w:p>
    <w:p w14:paraId="46F21197">
      <w:pPr>
        <w:keepNext w:val="0"/>
        <w:keepLines w:val="0"/>
        <w:kinsoku/>
        <w:wordWrap/>
        <w:overflowPunct/>
        <w:topLinePunct w:val="0"/>
        <w:bidi w:val="0"/>
        <w:snapToGrid w:val="0"/>
        <w:spacing w:line="360" w:lineRule="auto"/>
        <w:ind w:firstLine="411" w:firstLineChars="196"/>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4.1当车含水率≤50%时，当车污泥处理处置服务费=当车结算泥量（按80%含水率折算）×综合服务单价（按80%含水率折算）；</w:t>
      </w:r>
    </w:p>
    <w:p w14:paraId="4B11B51E">
      <w:pPr>
        <w:keepNext w:val="0"/>
        <w:keepLines w:val="0"/>
        <w:kinsoku/>
        <w:wordWrap/>
        <w:overflowPunct/>
        <w:topLinePunct w:val="0"/>
        <w:bidi w:val="0"/>
        <w:snapToGrid w:val="0"/>
        <w:spacing w:line="360" w:lineRule="auto"/>
        <w:ind w:firstLine="411" w:firstLineChars="196"/>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4.2 当车含水率＞50%时，当车污泥处理处置服务费=当车结算泥量（按80%含水率折算）×综合服务单价（按80%含水率折算）×0。</w:t>
      </w:r>
    </w:p>
    <w:p w14:paraId="4F5164F3">
      <w:pPr>
        <w:pStyle w:val="18"/>
        <w:keepNext w:val="0"/>
        <w:keepLines w:val="0"/>
        <w:kinsoku/>
        <w:wordWrap/>
        <w:overflowPunct/>
        <w:topLinePunct w:val="0"/>
        <w:bidi w:val="0"/>
        <w:textAlignment w:val="auto"/>
        <w:outlineLvl w:val="9"/>
        <w:rPr>
          <w:color w:val="auto"/>
          <w:sz w:val="21"/>
          <w:szCs w:val="21"/>
          <w:highlight w:val="none"/>
          <w:lang w:val="en-US"/>
        </w:rPr>
      </w:pPr>
    </w:p>
    <w:p w14:paraId="3B151289">
      <w:pPr>
        <w:keepNext w:val="0"/>
        <w:keepLines w:val="0"/>
        <w:kinsoku/>
        <w:wordWrap/>
        <w:overflowPunct/>
        <w:topLinePunct w:val="0"/>
        <w:bidi w:val="0"/>
        <w:snapToGrid w:val="0"/>
        <w:spacing w:line="360" w:lineRule="auto"/>
        <w:ind w:firstLine="413" w:firstLineChars="196"/>
        <w:textAlignment w:val="auto"/>
        <w:outlineLvl w:val="9"/>
        <w:rPr>
          <w:rFonts w:ascii="宋体" w:hAnsi="宋体" w:eastAsia="宋体" w:cs="宋体"/>
          <w:b/>
          <w:color w:val="auto"/>
          <w:szCs w:val="21"/>
          <w:highlight w:val="none"/>
        </w:rPr>
      </w:pPr>
      <w:bookmarkStart w:id="734" w:name="_Toc12500"/>
      <w:r>
        <w:rPr>
          <w:rFonts w:hint="eastAsia" w:ascii="宋体" w:hAnsi="宋体" w:eastAsia="宋体" w:cs="宋体"/>
          <w:b/>
          <w:color w:val="auto"/>
          <w:szCs w:val="21"/>
          <w:highlight w:val="none"/>
        </w:rPr>
        <w:t>第五条 合同价格</w:t>
      </w:r>
      <w:bookmarkEnd w:id="734"/>
    </w:p>
    <w:p w14:paraId="29889164">
      <w:pPr>
        <w:keepNext w:val="0"/>
        <w:keepLines w:val="0"/>
        <w:kinsoku/>
        <w:wordWrap/>
        <w:overflowPunct/>
        <w:topLinePunct w:val="0"/>
        <w:bidi w:val="0"/>
        <w:snapToGrid w:val="0"/>
        <w:spacing w:line="360" w:lineRule="auto"/>
        <w:ind w:firstLine="411" w:firstLineChars="196"/>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1、本合同不含税综合服务单价（即销售额，不含乙方销项税额），为¥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元/吨(按80%含水率折算，50%含水率对应不含税综合服务单价为¥     元/吨）（大写</w:t>
      </w:r>
      <w:r>
        <w:rPr>
          <w:rFonts w:hint="eastAsia" w:ascii="宋体" w:hAnsi="宋体" w:eastAsia="宋体" w:cs="宋体"/>
          <w:color w:val="auto"/>
          <w:szCs w:val="21"/>
          <w:highlight w:val="none"/>
          <w:lang w:eastAsia="zh-CN"/>
        </w:rPr>
        <w:t>人民币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不含税综合服务费包括但不限于履行本服务所发生的人工费、水电费、药剂费、设备设施及其维护费、运输费、处置费、保险费、称重计量及检测费、污泥处置后的副产品检测费、销项税额以外的税金、管理费及利润、场地使用费（如有）等及其他完成本合同下</w:t>
      </w:r>
      <w:r>
        <w:rPr>
          <w:rFonts w:hint="eastAsia" w:ascii="宋体" w:hAnsi="宋体" w:eastAsia="宋体" w:cs="宋体"/>
          <w:color w:val="auto"/>
          <w:szCs w:val="21"/>
          <w:highlight w:val="none"/>
          <w:lang w:eastAsia="zh-CN"/>
        </w:rPr>
        <w:t>服务</w:t>
      </w:r>
      <w:r>
        <w:rPr>
          <w:rFonts w:hint="eastAsia" w:ascii="宋体" w:hAnsi="宋体" w:eastAsia="宋体" w:cs="宋体"/>
          <w:color w:val="auto"/>
          <w:szCs w:val="21"/>
          <w:highlight w:val="none"/>
        </w:rPr>
        <w:t xml:space="preserve">相关的直接及间接的全部费用。在本合同履行过程中，不含税综合服务单价（即销售额，不含乙方销项税额）不随法律法规政策、物价人工、工期调整而进行调整，未经甲方书面确认，乙方无权增加任何费用。 </w:t>
      </w:r>
    </w:p>
    <w:p w14:paraId="1C8CBD4C">
      <w:pPr>
        <w:keepNext w:val="0"/>
        <w:keepLines w:val="0"/>
        <w:kinsoku/>
        <w:wordWrap/>
        <w:overflowPunct/>
        <w:topLinePunct w:val="0"/>
        <w:bidi w:val="0"/>
        <w:snapToGrid w:val="0"/>
        <w:spacing w:line="360" w:lineRule="auto"/>
        <w:ind w:firstLine="411" w:firstLineChars="196"/>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2、依法计得并根据本合同约定确定的销项税额由甲方承担。根据《中华人民共和国增值税条例》 （国务院令第691号修订版）及当前税务部门的相关规定，本合同项目的增值税税率为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，对应的销项税额为¥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元/吨(按含水率80%污泥折算，50%含水率对应销项税额为¥     元/吨) （大写</w:t>
      </w:r>
      <w:r>
        <w:rPr>
          <w:rFonts w:hint="eastAsia" w:ascii="宋体" w:hAnsi="宋体" w:eastAsia="宋体" w:cs="宋体"/>
          <w:color w:val="auto"/>
          <w:szCs w:val="21"/>
          <w:highlight w:val="none"/>
          <w:lang w:eastAsia="zh-CN"/>
        </w:rPr>
        <w:t>人民币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乙方的销项税额根据本合同约定按实结算。在本合同履行过程中，税收政策变动导致增值税税率调整，依法应调整销项税额的，依法调整；但因乙方未按合同约定提供服务、未根据合同约定提供合法、完整的请款资料等原因导致销项税额增加的，相应损失由乙方承担。因乙方未按法定税率计算税额或未根据本合同约定出具对应税额的增值税专用发票等原因导致甲方多支付税额的，乙方必须退还甲方，给甲方造成损失的，乙方须向甲方赔偿相应损失。</w:t>
      </w:r>
    </w:p>
    <w:p w14:paraId="4F2AD0E4">
      <w:pPr>
        <w:keepNext w:val="0"/>
        <w:keepLines w:val="0"/>
        <w:kinsoku/>
        <w:wordWrap/>
        <w:overflowPunct/>
        <w:topLinePunct w:val="0"/>
        <w:bidi w:val="0"/>
        <w:snapToGrid w:val="0"/>
        <w:spacing w:line="360" w:lineRule="auto"/>
        <w:ind w:firstLine="411" w:firstLineChars="196"/>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3、本合同综合服务单价（价税合计）为¥</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rPr>
        <w:t>元/吨</w:t>
      </w:r>
      <w:r>
        <w:rPr>
          <w:rFonts w:hint="eastAsia" w:ascii="宋体" w:hAnsi="宋体" w:eastAsia="宋体" w:cs="宋体"/>
          <w:color w:val="auto"/>
          <w:szCs w:val="21"/>
          <w:highlight w:val="none"/>
          <w:lang w:val="en-US" w:eastAsia="zh-CN"/>
        </w:rPr>
        <w:t>【</w:t>
      </w:r>
      <w:r>
        <w:rPr>
          <w:rFonts w:ascii="宋体" w:hAnsi="宋体" w:eastAsia="宋体" w:cs="宋体"/>
          <w:color w:val="auto"/>
          <w:szCs w:val="21"/>
          <w:highlight w:val="none"/>
        </w:rPr>
        <w:t>按80%含水率折算</w:t>
      </w:r>
      <w:r>
        <w:rPr>
          <w:rFonts w:hint="eastAsia" w:ascii="宋体" w:hAnsi="宋体" w:eastAsia="宋体" w:cs="宋体"/>
          <w:color w:val="auto"/>
          <w:szCs w:val="21"/>
          <w:highlight w:val="none"/>
        </w:rPr>
        <w:t>，50%含水率对应综合服务单价（价税合计）为¥     元/吨】（大写</w:t>
      </w:r>
      <w:r>
        <w:rPr>
          <w:rFonts w:hint="eastAsia" w:ascii="宋体" w:hAnsi="宋体" w:eastAsia="宋体" w:cs="宋体"/>
          <w:color w:val="auto"/>
          <w:szCs w:val="21"/>
          <w:highlight w:val="none"/>
          <w:lang w:eastAsia="zh-CN"/>
        </w:rPr>
        <w:t>人民币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）。合同履行期间根据本条第2项规定调整销项税额的，结算合同价税合计对应调整。 </w:t>
      </w:r>
    </w:p>
    <w:p w14:paraId="6C72FAFA">
      <w:pPr>
        <w:keepNext w:val="0"/>
        <w:keepLines w:val="0"/>
        <w:kinsoku/>
        <w:wordWrap/>
        <w:overflowPunct/>
        <w:topLinePunct w:val="0"/>
        <w:bidi w:val="0"/>
        <w:snapToGrid w:val="0"/>
        <w:spacing w:line="360" w:lineRule="auto"/>
        <w:ind w:firstLine="411" w:firstLineChars="196"/>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4、本合同</w:t>
      </w:r>
      <w:r>
        <w:rPr>
          <w:rFonts w:hint="eastAsia" w:ascii="宋体" w:hAnsi="宋体" w:eastAsia="宋体" w:cs="宋体"/>
          <w:color w:val="auto"/>
          <w:szCs w:val="21"/>
          <w:highlight w:val="none"/>
        </w:rPr>
        <w:t>暂定处理</w:t>
      </w:r>
      <w:r>
        <w:rPr>
          <w:rFonts w:hint="eastAsia" w:ascii="宋体" w:hAnsi="宋体" w:eastAsia="宋体" w:cs="宋体"/>
          <w:color w:val="auto"/>
          <w:szCs w:val="21"/>
          <w:highlight w:val="none"/>
          <w:lang w:eastAsia="zh-CN"/>
        </w:rPr>
        <w:t>处置</w:t>
      </w:r>
      <w:r>
        <w:rPr>
          <w:rFonts w:hint="eastAsia" w:ascii="宋体" w:hAnsi="宋体" w:eastAsia="宋体" w:cs="宋体"/>
          <w:color w:val="auto"/>
          <w:szCs w:val="21"/>
          <w:highlight w:val="none"/>
        </w:rPr>
        <w:t>量为</w:t>
      </w:r>
      <w:r>
        <w:rPr>
          <w:rFonts w:hint="eastAsia" w:ascii="宋体" w:hAnsi="宋体" w:eastAsia="宋体" w:cs="宋体"/>
          <w:color w:val="auto"/>
          <w:szCs w:val="21"/>
          <w:highlight w:val="none"/>
          <w:u w:val="none"/>
        </w:rPr>
        <w:t>105850</w:t>
      </w:r>
      <w:r>
        <w:rPr>
          <w:rFonts w:hint="eastAsia" w:ascii="宋体" w:hAnsi="宋体" w:eastAsia="宋体" w:cs="宋体"/>
          <w:color w:val="auto"/>
          <w:szCs w:val="21"/>
          <w:highlight w:val="none"/>
        </w:rPr>
        <w:t>吨（按80%含水率折算，50%含水率对应处理处置量为42340吨），暂定合同</w:t>
      </w:r>
      <w:r>
        <w:rPr>
          <w:rFonts w:hint="eastAsia" w:ascii="宋体" w:hAnsi="宋体" w:eastAsia="宋体" w:cs="宋体"/>
          <w:color w:val="auto"/>
          <w:szCs w:val="21"/>
          <w:highlight w:val="none"/>
          <w:lang w:eastAsia="zh-CN"/>
        </w:rPr>
        <w:t>总</w:t>
      </w:r>
      <w:r>
        <w:rPr>
          <w:rFonts w:hint="eastAsia" w:ascii="宋体" w:hAnsi="宋体" w:eastAsia="宋体" w:cs="宋体"/>
          <w:color w:val="auto"/>
          <w:szCs w:val="21"/>
          <w:highlight w:val="none"/>
        </w:rPr>
        <w:t>价（即销售额，不含乙方销项税额）为¥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大写</w:t>
      </w:r>
      <w:r>
        <w:rPr>
          <w:rFonts w:hint="eastAsia" w:ascii="宋体" w:hAnsi="宋体" w:eastAsia="宋体" w:cs="宋体"/>
          <w:color w:val="auto"/>
          <w:szCs w:val="21"/>
          <w:highlight w:val="none"/>
          <w:lang w:eastAsia="zh-CN"/>
        </w:rPr>
        <w:t>人民币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，暂定合同总价价税合计为</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大写</w:t>
      </w:r>
      <w:r>
        <w:rPr>
          <w:rFonts w:hint="eastAsia" w:ascii="宋体" w:hAnsi="宋体" w:eastAsia="宋体" w:cs="宋体"/>
          <w:color w:val="auto"/>
          <w:szCs w:val="21"/>
          <w:highlight w:val="none"/>
          <w:lang w:eastAsia="zh-CN"/>
        </w:rPr>
        <w:t>人民币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 xml:space="preserve">。 </w:t>
      </w:r>
    </w:p>
    <w:p w14:paraId="7E6B82F3">
      <w:pPr>
        <w:keepNext w:val="0"/>
        <w:keepLines w:val="0"/>
        <w:kinsoku/>
        <w:wordWrap/>
        <w:overflowPunct/>
        <w:topLinePunct w:val="0"/>
        <w:bidi w:val="0"/>
        <w:snapToGrid w:val="0"/>
        <w:spacing w:line="360" w:lineRule="auto"/>
        <w:ind w:firstLine="411" w:firstLineChars="196"/>
        <w:textAlignment w:val="auto"/>
        <w:outlineLvl w:val="9"/>
        <w:rPr>
          <w:rFonts w:ascii="宋体" w:hAnsi="宋体" w:eastAsia="宋体" w:cs="宋体"/>
          <w:color w:val="auto"/>
          <w:szCs w:val="21"/>
          <w:highlight w:val="none"/>
        </w:rPr>
      </w:pPr>
      <w:bookmarkStart w:id="735" w:name="_Toc11419"/>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 服务费支付</w:t>
      </w:r>
      <w:bookmarkEnd w:id="735"/>
      <w:r>
        <w:rPr>
          <w:rFonts w:hint="eastAsia" w:ascii="宋体" w:hAnsi="宋体" w:eastAsia="宋体" w:cs="宋体"/>
          <w:color w:val="auto"/>
          <w:szCs w:val="21"/>
          <w:highlight w:val="none"/>
        </w:rPr>
        <w:t xml:space="preserve"> </w:t>
      </w:r>
    </w:p>
    <w:p w14:paraId="20815278">
      <w:pPr>
        <w:keepNext w:val="0"/>
        <w:keepLines w:val="0"/>
        <w:kinsoku/>
        <w:wordWrap/>
        <w:overflowPunct/>
        <w:topLinePunct w:val="0"/>
        <w:bidi w:val="0"/>
        <w:snapToGrid w:val="0"/>
        <w:spacing w:line="360" w:lineRule="auto"/>
        <w:ind w:firstLine="411" w:firstLineChars="196"/>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.1 合同的履约过程中，乙方根据合同约定需向甲方支付违约金、赔偿金、或其他应付费用等款项的，乙方必须向甲方支付完相关款项后，甲方才根据合同向乙方支付服务费。若因乙方未能支付前述费用，影响项目实施的，甲方有权直接从履约担保或未付服务费中直接扣除，且乙方必须按照扣除前述费用前的污泥处理处置费（销售额）开具等额、合法、有效的增值税专用发票。</w:t>
      </w:r>
    </w:p>
    <w:p w14:paraId="164D36A6">
      <w:pPr>
        <w:keepNext w:val="0"/>
        <w:keepLines w:val="0"/>
        <w:kinsoku/>
        <w:wordWrap/>
        <w:overflowPunct/>
        <w:topLinePunct w:val="0"/>
        <w:bidi w:val="0"/>
        <w:snapToGrid w:val="0"/>
        <w:spacing w:line="360" w:lineRule="auto"/>
        <w:ind w:firstLine="411" w:firstLineChars="196"/>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.2 支付方式：</w:t>
      </w:r>
    </w:p>
    <w:p w14:paraId="45B5864D">
      <w:pPr>
        <w:keepNext w:val="0"/>
        <w:keepLines w:val="0"/>
        <w:kinsoku/>
        <w:wordWrap/>
        <w:overflowPunct/>
        <w:topLinePunct w:val="0"/>
        <w:bidi w:val="0"/>
        <w:snapToGrid w:val="0"/>
        <w:spacing w:line="360" w:lineRule="auto"/>
        <w:ind w:firstLine="411" w:firstLineChars="196"/>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1）甲方通过银行转账或银行承兑汇票方式向乙方支付污泥处理处置费。乙方应每月15日前，向甲方提交以下文件及单据等有效的请款凭证（所有资料需加盖乙方公章），申请支付上月污泥处理处置费，甲方收到请款凭证后在45个工作日内完成核实工作，核实后向乙方支付请款金额的50%，采用银行承兑汇票的方式支付，付款期限不超过3个月。请款资料包括但不限于：</w:t>
      </w:r>
    </w:p>
    <w:p w14:paraId="24C693BA">
      <w:pPr>
        <w:keepNext w:val="0"/>
        <w:keepLines w:val="0"/>
        <w:kinsoku/>
        <w:wordWrap/>
        <w:overflowPunct/>
        <w:topLinePunct w:val="0"/>
        <w:bidi w:val="0"/>
        <w:snapToGrid w:val="0"/>
        <w:spacing w:line="360" w:lineRule="auto"/>
        <w:ind w:firstLine="411" w:firstLineChars="196"/>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A.请款报告；</w:t>
      </w:r>
    </w:p>
    <w:p w14:paraId="650826D9">
      <w:pPr>
        <w:keepNext w:val="0"/>
        <w:keepLines w:val="0"/>
        <w:kinsoku/>
        <w:wordWrap/>
        <w:overflowPunct/>
        <w:topLinePunct w:val="0"/>
        <w:bidi w:val="0"/>
        <w:snapToGrid w:val="0"/>
        <w:spacing w:line="360" w:lineRule="auto"/>
        <w:ind w:firstLine="411" w:firstLineChars="196"/>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B.请款月份污泥处理处置费100%的</w:t>
      </w:r>
      <w:r>
        <w:rPr>
          <w:rFonts w:hint="eastAsia" w:ascii="宋体" w:hAnsi="宋体" w:eastAsia="宋体" w:cs="宋体"/>
          <w:color w:val="auto"/>
          <w:szCs w:val="21"/>
          <w:highlight w:val="none"/>
          <w:lang w:val="en-US" w:eastAsia="zh-CN"/>
        </w:rPr>
        <w:t>等</w:t>
      </w:r>
      <w:r>
        <w:rPr>
          <w:rFonts w:hint="eastAsia" w:ascii="宋体" w:hAnsi="宋体" w:eastAsia="宋体" w:cs="宋体"/>
          <w:color w:val="auto"/>
          <w:szCs w:val="21"/>
          <w:highlight w:val="none"/>
        </w:rPr>
        <w:t>额、合法、有效的增值税专用发票；</w:t>
      </w:r>
    </w:p>
    <w:p w14:paraId="452F0FF9">
      <w:pPr>
        <w:keepNext w:val="0"/>
        <w:keepLines w:val="0"/>
        <w:kinsoku/>
        <w:wordWrap/>
        <w:overflowPunct/>
        <w:topLinePunct w:val="0"/>
        <w:bidi w:val="0"/>
        <w:snapToGrid w:val="0"/>
        <w:spacing w:line="360" w:lineRule="auto"/>
        <w:ind w:firstLine="411" w:firstLineChars="196"/>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C.污泥数据汇总表（含污泥处理处置量、含水率等信息）、地磅称重单、有效签章的污泥转移联单等。</w:t>
      </w:r>
    </w:p>
    <w:p w14:paraId="6E42387D">
      <w:pPr>
        <w:keepNext w:val="0"/>
        <w:keepLines w:val="0"/>
        <w:kinsoku/>
        <w:wordWrap/>
        <w:overflowPunct/>
        <w:topLinePunct w:val="0"/>
        <w:bidi w:val="0"/>
        <w:snapToGrid w:val="0"/>
        <w:spacing w:line="360" w:lineRule="auto"/>
        <w:ind w:firstLine="411" w:firstLineChars="196"/>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（2）在前述（1）项款项支付后三个月内，且甲方扣除乙方根据合同约定需向甲方支付的违约金、赔偿金或其他应付费用等款项后，通过银行转账或银行承兑汇票方式向乙方支付剩余款项。</w:t>
      </w:r>
    </w:p>
    <w:p w14:paraId="09D9B3C7">
      <w:pPr>
        <w:keepNext w:val="0"/>
        <w:keepLines w:val="0"/>
        <w:kinsoku/>
        <w:wordWrap/>
        <w:overflowPunct/>
        <w:topLinePunct w:val="0"/>
        <w:bidi w:val="0"/>
        <w:snapToGrid w:val="0"/>
        <w:spacing w:line="360" w:lineRule="auto"/>
        <w:ind w:firstLine="411" w:firstLineChars="196"/>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w:t>
      </w:r>
      <w:r>
        <w:rPr>
          <w:rFonts w:ascii="宋体" w:hAnsi="宋体" w:eastAsia="宋体" w:cs="宋体"/>
          <w:color w:val="auto"/>
          <w:szCs w:val="21"/>
          <w:highlight w:val="none"/>
        </w:rPr>
        <w:t>3</w:t>
      </w:r>
      <w:r>
        <w:rPr>
          <w:rFonts w:hint="eastAsia" w:ascii="宋体" w:hAnsi="宋体" w:eastAsia="宋体" w:cs="宋体"/>
          <w:color w:val="auto"/>
          <w:szCs w:val="21"/>
          <w:highlight w:val="none"/>
        </w:rPr>
        <w:t xml:space="preserve"> 合同款支付方式为银行转账或银行承兑汇票，汇票期限不超过三个月，每期款项支付方式由甲方自主决定。乙方提交污泥数据汇总表计算有误、逾期提交请款材料或提交材料不符合甲方要求的，甲方有权顺延支付相应款项，并不承担逾期付款的违约责任，由于乙方提供的发票不符合税法规定，给甲方造成的损失由乙方承担赔偿责任，乙方不得以此延迟而拒绝履行合同义务。</w:t>
      </w:r>
    </w:p>
    <w:p w14:paraId="6A791596">
      <w:pPr>
        <w:pStyle w:val="18"/>
        <w:keepNext w:val="0"/>
        <w:keepLines w:val="0"/>
        <w:kinsoku/>
        <w:wordWrap/>
        <w:overflowPunct/>
        <w:topLinePunct w:val="0"/>
        <w:bidi w:val="0"/>
        <w:snapToGrid w:val="0"/>
        <w:spacing w:line="360" w:lineRule="auto"/>
        <w:ind w:firstLine="420" w:firstLineChars="200"/>
        <w:jc w:val="both"/>
        <w:textAlignment w:val="auto"/>
        <w:outlineLvl w:val="9"/>
        <w:rPr>
          <w:rFonts w:hAnsi="宋体" w:cs="宋体"/>
          <w:b w:val="0"/>
          <w:bCs w:val="0"/>
          <w:color w:val="auto"/>
          <w:sz w:val="21"/>
          <w:szCs w:val="21"/>
          <w:highlight w:val="none"/>
          <w:lang w:val="en-US"/>
        </w:rPr>
      </w:pPr>
      <w:r>
        <w:rPr>
          <w:rFonts w:hint="eastAsia" w:hAnsi="宋体" w:cs="宋体"/>
          <w:b w:val="0"/>
          <w:bCs w:val="0"/>
          <w:color w:val="auto"/>
          <w:kern w:val="0"/>
          <w:sz w:val="21"/>
          <w:szCs w:val="21"/>
          <w:highlight w:val="none"/>
          <w:lang w:val="en-US" w:eastAsia="zh-CN"/>
        </w:rPr>
        <w:t>5</w:t>
      </w:r>
      <w:r>
        <w:rPr>
          <w:rFonts w:hAnsi="宋体" w:cs="宋体"/>
          <w:b w:val="0"/>
          <w:bCs w:val="0"/>
          <w:color w:val="auto"/>
          <w:kern w:val="0"/>
          <w:sz w:val="21"/>
          <w:szCs w:val="21"/>
          <w:highlight w:val="none"/>
          <w:lang w:val="en-US"/>
        </w:rPr>
        <w:t>.4</w:t>
      </w:r>
      <w:r>
        <w:rPr>
          <w:rFonts w:hint="eastAsia" w:hAnsi="宋体" w:cs="宋体"/>
          <w:b w:val="0"/>
          <w:bCs w:val="0"/>
          <w:color w:val="auto"/>
          <w:kern w:val="0"/>
          <w:sz w:val="21"/>
          <w:szCs w:val="21"/>
          <w:highlight w:val="none"/>
          <w:lang w:val="en-US"/>
        </w:rPr>
        <w:t>乙方收款账号信息</w:t>
      </w:r>
    </w:p>
    <w:p w14:paraId="3F723F4A">
      <w:pPr>
        <w:pStyle w:val="19"/>
        <w:keepNext w:val="0"/>
        <w:keepLines w:val="0"/>
        <w:kinsoku/>
        <w:wordWrap/>
        <w:overflowPunct/>
        <w:topLinePunct w:val="0"/>
        <w:bidi w:val="0"/>
        <w:snapToGrid w:val="0"/>
        <w:spacing w:before="120" w:line="360" w:lineRule="auto"/>
        <w:ind w:firstLineChars="200"/>
        <w:textAlignment w:val="auto"/>
        <w:outlineLvl w:val="9"/>
        <w:rPr>
          <w:rFonts w:ascii="宋体" w:hAnsi="宋体" w:cs="宋体"/>
          <w:b/>
          <w:bCs/>
          <w:color w:val="auto"/>
          <w:szCs w:val="21"/>
          <w:highlight w:val="none"/>
        </w:rPr>
      </w:pPr>
      <w:r>
        <w:rPr>
          <w:rFonts w:hint="eastAsia" w:ascii="宋体" w:hAnsi="宋体" w:eastAsia="宋体" w:cs="宋体"/>
          <w:color w:val="auto"/>
          <w:szCs w:val="21"/>
          <w:highlight w:val="none"/>
        </w:rPr>
        <w:t>（1）乙方转账或汇款收款账户：</w:t>
      </w:r>
    </w:p>
    <w:p w14:paraId="17876D73">
      <w:pPr>
        <w:pStyle w:val="19"/>
        <w:keepNext w:val="0"/>
        <w:keepLines w:val="0"/>
        <w:kinsoku/>
        <w:wordWrap/>
        <w:overflowPunct/>
        <w:topLinePunct w:val="0"/>
        <w:bidi w:val="0"/>
        <w:snapToGrid w:val="0"/>
        <w:spacing w:before="120" w:line="360" w:lineRule="auto"/>
        <w:ind w:firstLineChars="200"/>
        <w:textAlignment w:val="auto"/>
        <w:outlineLvl w:val="9"/>
        <w:rPr>
          <w:rFonts w:ascii="宋体" w:hAnsi="宋体" w:cs="宋体"/>
          <w:b/>
          <w:bCs/>
          <w:color w:val="auto"/>
          <w:szCs w:val="21"/>
          <w:highlight w:val="none"/>
        </w:rPr>
      </w:pPr>
      <w:r>
        <w:rPr>
          <w:rFonts w:hint="eastAsia" w:ascii="宋体" w:hAnsi="宋体" w:eastAsia="宋体" w:cs="宋体"/>
          <w:color w:val="auto"/>
          <w:szCs w:val="21"/>
          <w:highlight w:val="none"/>
        </w:rPr>
        <w:t>账号户名：</w:t>
      </w:r>
    </w:p>
    <w:p w14:paraId="4124FDDB">
      <w:pPr>
        <w:pStyle w:val="19"/>
        <w:keepNext w:val="0"/>
        <w:keepLines w:val="0"/>
        <w:kinsoku/>
        <w:wordWrap/>
        <w:overflowPunct/>
        <w:topLinePunct w:val="0"/>
        <w:bidi w:val="0"/>
        <w:snapToGrid w:val="0"/>
        <w:spacing w:before="120" w:line="360" w:lineRule="auto"/>
        <w:ind w:firstLineChars="200"/>
        <w:textAlignment w:val="auto"/>
        <w:outlineLvl w:val="9"/>
        <w:rPr>
          <w:rFonts w:ascii="宋体" w:hAnsi="宋体" w:cs="宋体"/>
          <w:b/>
          <w:bCs/>
          <w:color w:val="auto"/>
          <w:szCs w:val="21"/>
          <w:highlight w:val="none"/>
        </w:rPr>
      </w:pPr>
      <w:r>
        <w:rPr>
          <w:rFonts w:hint="eastAsia" w:ascii="宋体" w:hAnsi="宋体" w:eastAsia="宋体" w:cs="宋体"/>
          <w:color w:val="auto"/>
          <w:szCs w:val="21"/>
          <w:highlight w:val="none"/>
        </w:rPr>
        <w:t>开户银行名称：</w:t>
      </w:r>
    </w:p>
    <w:p w14:paraId="78C1BD84">
      <w:pPr>
        <w:pStyle w:val="19"/>
        <w:keepNext w:val="0"/>
        <w:keepLines w:val="0"/>
        <w:kinsoku/>
        <w:wordWrap/>
        <w:overflowPunct/>
        <w:topLinePunct w:val="0"/>
        <w:bidi w:val="0"/>
        <w:snapToGrid w:val="0"/>
        <w:spacing w:before="120" w:line="360" w:lineRule="auto"/>
        <w:ind w:firstLineChars="200"/>
        <w:textAlignment w:val="auto"/>
        <w:outlineLvl w:val="9"/>
        <w:rPr>
          <w:rFonts w:ascii="宋体" w:hAnsi="宋体" w:cs="宋体"/>
          <w:b/>
          <w:bCs/>
          <w:color w:val="auto"/>
          <w:szCs w:val="21"/>
          <w:highlight w:val="none"/>
        </w:rPr>
      </w:pPr>
      <w:r>
        <w:rPr>
          <w:rFonts w:hint="eastAsia" w:ascii="宋体" w:hAnsi="宋体" w:eastAsia="宋体" w:cs="宋体"/>
          <w:color w:val="auto"/>
          <w:szCs w:val="21"/>
          <w:highlight w:val="none"/>
        </w:rPr>
        <w:t>银行账号：</w:t>
      </w:r>
    </w:p>
    <w:p w14:paraId="48F46B02">
      <w:pPr>
        <w:pStyle w:val="18"/>
        <w:keepNext w:val="0"/>
        <w:keepLines w:val="0"/>
        <w:kinsoku/>
        <w:wordWrap/>
        <w:overflowPunct/>
        <w:topLinePunct w:val="0"/>
        <w:bidi w:val="0"/>
        <w:snapToGrid w:val="0"/>
        <w:spacing w:line="360" w:lineRule="auto"/>
        <w:ind w:firstLine="420" w:firstLineChars="200"/>
        <w:jc w:val="both"/>
        <w:textAlignment w:val="auto"/>
        <w:outlineLvl w:val="9"/>
        <w:rPr>
          <w:rFonts w:hAnsi="宋体" w:cs="宋体"/>
          <w:b w:val="0"/>
          <w:bCs w:val="0"/>
          <w:color w:val="auto"/>
          <w:sz w:val="21"/>
          <w:szCs w:val="21"/>
          <w:highlight w:val="none"/>
          <w:lang w:val="en-US"/>
        </w:rPr>
      </w:pPr>
      <w:r>
        <w:rPr>
          <w:rFonts w:hint="eastAsia" w:hAnsi="宋体" w:cs="宋体"/>
          <w:b w:val="0"/>
          <w:bCs w:val="0"/>
          <w:color w:val="auto"/>
          <w:kern w:val="0"/>
          <w:sz w:val="21"/>
          <w:szCs w:val="21"/>
          <w:highlight w:val="none"/>
          <w:lang w:val="en-US"/>
        </w:rPr>
        <w:t>（2）乙方汇票账号：</w:t>
      </w:r>
    </w:p>
    <w:p w14:paraId="1BDD360D">
      <w:pPr>
        <w:pStyle w:val="18"/>
        <w:keepNext w:val="0"/>
        <w:keepLines w:val="0"/>
        <w:kinsoku/>
        <w:wordWrap/>
        <w:overflowPunct/>
        <w:topLinePunct w:val="0"/>
        <w:bidi w:val="0"/>
        <w:snapToGrid w:val="0"/>
        <w:spacing w:line="360" w:lineRule="auto"/>
        <w:ind w:firstLine="420" w:firstLineChars="200"/>
        <w:jc w:val="both"/>
        <w:textAlignment w:val="auto"/>
        <w:outlineLvl w:val="9"/>
        <w:rPr>
          <w:rFonts w:hAnsi="宋体" w:cs="宋体"/>
          <w:b w:val="0"/>
          <w:bCs w:val="0"/>
          <w:color w:val="auto"/>
          <w:sz w:val="21"/>
          <w:szCs w:val="21"/>
          <w:highlight w:val="none"/>
          <w:lang w:val="en-US"/>
        </w:rPr>
      </w:pPr>
      <w:r>
        <w:rPr>
          <w:rFonts w:hint="eastAsia" w:hAnsi="宋体" w:cs="宋体"/>
          <w:b w:val="0"/>
          <w:bCs w:val="0"/>
          <w:color w:val="auto"/>
          <w:kern w:val="0"/>
          <w:sz w:val="21"/>
          <w:szCs w:val="21"/>
          <w:highlight w:val="none"/>
          <w:lang w:val="en-US"/>
        </w:rPr>
        <w:t>账号户名：</w:t>
      </w:r>
    </w:p>
    <w:p w14:paraId="3B361C22">
      <w:pPr>
        <w:pStyle w:val="18"/>
        <w:keepNext w:val="0"/>
        <w:keepLines w:val="0"/>
        <w:kinsoku/>
        <w:wordWrap/>
        <w:overflowPunct/>
        <w:topLinePunct w:val="0"/>
        <w:bidi w:val="0"/>
        <w:snapToGrid w:val="0"/>
        <w:spacing w:line="360" w:lineRule="auto"/>
        <w:ind w:firstLine="420" w:firstLineChars="200"/>
        <w:jc w:val="both"/>
        <w:textAlignment w:val="auto"/>
        <w:outlineLvl w:val="9"/>
        <w:rPr>
          <w:rFonts w:hAnsi="宋体" w:cs="宋体"/>
          <w:b w:val="0"/>
          <w:bCs w:val="0"/>
          <w:color w:val="auto"/>
          <w:sz w:val="21"/>
          <w:szCs w:val="21"/>
          <w:highlight w:val="none"/>
          <w:lang w:val="en-US"/>
        </w:rPr>
      </w:pPr>
      <w:r>
        <w:rPr>
          <w:rFonts w:hint="eastAsia" w:hAnsi="宋体" w:cs="宋体"/>
          <w:b w:val="0"/>
          <w:bCs w:val="0"/>
          <w:color w:val="auto"/>
          <w:kern w:val="0"/>
          <w:sz w:val="21"/>
          <w:szCs w:val="21"/>
          <w:highlight w:val="none"/>
          <w:lang w:val="en-US"/>
        </w:rPr>
        <w:t>开户银行名称：</w:t>
      </w:r>
    </w:p>
    <w:p w14:paraId="40F4CA7A">
      <w:pPr>
        <w:pStyle w:val="19"/>
        <w:keepNext w:val="0"/>
        <w:keepLines w:val="0"/>
        <w:kinsoku/>
        <w:wordWrap/>
        <w:overflowPunct/>
        <w:topLinePunct w:val="0"/>
        <w:bidi w:val="0"/>
        <w:ind w:firstLineChars="200"/>
        <w:textAlignment w:val="auto"/>
        <w:outlineLvl w:val="9"/>
        <w:rPr>
          <w:color w:val="auto"/>
          <w:highlight w:val="none"/>
        </w:rPr>
      </w:pPr>
      <w:r>
        <w:rPr>
          <w:rFonts w:hint="eastAsia" w:ascii="宋体" w:hAnsi="宋体" w:eastAsia="宋体" w:cs="宋体"/>
          <w:color w:val="auto"/>
          <w:kern w:val="0"/>
          <w:szCs w:val="21"/>
          <w:highlight w:val="none"/>
        </w:rPr>
        <w:t>银行账号：</w:t>
      </w:r>
    </w:p>
    <w:p w14:paraId="113641DA">
      <w:pPr>
        <w:keepNext w:val="0"/>
        <w:keepLines w:val="0"/>
        <w:kinsoku/>
        <w:wordWrap/>
        <w:overflowPunct/>
        <w:topLinePunct w:val="0"/>
        <w:bidi w:val="0"/>
        <w:snapToGrid w:val="0"/>
        <w:spacing w:line="360" w:lineRule="auto"/>
        <w:ind w:firstLine="413" w:firstLineChars="196"/>
        <w:textAlignment w:val="auto"/>
        <w:outlineLvl w:val="9"/>
        <w:rPr>
          <w:rFonts w:ascii="宋体" w:hAnsi="宋体" w:eastAsia="宋体" w:cs="宋体"/>
          <w:b/>
          <w:color w:val="auto"/>
          <w:szCs w:val="21"/>
          <w:highlight w:val="none"/>
        </w:rPr>
      </w:pPr>
    </w:p>
    <w:p w14:paraId="246DA013">
      <w:pPr>
        <w:keepNext w:val="0"/>
        <w:keepLines w:val="0"/>
        <w:kinsoku/>
        <w:wordWrap/>
        <w:overflowPunct/>
        <w:topLinePunct w:val="0"/>
        <w:bidi w:val="0"/>
        <w:snapToGrid w:val="0"/>
        <w:spacing w:line="360" w:lineRule="auto"/>
        <w:ind w:firstLine="413" w:firstLineChars="196"/>
        <w:textAlignment w:val="auto"/>
        <w:outlineLvl w:val="9"/>
        <w:rPr>
          <w:rFonts w:ascii="宋体" w:hAnsi="宋体" w:eastAsia="宋体" w:cs="宋体"/>
          <w:b/>
          <w:color w:val="auto"/>
          <w:szCs w:val="21"/>
          <w:highlight w:val="none"/>
        </w:rPr>
      </w:pPr>
      <w:bookmarkStart w:id="736" w:name="_Toc21893"/>
      <w:r>
        <w:rPr>
          <w:rFonts w:hint="eastAsia" w:ascii="宋体" w:hAnsi="宋体" w:eastAsia="宋体" w:cs="宋体"/>
          <w:b/>
          <w:color w:val="auto"/>
          <w:szCs w:val="21"/>
          <w:highlight w:val="none"/>
        </w:rPr>
        <w:t>第六条 双方权利义务</w:t>
      </w:r>
      <w:bookmarkEnd w:id="736"/>
    </w:p>
    <w:p w14:paraId="739F3397">
      <w:pPr>
        <w:keepNext w:val="0"/>
        <w:keepLines w:val="0"/>
        <w:kinsoku/>
        <w:wordWrap/>
        <w:overflowPunct/>
        <w:topLinePunct w:val="0"/>
        <w:bidi w:val="0"/>
        <w:snapToGrid w:val="0"/>
        <w:spacing w:line="360" w:lineRule="auto"/>
        <w:ind w:firstLine="411" w:firstLineChars="196"/>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w:t>
      </w:r>
      <w:bookmarkStart w:id="737" w:name="_Toc18933"/>
      <w:r>
        <w:rPr>
          <w:rFonts w:hint="eastAsia" w:ascii="宋体" w:hAnsi="宋体" w:eastAsia="宋体" w:cs="宋体"/>
          <w:color w:val="auto"/>
          <w:szCs w:val="21"/>
          <w:highlight w:val="none"/>
        </w:rPr>
        <w:t>1、 甲方权利和义务</w:t>
      </w:r>
      <w:bookmarkEnd w:id="737"/>
      <w:r>
        <w:rPr>
          <w:rFonts w:hint="eastAsia" w:ascii="宋体" w:hAnsi="宋体" w:eastAsia="宋体" w:cs="宋体"/>
          <w:color w:val="auto"/>
          <w:szCs w:val="21"/>
          <w:highlight w:val="none"/>
        </w:rPr>
        <w:t xml:space="preserve"> </w:t>
      </w:r>
    </w:p>
    <w:p w14:paraId="37E493F3">
      <w:pPr>
        <w:keepNext w:val="0"/>
        <w:keepLines w:val="0"/>
        <w:kinsoku/>
        <w:wordWrap/>
        <w:overflowPunct/>
        <w:topLinePunct w:val="0"/>
        <w:bidi w:val="0"/>
        <w:snapToGrid w:val="0"/>
        <w:spacing w:line="360" w:lineRule="auto"/>
        <w:ind w:firstLine="411" w:firstLineChars="196"/>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1.1 甲方有权对乙方污泥处理处置全过程进行监督，具有及时纠正乙方出现问题的权利，甲方有权要求乙方对不符合要求的问题提出书面整改意见，乙方应在甲方规定的时间内完成整改。</w:t>
      </w:r>
    </w:p>
    <w:p w14:paraId="7A81DCF4">
      <w:pPr>
        <w:keepNext w:val="0"/>
        <w:keepLines w:val="0"/>
        <w:kinsoku/>
        <w:wordWrap/>
        <w:overflowPunct/>
        <w:topLinePunct w:val="0"/>
        <w:bidi w:val="0"/>
        <w:snapToGrid w:val="0"/>
        <w:spacing w:line="360" w:lineRule="auto"/>
        <w:ind w:firstLine="411" w:firstLineChars="196"/>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ascii="宋体" w:hAnsi="宋体" w:eastAsia="宋体" w:cs="宋体"/>
          <w:color w:val="auto"/>
          <w:szCs w:val="21"/>
          <w:highlight w:val="none"/>
        </w:rPr>
        <w:t>2</w:t>
      </w:r>
      <w:r>
        <w:rPr>
          <w:rFonts w:hint="eastAsia" w:ascii="宋体" w:hAnsi="宋体" w:eastAsia="宋体" w:cs="宋体"/>
          <w:color w:val="auto"/>
          <w:szCs w:val="21"/>
          <w:highlight w:val="none"/>
        </w:rPr>
        <w:t xml:space="preserve"> 甲方有权在不影响乙方生产运营的前提下进入到各处理系统进行检查、巡查、巡视等，有权对各种泥样、水样进行取样检测、分析。如发现乙方存在未按合同及附件相关文件规定执行，或执行内容规范要求行为的（包括但不限于系统操作不当，采购运用于本项目的材料、设备不符合质量要求等），甲方有权要求乙方限期改正等，由此产生的费用由乙方全部承担。 </w:t>
      </w:r>
    </w:p>
    <w:p w14:paraId="41D28DF8">
      <w:pPr>
        <w:keepNext w:val="0"/>
        <w:keepLines w:val="0"/>
        <w:kinsoku/>
        <w:wordWrap/>
        <w:overflowPunct/>
        <w:topLinePunct w:val="0"/>
        <w:bidi w:val="0"/>
        <w:snapToGrid w:val="0"/>
        <w:spacing w:line="360" w:lineRule="auto"/>
        <w:ind w:firstLine="411" w:firstLineChars="196"/>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ascii="宋体" w:hAnsi="宋体" w:eastAsia="宋体" w:cs="宋体"/>
          <w:color w:val="auto"/>
          <w:szCs w:val="21"/>
          <w:highlight w:val="none"/>
        </w:rPr>
        <w:t>3</w:t>
      </w:r>
      <w:r>
        <w:rPr>
          <w:rFonts w:hint="eastAsia" w:ascii="宋体" w:hAnsi="宋体" w:eastAsia="宋体" w:cs="宋体"/>
          <w:color w:val="auto"/>
          <w:szCs w:val="21"/>
          <w:highlight w:val="none"/>
        </w:rPr>
        <w:t xml:space="preserve"> 服务期内，甲方有权依据国家、行业有关规范标准，调整完善服务技术要求，乙方同意遵照执行。如服务期内相关管理部门出台相关执行标准，则执行新的标准，当新的标准与用户需求书中的执行标准要求不一致时，以要求最高的规范标准作为本项目的执行标准。在合同服务期内，乙方同意不因相关执行标准的调整而要求甲方增加费用或要求补偿。 </w:t>
      </w:r>
    </w:p>
    <w:p w14:paraId="4A7AA4D1">
      <w:pPr>
        <w:keepNext w:val="0"/>
        <w:keepLines w:val="0"/>
        <w:kinsoku/>
        <w:wordWrap/>
        <w:overflowPunct/>
        <w:topLinePunct w:val="0"/>
        <w:bidi w:val="0"/>
        <w:snapToGrid w:val="0"/>
        <w:spacing w:line="360" w:lineRule="auto"/>
        <w:ind w:firstLine="411" w:firstLineChars="196"/>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ascii="宋体" w:hAnsi="宋体" w:eastAsia="宋体" w:cs="宋体"/>
          <w:color w:val="auto"/>
          <w:szCs w:val="21"/>
          <w:highlight w:val="none"/>
        </w:rPr>
        <w:t>4</w:t>
      </w:r>
      <w:r>
        <w:rPr>
          <w:rFonts w:hint="eastAsia" w:ascii="宋体" w:hAnsi="宋体" w:eastAsia="宋体" w:cs="宋体"/>
          <w:color w:val="auto"/>
          <w:szCs w:val="21"/>
          <w:highlight w:val="none"/>
        </w:rPr>
        <w:t xml:space="preserve"> 若乙方污泥处理处置能力不能满足甲方需求或乙方未能根据承诺按时投运或达标处理的，甲方有权要求乙方通过增加脱水减量化设备、技术升级或改造等措施以满足污泥处理处置需求，且甲方有权另行委托其他单位实施进行污泥处理处置工作，甲方不承担任何违约责任。</w:t>
      </w:r>
    </w:p>
    <w:p w14:paraId="51394EEF">
      <w:pPr>
        <w:keepNext w:val="0"/>
        <w:keepLines w:val="0"/>
        <w:kinsoku/>
        <w:wordWrap/>
        <w:overflowPunct/>
        <w:topLinePunct w:val="0"/>
        <w:bidi w:val="0"/>
        <w:snapToGrid w:val="0"/>
        <w:spacing w:line="360" w:lineRule="auto"/>
        <w:ind w:firstLine="411" w:firstLineChars="196"/>
        <w:textAlignment w:val="auto"/>
        <w:outlineLvl w:val="9"/>
        <w:rPr>
          <w:rFonts w:ascii="宋体" w:hAnsi="宋体" w:eastAsia="宋体" w:cs="宋体"/>
          <w:color w:val="auto"/>
          <w:szCs w:val="21"/>
          <w:highlight w:val="none"/>
        </w:rPr>
      </w:pPr>
      <w:r>
        <w:rPr>
          <w:rFonts w:ascii="宋体" w:hAnsi="宋体" w:eastAsia="宋体" w:cs="宋体"/>
          <w:color w:val="auto"/>
          <w:szCs w:val="21"/>
          <w:highlight w:val="none"/>
        </w:rPr>
        <w:t>1.5</w:t>
      </w:r>
      <w:r>
        <w:rPr>
          <w:rFonts w:hint="eastAsia" w:ascii="宋体" w:hAnsi="宋体" w:eastAsia="宋体" w:cs="宋体"/>
          <w:color w:val="auto"/>
          <w:szCs w:val="21"/>
          <w:highlight w:val="none"/>
        </w:rPr>
        <w:t>甲方根据樟村水质净化厂现状条件提供乙方便利，乙方提供污泥处理处置服务的运维设备设施界限以甲方现场要求为准，甲方有权要求乙方对污泥处理处置服务相关方案、重要资料等进行提交备案，乙方不得拒绝。</w:t>
      </w:r>
    </w:p>
    <w:p w14:paraId="72E59539">
      <w:pPr>
        <w:keepNext w:val="0"/>
        <w:keepLines w:val="0"/>
        <w:kinsoku/>
        <w:wordWrap/>
        <w:overflowPunct/>
        <w:topLinePunct w:val="0"/>
        <w:bidi w:val="0"/>
        <w:snapToGrid w:val="0"/>
        <w:spacing w:line="360" w:lineRule="auto"/>
        <w:ind w:firstLine="411" w:firstLineChars="196"/>
        <w:textAlignment w:val="auto"/>
        <w:outlineLvl w:val="9"/>
        <w:rPr>
          <w:rFonts w:ascii="宋体" w:hAnsi="宋体" w:eastAsia="宋体" w:cs="宋体"/>
          <w:color w:val="auto"/>
          <w:szCs w:val="21"/>
          <w:highlight w:val="none"/>
        </w:rPr>
      </w:pPr>
      <w:r>
        <w:rPr>
          <w:rFonts w:ascii="宋体" w:hAnsi="宋体" w:eastAsia="宋体" w:cs="宋体"/>
          <w:color w:val="auto"/>
          <w:szCs w:val="21"/>
          <w:highlight w:val="none"/>
        </w:rPr>
        <w:t xml:space="preserve">1.6 </w:t>
      </w:r>
      <w:r>
        <w:rPr>
          <w:rFonts w:hint="eastAsia" w:ascii="宋体" w:hAnsi="宋体" w:eastAsia="宋体" w:cs="宋体"/>
          <w:color w:val="auto"/>
          <w:szCs w:val="21"/>
          <w:highlight w:val="none"/>
        </w:rPr>
        <w:t>甲方需会同</w:t>
      </w:r>
      <w:r>
        <w:rPr>
          <w:rFonts w:ascii="宋体" w:hAnsi="宋体" w:eastAsia="宋体" w:cs="宋体"/>
          <w:color w:val="auto"/>
          <w:szCs w:val="21"/>
          <w:highlight w:val="none"/>
        </w:rPr>
        <w:t>乙方</w:t>
      </w:r>
      <w:r>
        <w:rPr>
          <w:rFonts w:hint="eastAsia" w:ascii="宋体" w:hAnsi="宋体" w:eastAsia="宋体" w:cs="宋体"/>
          <w:color w:val="auto"/>
          <w:szCs w:val="21"/>
          <w:highlight w:val="none"/>
        </w:rPr>
        <w:t>共同</w:t>
      </w:r>
      <w:r>
        <w:rPr>
          <w:rFonts w:ascii="宋体" w:hAnsi="宋体" w:eastAsia="宋体" w:cs="宋体"/>
          <w:color w:val="auto"/>
          <w:szCs w:val="21"/>
          <w:highlight w:val="none"/>
        </w:rPr>
        <w:t>确认污泥处理处置量。</w:t>
      </w:r>
    </w:p>
    <w:p w14:paraId="6D194981">
      <w:pPr>
        <w:keepNext w:val="0"/>
        <w:keepLines w:val="0"/>
        <w:kinsoku/>
        <w:wordWrap/>
        <w:overflowPunct/>
        <w:topLinePunct w:val="0"/>
        <w:bidi w:val="0"/>
        <w:snapToGrid w:val="0"/>
        <w:spacing w:line="360" w:lineRule="auto"/>
        <w:ind w:firstLine="411" w:firstLineChars="196"/>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1.7 甲方按照既定的审批支付程序，及时办理服务费的支付手续。 </w:t>
      </w:r>
    </w:p>
    <w:p w14:paraId="701D3B54">
      <w:pPr>
        <w:keepNext w:val="0"/>
        <w:keepLines w:val="0"/>
        <w:kinsoku/>
        <w:wordWrap/>
        <w:overflowPunct/>
        <w:topLinePunct w:val="0"/>
        <w:bidi w:val="0"/>
        <w:snapToGrid w:val="0"/>
        <w:spacing w:line="360" w:lineRule="auto"/>
        <w:ind w:firstLine="411" w:firstLineChars="196"/>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1.8 合同文件及附件内容约定的甲方其余权利义务。 </w:t>
      </w:r>
    </w:p>
    <w:p w14:paraId="5DE9E12E">
      <w:pPr>
        <w:keepNext w:val="0"/>
        <w:keepLines w:val="0"/>
        <w:kinsoku/>
        <w:wordWrap/>
        <w:overflowPunct/>
        <w:topLinePunct w:val="0"/>
        <w:bidi w:val="0"/>
        <w:snapToGrid w:val="0"/>
        <w:spacing w:line="360" w:lineRule="auto"/>
        <w:ind w:firstLine="411" w:firstLineChars="196"/>
        <w:textAlignment w:val="auto"/>
        <w:outlineLvl w:val="9"/>
        <w:rPr>
          <w:rFonts w:ascii="宋体" w:hAnsi="宋体" w:eastAsia="宋体" w:cs="宋体"/>
          <w:color w:val="auto"/>
          <w:szCs w:val="21"/>
          <w:highlight w:val="none"/>
        </w:rPr>
      </w:pPr>
      <w:bookmarkStart w:id="738" w:name="_Toc4936"/>
      <w:r>
        <w:rPr>
          <w:rFonts w:hint="eastAsia" w:ascii="宋体" w:hAnsi="宋体" w:eastAsia="宋体" w:cs="宋体"/>
          <w:color w:val="auto"/>
          <w:szCs w:val="21"/>
          <w:highlight w:val="none"/>
        </w:rPr>
        <w:t>2 、乙方权利和义务</w:t>
      </w:r>
      <w:bookmarkEnd w:id="738"/>
      <w:r>
        <w:rPr>
          <w:rFonts w:hint="eastAsia" w:ascii="宋体" w:hAnsi="宋体" w:eastAsia="宋体" w:cs="宋体"/>
          <w:color w:val="auto"/>
          <w:szCs w:val="21"/>
          <w:highlight w:val="none"/>
        </w:rPr>
        <w:t xml:space="preserve"> </w:t>
      </w:r>
    </w:p>
    <w:p w14:paraId="36E983CD">
      <w:pPr>
        <w:keepNext w:val="0"/>
        <w:keepLines w:val="0"/>
        <w:kinsoku/>
        <w:wordWrap/>
        <w:overflowPunct/>
        <w:topLinePunct w:val="0"/>
        <w:bidi w:val="0"/>
        <w:snapToGrid w:val="0"/>
        <w:spacing w:line="360" w:lineRule="auto"/>
        <w:ind w:firstLine="411" w:firstLineChars="196"/>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2.1乙方应按甲方的要求连续不间断的接收处理处置污泥，确保</w:t>
      </w:r>
      <w:r>
        <w:rPr>
          <w:rFonts w:hint="eastAsia" w:ascii="宋体" w:hAnsi="宋体" w:eastAsia="宋体" w:cs="宋体"/>
          <w:color w:val="auto"/>
          <w:szCs w:val="21"/>
          <w:highlight w:val="none"/>
          <w:lang w:val="en-US" w:eastAsia="zh-CN"/>
        </w:rPr>
        <w:t>甲方</w:t>
      </w:r>
      <w:r>
        <w:rPr>
          <w:rFonts w:hint="eastAsia" w:ascii="宋体" w:hAnsi="宋体" w:eastAsia="宋体" w:cs="宋体"/>
          <w:color w:val="auto"/>
          <w:szCs w:val="21"/>
          <w:highlight w:val="none"/>
        </w:rPr>
        <w:t>正常生产运营；乙方应保障污泥处理处置服务达到本合同服务标准和要求约定，</w:t>
      </w:r>
      <w:r>
        <w:rPr>
          <w:rFonts w:hint="eastAsia" w:ascii="宋体" w:hAnsi="宋体" w:eastAsia="宋体" w:cs="宋体"/>
          <w:color w:val="auto"/>
          <w:kern w:val="0"/>
          <w:szCs w:val="21"/>
          <w:highlight w:val="none"/>
        </w:rPr>
        <w:t>若因污泥处理处置达不到要求造成甲方影响和损失的，</w:t>
      </w:r>
      <w:r>
        <w:rPr>
          <w:rFonts w:hint="eastAsia" w:ascii="宋体" w:hAnsi="宋体" w:eastAsia="宋体" w:cs="宋体"/>
          <w:color w:val="auto"/>
          <w:szCs w:val="21"/>
          <w:highlight w:val="none"/>
        </w:rPr>
        <w:t>乙方</w:t>
      </w:r>
      <w:r>
        <w:rPr>
          <w:rFonts w:hint="eastAsia" w:ascii="宋体" w:hAnsi="宋体" w:eastAsia="宋体" w:cs="宋体"/>
          <w:color w:val="auto"/>
          <w:kern w:val="0"/>
          <w:szCs w:val="21"/>
          <w:highlight w:val="none"/>
        </w:rPr>
        <w:t>应赔偿全部损失，并依法承担因此造成的法律责任</w:t>
      </w:r>
      <w:r>
        <w:rPr>
          <w:rFonts w:hint="eastAsia" w:ascii="宋体" w:hAnsi="宋体" w:eastAsia="宋体" w:cs="宋体"/>
          <w:color w:val="auto"/>
          <w:szCs w:val="21"/>
          <w:highlight w:val="none"/>
        </w:rPr>
        <w:t>。</w:t>
      </w:r>
    </w:p>
    <w:p w14:paraId="440BB936">
      <w:pPr>
        <w:keepNext w:val="0"/>
        <w:keepLines w:val="0"/>
        <w:kinsoku/>
        <w:wordWrap/>
        <w:overflowPunct/>
        <w:topLinePunct w:val="0"/>
        <w:bidi w:val="0"/>
        <w:snapToGrid w:val="0"/>
        <w:spacing w:line="360" w:lineRule="auto"/>
        <w:ind w:firstLine="411" w:firstLineChars="196"/>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2.</w:t>
      </w:r>
      <w:r>
        <w:rPr>
          <w:rFonts w:ascii="宋体" w:hAnsi="宋体" w:eastAsia="宋体" w:cs="宋体"/>
          <w:color w:val="auto"/>
          <w:szCs w:val="21"/>
          <w:highlight w:val="none"/>
        </w:rPr>
        <w:t>2</w:t>
      </w:r>
      <w:r>
        <w:rPr>
          <w:rFonts w:hint="eastAsia" w:ascii="宋体" w:hAnsi="宋体" w:eastAsia="宋体" w:cs="宋体"/>
          <w:color w:val="auto"/>
          <w:szCs w:val="21"/>
          <w:highlight w:val="none"/>
        </w:rPr>
        <w:t xml:space="preserve"> 乙方在满足招标文件的前提下，严格按照其投标文件提供的服务方案（包括实施计划、设备、人员、文明、安全等）等履行合同义务。根据现场实际情况，如需调整的，应按甲方要求无条件调整服务。未经甲方书面同意，乙方不得更换项目负责人、技术人员等，否则视为违约。 </w:t>
      </w:r>
    </w:p>
    <w:p w14:paraId="610EBE7C">
      <w:pPr>
        <w:keepNext w:val="0"/>
        <w:keepLines w:val="0"/>
        <w:kinsoku/>
        <w:wordWrap/>
        <w:overflowPunct/>
        <w:topLinePunct w:val="0"/>
        <w:bidi w:val="0"/>
        <w:snapToGrid w:val="0"/>
        <w:spacing w:line="360" w:lineRule="auto"/>
        <w:ind w:firstLine="411" w:firstLineChars="196"/>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2.</w:t>
      </w:r>
      <w:r>
        <w:rPr>
          <w:rFonts w:ascii="宋体" w:hAnsi="宋体" w:eastAsia="宋体" w:cs="宋体"/>
          <w:color w:val="auto"/>
          <w:szCs w:val="21"/>
          <w:highlight w:val="none"/>
        </w:rPr>
        <w:t>3</w:t>
      </w:r>
      <w:r>
        <w:rPr>
          <w:rFonts w:hint="eastAsia" w:ascii="宋体" w:hAnsi="宋体" w:eastAsia="宋体" w:cs="宋体"/>
          <w:color w:val="auto"/>
          <w:szCs w:val="21"/>
          <w:highlight w:val="none"/>
        </w:rPr>
        <w:t xml:space="preserve"> 甲方、甲方上级单位或市镇有关部门进行监督检查时，乙方应无条件配合甲方及有关部门组织的督察检查及迎检活动，按时、按标准、按要求完成甲方所分配的工作。积极响应并接受甲方或市、镇街相关主管部门及其他上级部门的监督检查，并接受广大市民监督。 </w:t>
      </w:r>
    </w:p>
    <w:p w14:paraId="53F460CC">
      <w:pPr>
        <w:keepNext w:val="0"/>
        <w:keepLines w:val="0"/>
        <w:kinsoku/>
        <w:wordWrap/>
        <w:overflowPunct/>
        <w:topLinePunct w:val="0"/>
        <w:bidi w:val="0"/>
        <w:snapToGrid w:val="0"/>
        <w:spacing w:line="360" w:lineRule="auto"/>
        <w:ind w:firstLine="411" w:firstLineChars="196"/>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2</w:t>
      </w:r>
      <w:r>
        <w:rPr>
          <w:rFonts w:ascii="宋体" w:hAnsi="宋体" w:eastAsia="宋体" w:cs="宋体"/>
          <w:color w:val="auto"/>
          <w:szCs w:val="21"/>
          <w:highlight w:val="none"/>
        </w:rPr>
        <w:t>.4</w:t>
      </w:r>
      <w:r>
        <w:rPr>
          <w:rFonts w:hint="eastAsia" w:ascii="宋体" w:hAnsi="宋体" w:eastAsia="宋体" w:cs="宋体"/>
          <w:color w:val="auto"/>
          <w:szCs w:val="21"/>
          <w:highlight w:val="none"/>
        </w:rPr>
        <w:t>乙方应按甲方现场确定的污泥处理处置服务的运维设备设施界限进行相关运维工作，按甲方要求将污泥处理处置服务相关方案、重要资料等进行提交备案，乙方不得拒绝相关要求，如因乙方原因对甲方造成影响的，乙方需承担相关责任。</w:t>
      </w:r>
    </w:p>
    <w:p w14:paraId="74A16F14">
      <w:pPr>
        <w:keepNext w:val="0"/>
        <w:keepLines w:val="0"/>
        <w:kinsoku/>
        <w:wordWrap/>
        <w:overflowPunct/>
        <w:topLinePunct w:val="0"/>
        <w:bidi w:val="0"/>
        <w:snapToGrid w:val="0"/>
        <w:spacing w:line="360" w:lineRule="auto"/>
        <w:ind w:firstLine="411" w:firstLineChars="196"/>
        <w:textAlignment w:val="auto"/>
        <w:outlineLvl w:val="9"/>
        <w:rPr>
          <w:rFonts w:ascii="宋体" w:hAnsi="宋体" w:eastAsia="宋体" w:cs="宋体"/>
          <w:color w:val="auto"/>
          <w:szCs w:val="21"/>
          <w:highlight w:val="none"/>
        </w:rPr>
      </w:pPr>
      <w:r>
        <w:rPr>
          <w:rFonts w:ascii="宋体" w:hAnsi="宋体" w:eastAsia="宋体" w:cs="宋体"/>
          <w:color w:val="auto"/>
          <w:szCs w:val="21"/>
          <w:highlight w:val="none"/>
        </w:rPr>
        <w:t>2.5</w:t>
      </w:r>
      <w:r>
        <w:rPr>
          <w:rFonts w:hint="eastAsia" w:ascii="宋体" w:hAnsi="宋体" w:eastAsia="宋体" w:cs="宋体"/>
          <w:color w:val="auto"/>
          <w:szCs w:val="21"/>
          <w:highlight w:val="none"/>
        </w:rPr>
        <w:t>乙方应严格执行</w:t>
      </w:r>
      <w:r>
        <w:rPr>
          <w:rFonts w:hint="eastAsia" w:ascii="宋体" w:hAnsi="宋体" w:eastAsia="宋体" w:cs="宋体"/>
          <w:color w:val="auto"/>
          <w:szCs w:val="21"/>
          <w:highlight w:val="none"/>
          <w:lang w:val="en-US" w:eastAsia="zh-CN"/>
        </w:rPr>
        <w:t>甲方</w:t>
      </w:r>
      <w:r>
        <w:rPr>
          <w:rFonts w:hint="eastAsia" w:ascii="宋体" w:hAnsi="宋体" w:eastAsia="宋体" w:cs="宋体"/>
          <w:color w:val="auto"/>
          <w:szCs w:val="21"/>
          <w:highlight w:val="none"/>
        </w:rPr>
        <w:t>的管理规章制度，并根据甲方的生产调度安排，提供污泥处理处置服务，不得对</w:t>
      </w:r>
      <w:r>
        <w:rPr>
          <w:rFonts w:hint="eastAsia" w:ascii="宋体" w:hAnsi="宋体" w:eastAsia="宋体" w:cs="宋体"/>
          <w:color w:val="auto"/>
          <w:szCs w:val="21"/>
          <w:highlight w:val="none"/>
          <w:lang w:val="en-US" w:eastAsia="zh-CN"/>
        </w:rPr>
        <w:t>甲方</w:t>
      </w:r>
      <w:r>
        <w:rPr>
          <w:rFonts w:hint="eastAsia" w:ascii="宋体" w:hAnsi="宋体" w:eastAsia="宋体" w:cs="宋体"/>
          <w:color w:val="auto"/>
          <w:szCs w:val="21"/>
          <w:highlight w:val="none"/>
        </w:rPr>
        <w:t>的正常生产运营、出水达标造成影响。如果因为乙方原因，导致</w:t>
      </w:r>
      <w:r>
        <w:rPr>
          <w:rFonts w:hint="eastAsia" w:ascii="宋体" w:hAnsi="宋体" w:eastAsia="宋体" w:cs="宋体"/>
          <w:color w:val="auto"/>
          <w:szCs w:val="21"/>
          <w:highlight w:val="none"/>
          <w:lang w:val="en-US" w:eastAsia="zh-CN"/>
        </w:rPr>
        <w:t>甲方</w:t>
      </w:r>
      <w:r>
        <w:rPr>
          <w:rFonts w:hint="eastAsia" w:ascii="宋体" w:hAnsi="宋体" w:eastAsia="宋体" w:cs="宋体"/>
          <w:color w:val="auto"/>
          <w:szCs w:val="21"/>
          <w:highlight w:val="none"/>
        </w:rPr>
        <w:t>正常生产受到影响或出水水质不良影响</w:t>
      </w:r>
      <w:r>
        <w:rPr>
          <w:rFonts w:hint="eastAsia" w:ascii="宋体" w:hAnsi="宋体" w:eastAsia="宋体" w:cs="宋体"/>
          <w:color w:val="auto"/>
          <w:szCs w:val="21"/>
          <w:highlight w:val="none"/>
          <w:lang w:val="en-US" w:eastAsia="zh-CN"/>
        </w:rPr>
        <w:t>的</w:t>
      </w:r>
      <w:r>
        <w:rPr>
          <w:rFonts w:hint="eastAsia" w:ascii="宋体" w:hAnsi="宋体" w:eastAsia="宋体" w:cs="宋体"/>
          <w:color w:val="auto"/>
          <w:szCs w:val="21"/>
          <w:highlight w:val="none"/>
        </w:rPr>
        <w:t xml:space="preserve">，甲方将有权单方解除合同。 </w:t>
      </w:r>
    </w:p>
    <w:p w14:paraId="5F580985">
      <w:pPr>
        <w:keepNext w:val="0"/>
        <w:keepLines w:val="0"/>
        <w:kinsoku/>
        <w:wordWrap/>
        <w:overflowPunct/>
        <w:topLinePunct w:val="0"/>
        <w:bidi w:val="0"/>
        <w:snapToGrid w:val="0"/>
        <w:spacing w:line="360" w:lineRule="auto"/>
        <w:ind w:firstLine="411" w:firstLineChars="196"/>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2.</w:t>
      </w:r>
      <w:r>
        <w:rPr>
          <w:rFonts w:ascii="宋体" w:hAnsi="宋体" w:eastAsia="宋体" w:cs="宋体"/>
          <w:color w:val="auto"/>
          <w:szCs w:val="21"/>
          <w:highlight w:val="none"/>
        </w:rPr>
        <w:t>6</w:t>
      </w:r>
      <w:r>
        <w:rPr>
          <w:rFonts w:hint="eastAsia" w:ascii="宋体" w:hAnsi="宋体" w:eastAsia="宋体" w:cs="宋体"/>
          <w:color w:val="auto"/>
          <w:szCs w:val="21"/>
          <w:highlight w:val="none"/>
        </w:rPr>
        <w:t xml:space="preserve"> 乙方应严格遵守污泥处理处置相关的国家、地方相关法律、法规及规范，并建立污泥处理处置相关应急预案，防范相关风险。</w:t>
      </w:r>
    </w:p>
    <w:p w14:paraId="6F920D63">
      <w:pPr>
        <w:keepNext w:val="0"/>
        <w:keepLines w:val="0"/>
        <w:kinsoku/>
        <w:wordWrap/>
        <w:overflowPunct/>
        <w:topLinePunct w:val="0"/>
        <w:bidi w:val="0"/>
        <w:snapToGrid w:val="0"/>
        <w:spacing w:line="360" w:lineRule="auto"/>
        <w:ind w:firstLine="411" w:firstLineChars="196"/>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2</w:t>
      </w:r>
      <w:r>
        <w:rPr>
          <w:rFonts w:ascii="宋体" w:hAnsi="宋体" w:eastAsia="宋体" w:cs="宋体"/>
          <w:color w:val="auto"/>
          <w:szCs w:val="21"/>
          <w:highlight w:val="none"/>
        </w:rPr>
        <w:t>.7</w:t>
      </w:r>
      <w:r>
        <w:rPr>
          <w:rFonts w:hint="eastAsia" w:ascii="宋体" w:hAnsi="宋体" w:eastAsia="宋体" w:cs="宋体"/>
          <w:color w:val="auto"/>
          <w:szCs w:val="21"/>
          <w:highlight w:val="none"/>
        </w:rPr>
        <w:t xml:space="preserve">在服务过程中，乙方遵守有关安全生产管理规定，建立完善安全管理制度，安全生产事故报告制度，采取必要的安全防护措施，定期进行安全隐患排查，消除事故隐患。由于乙方原因造成双方及第三方的财产毁损、人身伤害及安全事故的责任和因此发生的费用，由乙方承担。若造成甲方其他损失，乙方仍需全额赔偿。若产生劳动纠纷或仲裁或诉讼，均由乙方自行处理并承担损害赔偿，甲方不承担任何责任。 </w:t>
      </w:r>
    </w:p>
    <w:p w14:paraId="3E3E5CEB">
      <w:pPr>
        <w:keepNext w:val="0"/>
        <w:keepLines w:val="0"/>
        <w:kinsoku/>
        <w:wordWrap/>
        <w:overflowPunct/>
        <w:topLinePunct w:val="0"/>
        <w:bidi w:val="0"/>
        <w:snapToGrid w:val="0"/>
        <w:spacing w:line="360" w:lineRule="auto"/>
        <w:ind w:firstLine="411" w:firstLineChars="196"/>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2.</w:t>
      </w:r>
      <w:r>
        <w:rPr>
          <w:rFonts w:ascii="宋体" w:hAnsi="宋体" w:eastAsia="宋体" w:cs="宋体"/>
          <w:color w:val="auto"/>
          <w:szCs w:val="21"/>
          <w:highlight w:val="none"/>
        </w:rPr>
        <w:t>8</w:t>
      </w:r>
      <w:r>
        <w:rPr>
          <w:rFonts w:hint="eastAsia" w:ascii="宋体" w:hAnsi="宋体" w:eastAsia="宋体" w:cs="宋体"/>
          <w:color w:val="auto"/>
          <w:szCs w:val="21"/>
          <w:highlight w:val="none"/>
        </w:rPr>
        <w:t xml:space="preserve"> 乙方需按国家地方污泥处理处置法律规范要求，建立健全内部管理制度，书面记录污泥处置情况，记录内容包括重量、交接时间、处置方式、经办人等项目，并接受甲方及有关主管部门对项目运营状况、服务质量的监督检查。在服务范围内按规范操作运行运维。 </w:t>
      </w:r>
    </w:p>
    <w:p w14:paraId="6BE7F8FA">
      <w:pPr>
        <w:keepNext w:val="0"/>
        <w:keepLines w:val="0"/>
        <w:kinsoku/>
        <w:wordWrap/>
        <w:overflowPunct/>
        <w:topLinePunct w:val="0"/>
        <w:bidi w:val="0"/>
        <w:snapToGrid w:val="0"/>
        <w:spacing w:line="360" w:lineRule="auto"/>
        <w:ind w:firstLine="411" w:firstLineChars="196"/>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2.</w:t>
      </w:r>
      <w:r>
        <w:rPr>
          <w:rFonts w:ascii="宋体" w:hAnsi="宋体" w:eastAsia="宋体" w:cs="宋体"/>
          <w:color w:val="auto"/>
          <w:szCs w:val="21"/>
          <w:highlight w:val="none"/>
        </w:rPr>
        <w:t>9</w:t>
      </w:r>
      <w:r>
        <w:rPr>
          <w:rFonts w:hint="eastAsia" w:ascii="宋体" w:hAnsi="宋体" w:eastAsia="宋体" w:cs="宋体"/>
          <w:color w:val="auto"/>
          <w:szCs w:val="21"/>
          <w:highlight w:val="none"/>
        </w:rPr>
        <w:t xml:space="preserve"> 在本合同履行期间，承担其聘请人员的用工责任及用人单位责任。如乙方人员（包括雇员、乙方劳动者等）在服务过程中发生意外事故的，由乙方承担全部责任并支付全部费用。 如乙方员工有违法乱纪的行为，乙方应承担一切经济责任和法律责任。</w:t>
      </w:r>
    </w:p>
    <w:p w14:paraId="546BBB85">
      <w:pPr>
        <w:keepNext w:val="0"/>
        <w:keepLines w:val="0"/>
        <w:kinsoku/>
        <w:wordWrap/>
        <w:overflowPunct/>
        <w:topLinePunct w:val="0"/>
        <w:bidi w:val="0"/>
        <w:snapToGrid w:val="0"/>
        <w:spacing w:line="360" w:lineRule="auto"/>
        <w:ind w:firstLine="411" w:firstLineChars="196"/>
        <w:textAlignment w:val="auto"/>
        <w:outlineLvl w:val="9"/>
        <w:rPr>
          <w:rFonts w:ascii="宋体" w:hAnsi="宋体" w:eastAsia="宋体" w:cs="宋体"/>
          <w:color w:val="auto"/>
          <w:szCs w:val="21"/>
          <w:highlight w:val="none"/>
        </w:rPr>
      </w:pPr>
      <w:r>
        <w:rPr>
          <w:rFonts w:ascii="宋体" w:hAnsi="宋体" w:eastAsia="宋体" w:cs="宋体"/>
          <w:color w:val="auto"/>
          <w:szCs w:val="21"/>
          <w:highlight w:val="none"/>
        </w:rPr>
        <w:t>2.10</w:t>
      </w:r>
      <w:r>
        <w:rPr>
          <w:rFonts w:hint="eastAsia" w:ascii="宋体" w:hAnsi="宋体" w:eastAsia="宋体" w:cs="宋体"/>
          <w:color w:val="auto"/>
          <w:szCs w:val="21"/>
          <w:highlight w:val="none"/>
        </w:rPr>
        <w:t>乙方应建立项目污泥处理处置管理台账，如实记录日常运营中的污泥进料量、主要设备工艺及配套设备的运行参数、工艺段处理量、调理剂及药剂使用量和进出场记录、能源使用量、污泥产生量等，台账应包含市生态环境局要求建立的污泥管理台账，该台账保存时间应不低于</w:t>
      </w:r>
      <w:r>
        <w:rPr>
          <w:rFonts w:ascii="宋体" w:hAnsi="宋体" w:eastAsia="宋体" w:cs="宋体"/>
          <w:color w:val="auto"/>
          <w:szCs w:val="21"/>
          <w:highlight w:val="none"/>
        </w:rPr>
        <w:t>5年。</w:t>
      </w:r>
    </w:p>
    <w:p w14:paraId="63968FAC">
      <w:pPr>
        <w:keepNext w:val="0"/>
        <w:keepLines w:val="0"/>
        <w:kinsoku/>
        <w:wordWrap/>
        <w:overflowPunct/>
        <w:topLinePunct w:val="0"/>
        <w:bidi w:val="0"/>
        <w:snapToGrid w:val="0"/>
        <w:spacing w:line="360" w:lineRule="auto"/>
        <w:ind w:firstLine="411" w:firstLineChars="196"/>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2.1</w:t>
      </w:r>
      <w:r>
        <w:rPr>
          <w:rFonts w:ascii="宋体" w:hAnsi="宋体" w:eastAsia="宋体" w:cs="宋体"/>
          <w:color w:val="auto"/>
          <w:szCs w:val="21"/>
          <w:highlight w:val="none"/>
        </w:rPr>
        <w:t>1</w:t>
      </w:r>
      <w:r>
        <w:rPr>
          <w:rFonts w:hint="eastAsia" w:ascii="宋体" w:hAnsi="宋体" w:eastAsia="宋体" w:cs="宋体"/>
          <w:color w:val="auto"/>
          <w:szCs w:val="21"/>
          <w:highlight w:val="none"/>
        </w:rPr>
        <w:t xml:space="preserve"> 乙方需建立健全泥质及污泥处理处置副产品检测和检验制度。每季度委托有资质的第三方检测机构对入厂泥质及污泥处理处置副产品进行检测、跟踪、记录，检测报告资料保存时间为</w:t>
      </w:r>
      <w:r>
        <w:rPr>
          <w:rFonts w:ascii="宋体" w:hAnsi="宋体" w:eastAsia="宋体" w:cs="宋体"/>
          <w:color w:val="auto"/>
          <w:szCs w:val="21"/>
          <w:highlight w:val="none"/>
        </w:rPr>
        <w:t>5年，并于下季度首月20日前提交至甲方。</w:t>
      </w:r>
    </w:p>
    <w:p w14:paraId="3892256E">
      <w:pPr>
        <w:keepNext w:val="0"/>
        <w:keepLines w:val="0"/>
        <w:kinsoku/>
        <w:wordWrap/>
        <w:overflowPunct/>
        <w:topLinePunct w:val="0"/>
        <w:bidi w:val="0"/>
        <w:snapToGrid w:val="0"/>
        <w:spacing w:line="360" w:lineRule="auto"/>
        <w:ind w:firstLine="411" w:firstLineChars="196"/>
        <w:textAlignment w:val="auto"/>
        <w:outlineLvl w:val="9"/>
        <w:rPr>
          <w:rFonts w:ascii="宋体" w:hAnsi="宋体" w:eastAsia="宋体" w:cs="宋体"/>
          <w:color w:val="auto"/>
          <w:szCs w:val="21"/>
          <w:highlight w:val="none"/>
        </w:rPr>
      </w:pPr>
      <w:r>
        <w:rPr>
          <w:rFonts w:ascii="宋体" w:hAnsi="宋体" w:eastAsia="宋体" w:cs="宋体"/>
          <w:color w:val="auto"/>
          <w:szCs w:val="21"/>
          <w:highlight w:val="none"/>
        </w:rPr>
        <w:t>2.12 本项目禁止将全部的权利义务转让给第三人，未经甲方书面同意，乙方不得将本合同项下乙方的部分权利义务转让给第三人。</w:t>
      </w:r>
    </w:p>
    <w:p w14:paraId="258BBEF1">
      <w:pPr>
        <w:keepNext w:val="0"/>
        <w:keepLines w:val="0"/>
        <w:kinsoku/>
        <w:wordWrap/>
        <w:overflowPunct/>
        <w:topLinePunct w:val="0"/>
        <w:bidi w:val="0"/>
        <w:snapToGrid w:val="0"/>
        <w:spacing w:line="360" w:lineRule="auto"/>
        <w:ind w:firstLine="411" w:firstLineChars="196"/>
        <w:textAlignment w:val="auto"/>
        <w:outlineLvl w:val="9"/>
        <w:rPr>
          <w:rFonts w:hint="eastAsia" w:ascii="宋体" w:hAnsi="宋体" w:eastAsia="宋体" w:cs="宋体"/>
          <w:color w:val="auto"/>
          <w:szCs w:val="21"/>
          <w:highlight w:val="none"/>
        </w:rPr>
      </w:pPr>
      <w:r>
        <w:rPr>
          <w:rFonts w:ascii="宋体" w:hAnsi="宋体" w:eastAsia="宋体" w:cs="宋体"/>
          <w:color w:val="auto"/>
          <w:szCs w:val="21"/>
          <w:highlight w:val="none"/>
        </w:rPr>
        <w:t>2.13</w:t>
      </w:r>
      <w:r>
        <w:rPr>
          <w:rFonts w:hint="eastAsia" w:ascii="宋体" w:hAnsi="宋体" w:eastAsia="宋体" w:cs="宋体"/>
          <w:color w:val="auto"/>
          <w:szCs w:val="21"/>
          <w:highlight w:val="none"/>
        </w:rPr>
        <w:t xml:space="preserve">在合同期限内保存好全部项目相关的文件资料，且不得将上述文件资料向第三人披露或用于本项目之外的目的。在合同解除或终止后，按照甲方的要求，做好本项目的交接工作。 </w:t>
      </w:r>
    </w:p>
    <w:p w14:paraId="7F77EFA4">
      <w:pPr>
        <w:keepNext w:val="0"/>
        <w:keepLines w:val="0"/>
        <w:kinsoku/>
        <w:wordWrap/>
        <w:overflowPunct/>
        <w:topLinePunct w:val="0"/>
        <w:bidi w:val="0"/>
        <w:snapToGrid w:val="0"/>
        <w:spacing w:line="360" w:lineRule="auto"/>
        <w:ind w:firstLine="411" w:firstLineChars="196"/>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2.14 污泥处理处置过程中，因乙方自身原因引起以及乙方在甲方厂区内外造成污泥二次污染事故，均由乙方承担相应的责任，如给甲方造成损失的，还应当承担全部赔偿责任。</w:t>
      </w:r>
    </w:p>
    <w:p w14:paraId="33596D68">
      <w:pPr>
        <w:keepNext w:val="0"/>
        <w:keepLines w:val="0"/>
        <w:kinsoku/>
        <w:wordWrap/>
        <w:overflowPunct/>
        <w:topLinePunct w:val="0"/>
        <w:bidi w:val="0"/>
        <w:snapToGrid w:val="0"/>
        <w:spacing w:line="360" w:lineRule="auto"/>
        <w:ind w:firstLine="411" w:firstLineChars="196"/>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2.15 乙方需完善污泥处理处置过程当中的环保措施，使废水、废气、噪声符合国家相关规范，避免居民投诉。</w:t>
      </w:r>
    </w:p>
    <w:p w14:paraId="3C4AC1B1">
      <w:pPr>
        <w:keepNext w:val="0"/>
        <w:keepLines w:val="0"/>
        <w:kinsoku/>
        <w:wordWrap/>
        <w:overflowPunct/>
        <w:topLinePunct w:val="0"/>
        <w:bidi w:val="0"/>
        <w:snapToGrid w:val="0"/>
        <w:spacing w:line="360" w:lineRule="auto"/>
        <w:ind w:firstLine="411" w:firstLineChars="196"/>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2.16 乙方运输车辆应严格按照《中华人民共和国道路运输条例》等法律、法规操作，安全、合法地运输，在任何情况下都不得进行任何形式的超载运输，应采用陆路运输，禁止采用水路运输，否则造成的一切后果由乙方承担。乙方从事污泥收集、运输必须向所经过道路的市政行政管理部门申请办理运输车辆准运证件，并按备案许可的运输路线进行污泥运输。</w:t>
      </w:r>
    </w:p>
    <w:p w14:paraId="36B4F8C3">
      <w:pPr>
        <w:keepNext w:val="0"/>
        <w:keepLines w:val="0"/>
        <w:kinsoku/>
        <w:wordWrap/>
        <w:overflowPunct/>
        <w:topLinePunct w:val="0"/>
        <w:bidi w:val="0"/>
        <w:snapToGrid w:val="0"/>
        <w:spacing w:line="360" w:lineRule="auto"/>
        <w:ind w:firstLine="411" w:firstLineChars="196"/>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2.17 乙方采用的污泥运输车辆应密封、防水、不渗漏，四周槽帮牢固可靠、无破损、挡板严密，在驶出装载现场前，应将车辆槽帮和车轮冲洗干净，不得车轮带泥行驶、不得沿途泄漏，运输时发现自身有泄漏的，应及时采取有效措施清扫干净。乙方应</w:t>
      </w:r>
      <w:r>
        <w:rPr>
          <w:rFonts w:hint="eastAsia" w:ascii="宋体" w:hAnsi="宋体" w:eastAsia="宋体" w:cs="宋体"/>
          <w:color w:val="auto"/>
          <w:szCs w:val="21"/>
          <w:highlight w:val="none"/>
          <w:lang w:val="en-US" w:eastAsia="zh-CN"/>
        </w:rPr>
        <w:t>在</w:t>
      </w:r>
      <w:r>
        <w:rPr>
          <w:rFonts w:hint="eastAsia" w:ascii="宋体" w:hAnsi="宋体" w:eastAsia="宋体" w:cs="宋体"/>
          <w:color w:val="auto"/>
          <w:szCs w:val="21"/>
          <w:highlight w:val="none"/>
        </w:rPr>
        <w:t xml:space="preserve">运输过程中进行全过程监控和管理，防止因裸露、散落或泄漏造成二次污染，且不设中转储存点，不随意倾倒，不偷排污泥。乙方负责做好污泥运输及处置过程的安全、卫生及防治污泥污染扩散工作，承担由此产生的一切经济法律责任。 </w:t>
      </w:r>
    </w:p>
    <w:p w14:paraId="2276DE18">
      <w:pPr>
        <w:keepNext w:val="0"/>
        <w:keepLines w:val="0"/>
        <w:kinsoku/>
        <w:wordWrap/>
        <w:overflowPunct/>
        <w:topLinePunct w:val="0"/>
        <w:bidi w:val="0"/>
        <w:snapToGrid w:val="0"/>
        <w:spacing w:line="360" w:lineRule="auto"/>
        <w:ind w:firstLine="411" w:firstLineChars="196"/>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2.</w:t>
      </w:r>
      <w:r>
        <w:rPr>
          <w:rFonts w:ascii="宋体" w:hAnsi="宋体" w:eastAsia="宋体" w:cs="宋体"/>
          <w:color w:val="auto"/>
          <w:szCs w:val="21"/>
          <w:highlight w:val="none"/>
        </w:rPr>
        <w:t>18</w:t>
      </w:r>
      <w:r>
        <w:rPr>
          <w:rFonts w:hint="eastAsia" w:ascii="宋体" w:hAnsi="宋体" w:eastAsia="宋体" w:cs="宋体"/>
          <w:color w:val="auto"/>
          <w:szCs w:val="21"/>
          <w:highlight w:val="none"/>
        </w:rPr>
        <w:t xml:space="preserve">乙方需配合甲方的安全生产检查、应急演练等生产运营相关活动。 </w:t>
      </w:r>
    </w:p>
    <w:p w14:paraId="72E210DC">
      <w:pPr>
        <w:keepNext w:val="0"/>
        <w:keepLines w:val="0"/>
        <w:kinsoku/>
        <w:wordWrap/>
        <w:overflowPunct/>
        <w:topLinePunct w:val="0"/>
        <w:bidi w:val="0"/>
        <w:snapToGrid w:val="0"/>
        <w:spacing w:line="360" w:lineRule="auto"/>
        <w:ind w:firstLine="411" w:firstLineChars="196"/>
        <w:textAlignment w:val="auto"/>
        <w:outlineLvl w:val="9"/>
        <w:rPr>
          <w:rFonts w:ascii="Times New Roman"/>
          <w:color w:val="auto"/>
          <w:szCs w:val="21"/>
          <w:highlight w:val="none"/>
        </w:rPr>
      </w:pPr>
      <w:r>
        <w:rPr>
          <w:rFonts w:hint="eastAsia" w:ascii="宋体" w:hAnsi="宋体" w:eastAsia="宋体" w:cs="宋体"/>
          <w:color w:val="auto"/>
          <w:szCs w:val="21"/>
          <w:highlight w:val="none"/>
        </w:rPr>
        <w:t>2.</w:t>
      </w:r>
      <w:r>
        <w:rPr>
          <w:rFonts w:ascii="宋体" w:hAnsi="宋体" w:eastAsia="宋体" w:cs="宋体"/>
          <w:color w:val="auto"/>
          <w:szCs w:val="21"/>
          <w:highlight w:val="none"/>
        </w:rPr>
        <w:t>19</w:t>
      </w:r>
      <w:r>
        <w:rPr>
          <w:rFonts w:hint="eastAsia" w:ascii="宋体" w:hAnsi="宋体" w:eastAsia="宋体" w:cs="宋体"/>
          <w:color w:val="auto"/>
          <w:szCs w:val="21"/>
          <w:highlight w:val="none"/>
        </w:rPr>
        <w:t xml:space="preserve"> 甲方通过银行承兑汇票支付服务</w:t>
      </w:r>
      <w:r>
        <w:rPr>
          <w:rFonts w:hint="eastAsia" w:ascii="Times New Roman"/>
          <w:color w:val="auto"/>
          <w:szCs w:val="21"/>
          <w:highlight w:val="none"/>
        </w:rPr>
        <w:t>费时，乙方还应根据相关法律法规的规定履行以下义务：</w:t>
      </w:r>
    </w:p>
    <w:p w14:paraId="3A491369">
      <w:pPr>
        <w:keepNext w:val="0"/>
        <w:keepLines w:val="0"/>
        <w:kinsoku/>
        <w:wordWrap/>
        <w:overflowPunct/>
        <w:topLinePunct w:val="0"/>
        <w:bidi w:val="0"/>
        <w:snapToGrid w:val="0"/>
        <w:spacing w:line="360" w:lineRule="auto"/>
        <w:ind w:firstLine="411" w:firstLineChars="196"/>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1</w:t>
      </w:r>
      <w:r>
        <w:rPr>
          <w:rFonts w:hint="eastAsia" w:ascii="宋体" w:hAnsi="宋体" w:eastAsia="宋体" w:cs="宋体"/>
          <w:color w:val="auto"/>
          <w:szCs w:val="21"/>
          <w:highlight w:val="none"/>
        </w:rPr>
        <w:t>）乙方不得更改票据金额、日期、收款人名称，更改的票据无效。对票据上的其他记载事项，甲方可以更改，更改时应当由甲方签章证明。</w:t>
      </w:r>
    </w:p>
    <w:p w14:paraId="4E376C84">
      <w:pPr>
        <w:keepNext w:val="0"/>
        <w:keepLines w:val="0"/>
        <w:kinsoku/>
        <w:wordWrap/>
        <w:overflowPunct/>
        <w:topLinePunct w:val="0"/>
        <w:bidi w:val="0"/>
        <w:snapToGrid w:val="0"/>
        <w:spacing w:line="360" w:lineRule="auto"/>
        <w:ind w:firstLine="411" w:firstLineChars="196"/>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2</w:t>
      </w:r>
      <w:r>
        <w:rPr>
          <w:rFonts w:hint="eastAsia" w:ascii="宋体" w:hAnsi="宋体" w:eastAsia="宋体" w:cs="宋体"/>
          <w:color w:val="auto"/>
          <w:szCs w:val="21"/>
          <w:highlight w:val="none"/>
        </w:rPr>
        <w:t>）乙方应自汇票到期前十日内持汇票向汇票指定银行提示付款。乙方向银行申请汇票贴现的，贴现利息以及相关手续费用等均由乙方自行承担，甲方无需承担因此产生的利息、手续费等任何费用。</w:t>
      </w:r>
    </w:p>
    <w:p w14:paraId="1D69F574">
      <w:pPr>
        <w:keepNext w:val="0"/>
        <w:keepLines w:val="0"/>
        <w:kinsoku/>
        <w:wordWrap/>
        <w:overflowPunct/>
        <w:topLinePunct w:val="0"/>
        <w:bidi w:val="0"/>
        <w:snapToGrid w:val="0"/>
        <w:spacing w:line="360" w:lineRule="auto"/>
        <w:ind w:firstLine="411" w:firstLineChars="196"/>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3</w:t>
      </w:r>
      <w:r>
        <w:rPr>
          <w:rFonts w:hint="eastAsia" w:ascii="宋体" w:hAnsi="宋体" w:eastAsia="宋体" w:cs="宋体"/>
          <w:color w:val="auto"/>
          <w:szCs w:val="21"/>
          <w:highlight w:val="none"/>
        </w:rPr>
        <w:t>）乙方获得付款的，应当在汇票上签收，并将汇票交给银行。乙方委托银行收款的，受委托的银行将代收的汇票金额转账收入乙方账户的，视同签收。</w:t>
      </w:r>
    </w:p>
    <w:p w14:paraId="30F48469">
      <w:pPr>
        <w:keepNext w:val="0"/>
        <w:keepLines w:val="0"/>
        <w:kinsoku/>
        <w:wordWrap/>
        <w:overflowPunct/>
        <w:topLinePunct w:val="0"/>
        <w:bidi w:val="0"/>
        <w:snapToGrid w:val="0"/>
        <w:spacing w:line="360" w:lineRule="auto"/>
        <w:ind w:firstLine="411" w:firstLineChars="196"/>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4</w:t>
      </w:r>
      <w:r>
        <w:rPr>
          <w:rFonts w:hint="eastAsia" w:ascii="宋体" w:hAnsi="宋体" w:eastAsia="宋体" w:cs="宋体"/>
          <w:color w:val="auto"/>
          <w:szCs w:val="21"/>
          <w:highlight w:val="none"/>
        </w:rPr>
        <w:t>）汇票到期被拒绝付款的，自被银行拒绝付款之日起六个月内，乙方可以对甲方行使追索权。乙方行使追索权时，应当提供被拒绝承兑或者被拒绝付款的有关证明。乙方不能出示拒绝证明、退票理由书或者未按照规定期限提供其他合法证明的，丧失对甲方的追索权。</w:t>
      </w:r>
    </w:p>
    <w:p w14:paraId="328DFB7C">
      <w:pPr>
        <w:keepNext w:val="0"/>
        <w:keepLines w:val="0"/>
        <w:kinsoku/>
        <w:wordWrap/>
        <w:overflowPunct/>
        <w:topLinePunct w:val="0"/>
        <w:bidi w:val="0"/>
        <w:snapToGrid w:val="0"/>
        <w:spacing w:line="360" w:lineRule="auto"/>
        <w:ind w:firstLine="411" w:firstLineChars="196"/>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5</w:t>
      </w:r>
      <w:r>
        <w:rPr>
          <w:rFonts w:hint="eastAsia" w:ascii="宋体" w:hAnsi="宋体" w:eastAsia="宋体" w:cs="宋体"/>
          <w:color w:val="auto"/>
          <w:szCs w:val="21"/>
          <w:highlight w:val="none"/>
        </w:rPr>
        <w:t>）本合同项下的汇票以本合同的真实合法交易关系为基础，乙方不履行合同约定义务的，甲方有权拒绝向乙方付款。</w:t>
      </w:r>
    </w:p>
    <w:p w14:paraId="3AFBB29A">
      <w:pPr>
        <w:keepNext w:val="0"/>
        <w:keepLines w:val="0"/>
        <w:kinsoku/>
        <w:wordWrap/>
        <w:overflowPunct/>
        <w:topLinePunct w:val="0"/>
        <w:bidi w:val="0"/>
        <w:snapToGrid w:val="0"/>
        <w:spacing w:line="360" w:lineRule="auto"/>
        <w:ind w:firstLine="411" w:firstLineChars="196"/>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6</w:t>
      </w:r>
      <w:r>
        <w:rPr>
          <w:rFonts w:hint="eastAsia" w:ascii="宋体" w:hAnsi="宋体" w:eastAsia="宋体" w:cs="宋体"/>
          <w:color w:val="auto"/>
          <w:szCs w:val="21"/>
          <w:highlight w:val="none"/>
        </w:rPr>
        <w:t>）乙方不得提供伪造或变造的票据向银行提示付款，否则，乙方除需依法承担相应的法律责任外，甲方有权追究乙方违约责任，并要求乙方支付1万元违约金，如甲方因此遭受损失的，乙方还应予全额赔偿。</w:t>
      </w:r>
    </w:p>
    <w:p w14:paraId="5F4B8045">
      <w:pPr>
        <w:keepNext w:val="0"/>
        <w:keepLines w:val="0"/>
        <w:kinsoku/>
        <w:wordWrap/>
        <w:overflowPunct/>
        <w:topLinePunct w:val="0"/>
        <w:bidi w:val="0"/>
        <w:snapToGrid w:val="0"/>
        <w:spacing w:line="360" w:lineRule="auto"/>
        <w:ind w:firstLine="411" w:firstLineChars="196"/>
        <w:textAlignment w:val="auto"/>
        <w:outlineLvl w:val="9"/>
        <w:rPr>
          <w:rFonts w:ascii="宋体" w:hAnsi="宋体" w:eastAsia="宋体" w:cs="宋体"/>
          <w:b/>
          <w:color w:val="auto"/>
          <w:szCs w:val="21"/>
          <w:highlight w:val="none"/>
        </w:rPr>
      </w:pPr>
      <w:r>
        <w:rPr>
          <w:rFonts w:hint="eastAsia" w:ascii="宋体" w:hAnsi="宋体" w:eastAsia="宋体" w:cs="宋体"/>
          <w:color w:val="auto"/>
          <w:szCs w:val="21"/>
          <w:highlight w:val="none"/>
        </w:rPr>
        <w:t>2.</w:t>
      </w:r>
      <w:r>
        <w:rPr>
          <w:rFonts w:ascii="宋体" w:hAnsi="宋体" w:eastAsia="宋体" w:cs="宋体"/>
          <w:color w:val="auto"/>
          <w:szCs w:val="21"/>
          <w:highlight w:val="none"/>
        </w:rPr>
        <w:t>20</w:t>
      </w:r>
      <w:r>
        <w:rPr>
          <w:rFonts w:hint="eastAsia" w:ascii="宋体" w:hAnsi="宋体" w:eastAsia="宋体" w:cs="宋体"/>
          <w:color w:val="auto"/>
          <w:szCs w:val="21"/>
          <w:highlight w:val="none"/>
        </w:rPr>
        <w:t xml:space="preserve"> 合同文件及附件内容约定的乙方其他权利义务。</w:t>
      </w:r>
    </w:p>
    <w:p w14:paraId="21746736">
      <w:pPr>
        <w:keepNext w:val="0"/>
        <w:keepLines w:val="0"/>
        <w:kinsoku/>
        <w:wordWrap/>
        <w:overflowPunct/>
        <w:topLinePunct w:val="0"/>
        <w:bidi w:val="0"/>
        <w:snapToGrid w:val="0"/>
        <w:spacing w:line="360" w:lineRule="auto"/>
        <w:ind w:firstLine="413" w:firstLineChars="196"/>
        <w:textAlignment w:val="auto"/>
        <w:outlineLvl w:val="9"/>
        <w:rPr>
          <w:rFonts w:ascii="宋体" w:hAnsi="宋体" w:eastAsia="宋体" w:cs="宋体"/>
          <w:b/>
          <w:color w:val="auto"/>
          <w:szCs w:val="21"/>
          <w:highlight w:val="none"/>
        </w:rPr>
      </w:pPr>
    </w:p>
    <w:p w14:paraId="68417056">
      <w:pPr>
        <w:keepNext w:val="0"/>
        <w:keepLines w:val="0"/>
        <w:kinsoku/>
        <w:wordWrap/>
        <w:overflowPunct/>
        <w:topLinePunct w:val="0"/>
        <w:bidi w:val="0"/>
        <w:snapToGrid w:val="0"/>
        <w:spacing w:line="360" w:lineRule="auto"/>
        <w:ind w:firstLine="413" w:firstLineChars="196"/>
        <w:textAlignment w:val="auto"/>
        <w:outlineLvl w:val="9"/>
        <w:rPr>
          <w:rFonts w:ascii="宋体" w:hAnsi="宋体" w:eastAsia="宋体" w:cs="宋体"/>
          <w:b/>
          <w:color w:val="auto"/>
          <w:szCs w:val="21"/>
          <w:highlight w:val="none"/>
        </w:rPr>
      </w:pPr>
      <w:bookmarkStart w:id="739" w:name="_Toc9945"/>
      <w:r>
        <w:rPr>
          <w:rFonts w:hint="eastAsia" w:ascii="宋体" w:hAnsi="宋体" w:eastAsia="宋体" w:cs="宋体"/>
          <w:b/>
          <w:color w:val="auto"/>
          <w:szCs w:val="21"/>
          <w:highlight w:val="none"/>
        </w:rPr>
        <w:t>第七条 履约担保</w:t>
      </w:r>
      <w:bookmarkEnd w:id="739"/>
    </w:p>
    <w:p w14:paraId="582F2504">
      <w:pPr>
        <w:keepNext w:val="0"/>
        <w:keepLines w:val="0"/>
        <w:kinsoku/>
        <w:wordWrap/>
        <w:overflowPunct/>
        <w:topLinePunct w:val="0"/>
        <w:bidi w:val="0"/>
        <w:snapToGrid w:val="0"/>
        <w:spacing w:line="360" w:lineRule="auto"/>
        <w:ind w:firstLine="371" w:firstLineChars="177"/>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乙方应当根据招标文件的规定在签订本合同前向甲方提供履约担保，履约担保形式及金额由乙方从以下方式中任选一种：</w:t>
      </w:r>
    </w:p>
    <w:p w14:paraId="37CB6F1A">
      <w:pPr>
        <w:keepNext w:val="0"/>
        <w:keepLines w:val="0"/>
        <w:kinsoku/>
        <w:wordWrap/>
        <w:overflowPunct/>
        <w:topLinePunct w:val="0"/>
        <w:bidi w:val="0"/>
        <w:snapToGrid w:val="0"/>
        <w:spacing w:line="360" w:lineRule="auto"/>
        <w:ind w:firstLine="371" w:firstLineChars="177"/>
        <w:textAlignment w:val="auto"/>
        <w:outlineLvl w:val="9"/>
        <w:rPr>
          <w:rFonts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履约保证金（银行转账形式）金额为¥     元（大写人民币         ）</w:t>
      </w:r>
      <w:r>
        <w:rPr>
          <w:rFonts w:hint="eastAsia" w:ascii="宋体" w:hAnsi="宋体" w:eastAsia="宋体" w:cs="宋体"/>
          <w:color w:val="auto"/>
          <w:szCs w:val="21"/>
          <w:highlight w:val="none"/>
        </w:rPr>
        <w:t>；</w:t>
      </w:r>
    </w:p>
    <w:p w14:paraId="3A96AAC3">
      <w:pPr>
        <w:keepNext w:val="0"/>
        <w:keepLines w:val="0"/>
        <w:kinsoku/>
        <w:wordWrap/>
        <w:overflowPunct/>
        <w:topLinePunct w:val="0"/>
        <w:bidi w:val="0"/>
        <w:snapToGrid w:val="0"/>
        <w:spacing w:line="360" w:lineRule="auto"/>
        <w:ind w:firstLine="371" w:firstLineChars="177"/>
        <w:textAlignment w:val="auto"/>
        <w:outlineLvl w:val="9"/>
        <w:rPr>
          <w:rFonts w:ascii="宋体" w:hAnsi="宋体" w:eastAsia="宋体" w:cs="宋体"/>
          <w:color w:val="auto"/>
          <w:szCs w:val="21"/>
          <w:highlight w:val="none"/>
          <w:u w:val="single"/>
          <w:lang w:val="zh-CN"/>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不可撤销银行履约保函金额为</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u w:val="single"/>
        </w:rPr>
        <w:t>元（</w:t>
      </w:r>
      <w:r>
        <w:rPr>
          <w:rFonts w:hint="eastAsia" w:ascii="宋体" w:hAnsi="宋体" w:eastAsia="宋体" w:cs="宋体"/>
          <w:color w:val="auto"/>
          <w:szCs w:val="21"/>
          <w:highlight w:val="none"/>
          <w:u w:val="single"/>
          <w:lang w:val="zh-CN"/>
        </w:rPr>
        <w:t>大写人民币         ）</w:t>
      </w:r>
      <w:r>
        <w:rPr>
          <w:rFonts w:hint="eastAsia" w:ascii="宋体" w:hAnsi="宋体" w:eastAsia="宋体" w:cs="宋体"/>
          <w:color w:val="auto"/>
          <w:szCs w:val="21"/>
          <w:highlight w:val="none"/>
          <w:lang w:val="zh-CN"/>
        </w:rPr>
        <w:t>；</w:t>
      </w:r>
    </w:p>
    <w:p w14:paraId="585E0880">
      <w:pPr>
        <w:keepNext w:val="0"/>
        <w:keepLines w:val="0"/>
        <w:kinsoku/>
        <w:wordWrap/>
        <w:overflowPunct/>
        <w:topLinePunct w:val="0"/>
        <w:bidi w:val="0"/>
        <w:snapToGrid w:val="0"/>
        <w:spacing w:line="360" w:lineRule="auto"/>
        <w:ind w:firstLine="371" w:firstLineChars="177"/>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履约保证保险金额为¥     元（大写人民币     ）</w:t>
      </w:r>
      <w:r>
        <w:rPr>
          <w:rFonts w:hint="eastAsia" w:ascii="宋体" w:hAnsi="宋体" w:eastAsia="宋体" w:cs="宋体"/>
          <w:color w:val="auto"/>
          <w:szCs w:val="21"/>
          <w:highlight w:val="none"/>
        </w:rPr>
        <w:t>；</w:t>
      </w:r>
    </w:p>
    <w:p w14:paraId="411B32E3">
      <w:pPr>
        <w:keepNext w:val="0"/>
        <w:keepLines w:val="0"/>
        <w:kinsoku/>
        <w:wordWrap/>
        <w:overflowPunct/>
        <w:topLinePunct w:val="0"/>
        <w:bidi w:val="0"/>
        <w:snapToGrid w:val="0"/>
        <w:spacing w:line="360" w:lineRule="auto"/>
        <w:ind w:firstLine="371" w:firstLineChars="177"/>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担保公司履约担保书金额为¥     元（大写人民币         ）</w:t>
      </w:r>
      <w:r>
        <w:rPr>
          <w:rFonts w:hint="eastAsia" w:ascii="宋体" w:hAnsi="宋体" w:eastAsia="宋体" w:cs="宋体"/>
          <w:color w:val="auto"/>
          <w:szCs w:val="21"/>
          <w:highlight w:val="none"/>
        </w:rPr>
        <w:t>。</w:t>
      </w:r>
    </w:p>
    <w:p w14:paraId="41B924AF">
      <w:pPr>
        <w:keepNext w:val="0"/>
        <w:keepLines w:val="0"/>
        <w:kinsoku/>
        <w:wordWrap/>
        <w:overflowPunct/>
        <w:topLinePunct w:val="0"/>
        <w:bidi w:val="0"/>
        <w:spacing w:line="360" w:lineRule="auto"/>
        <w:ind w:firstLine="371" w:firstLineChars="177"/>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合同履行过程中，乙方给甲方造成的损失超过履约担保数额的，乙方还应当对超过部分予以赔偿，甲方并依法追究乙方的相应责任。</w:t>
      </w:r>
    </w:p>
    <w:p w14:paraId="0B0AF7C8">
      <w:pPr>
        <w:keepNext w:val="0"/>
        <w:keepLines w:val="0"/>
        <w:kinsoku/>
        <w:wordWrap/>
        <w:overflowPunct/>
        <w:topLinePunct w:val="0"/>
        <w:bidi w:val="0"/>
        <w:snapToGrid w:val="0"/>
        <w:spacing w:line="360" w:lineRule="auto"/>
        <w:ind w:firstLine="371" w:firstLineChars="177"/>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履约担保用于补偿甲方因乙方不能完全履行其合同义务而蒙受的损失或其他合同约定的事项，如发生下列任一情况时，甲方有权依合同追究乙方违约责任外，同时有权提取履约担保并进行相应处理：</w:t>
      </w:r>
    </w:p>
    <w:p w14:paraId="3139BC08">
      <w:pPr>
        <w:keepNext w:val="0"/>
        <w:keepLines w:val="0"/>
        <w:kinsoku/>
        <w:wordWrap/>
        <w:overflowPunct/>
        <w:topLinePunct w:val="0"/>
        <w:bidi w:val="0"/>
        <w:snapToGrid w:val="0"/>
        <w:spacing w:line="360" w:lineRule="auto"/>
        <w:ind w:firstLine="371" w:firstLineChars="177"/>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（1）乙方将合同项下的乙方的权利义务全部转让给第三方，或未经甲方书面同意将部分权利义务转让给第三方的，甲方有权没收其履约担保。</w:t>
      </w:r>
    </w:p>
    <w:p w14:paraId="18ED6783">
      <w:pPr>
        <w:keepNext w:val="0"/>
        <w:keepLines w:val="0"/>
        <w:kinsoku/>
        <w:wordWrap/>
        <w:overflowPunct/>
        <w:topLinePunct w:val="0"/>
        <w:bidi w:val="0"/>
        <w:snapToGrid w:val="0"/>
        <w:spacing w:line="360" w:lineRule="auto"/>
        <w:ind w:firstLine="371" w:firstLineChars="177"/>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（2）在合同履行期间，乙方怠于履行合同义务，经甲方通知或要求承担违约金后仍拒不改正的，甲方可依法没收或扣除其履约担保</w:t>
      </w:r>
      <w:r>
        <w:rPr>
          <w:rFonts w:hint="eastAsia" w:ascii="宋体" w:hAnsi="宋体" w:eastAsia="宋体" w:cs="宋体"/>
          <w:color w:val="auto"/>
          <w:szCs w:val="21"/>
          <w:highlight w:val="none"/>
          <w:lang w:val="en-US" w:eastAsia="zh-CN"/>
        </w:rPr>
        <w:t>的30%</w:t>
      </w:r>
      <w:r>
        <w:rPr>
          <w:rFonts w:hint="eastAsia" w:ascii="宋体" w:hAnsi="宋体" w:eastAsia="宋体" w:cs="宋体"/>
          <w:color w:val="auto"/>
          <w:szCs w:val="21"/>
          <w:highlight w:val="none"/>
        </w:rPr>
        <w:t>。</w:t>
      </w:r>
    </w:p>
    <w:p w14:paraId="55154502">
      <w:pPr>
        <w:keepNext w:val="0"/>
        <w:keepLines w:val="0"/>
        <w:kinsoku/>
        <w:wordWrap/>
        <w:overflowPunct/>
        <w:topLinePunct w:val="0"/>
        <w:bidi w:val="0"/>
        <w:snapToGrid w:val="0"/>
        <w:spacing w:line="360" w:lineRule="auto"/>
        <w:ind w:firstLine="371" w:firstLineChars="177"/>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3）在合同履行期间，因乙方服务质量问题造成损害、侵权损失（包括但不限于甲方经济损失、第三人人身财产损失等）、拖欠原材料供应商货款或与其所雇用员工发生劳资纠纷、上访、闹事或其他影响甲方生产经营等情况而其未及时妥善处理的，甲方有权使用履约担保予以支付或作出相应处理，由此产生的一切法律后果由乙方承担。</w:t>
      </w:r>
    </w:p>
    <w:p w14:paraId="3AED717A">
      <w:pPr>
        <w:keepNext w:val="0"/>
        <w:keepLines w:val="0"/>
        <w:kinsoku/>
        <w:wordWrap/>
        <w:overflowPunct/>
        <w:topLinePunct w:val="0"/>
        <w:bidi w:val="0"/>
        <w:snapToGrid w:val="0"/>
        <w:spacing w:line="360" w:lineRule="auto"/>
        <w:ind w:firstLine="371" w:firstLineChars="177"/>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（4）在合同履行期间，乙方违约产生的违约金、赔偿、罚款或其他应付费用等款项，甲方有权直接从未付货款中扣除或启用履约担保予以支付。</w:t>
      </w:r>
    </w:p>
    <w:p w14:paraId="634B051A">
      <w:pPr>
        <w:keepNext w:val="0"/>
        <w:keepLines w:val="0"/>
        <w:kinsoku/>
        <w:wordWrap/>
        <w:overflowPunct/>
        <w:topLinePunct w:val="0"/>
        <w:bidi w:val="0"/>
        <w:snapToGrid w:val="0"/>
        <w:spacing w:line="360" w:lineRule="auto"/>
        <w:ind w:firstLine="371" w:firstLineChars="177"/>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（5）合同期内，乙方不能及时完成合同某项义务的，甲方有权使用履约担保用于处理该项工作。</w:t>
      </w:r>
    </w:p>
    <w:p w14:paraId="4963298D">
      <w:pPr>
        <w:keepNext w:val="0"/>
        <w:keepLines w:val="0"/>
        <w:kinsoku/>
        <w:wordWrap/>
        <w:overflowPunct/>
        <w:topLinePunct w:val="0"/>
        <w:bidi w:val="0"/>
        <w:snapToGrid w:val="0"/>
        <w:spacing w:line="360" w:lineRule="auto"/>
        <w:ind w:firstLine="371" w:firstLineChars="177"/>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（6）其他根据本合同约定或法律规定，甲方可启用履约担保的情形。</w:t>
      </w:r>
    </w:p>
    <w:p w14:paraId="0C0FC6E9">
      <w:pPr>
        <w:keepNext w:val="0"/>
        <w:keepLines w:val="0"/>
        <w:kinsoku/>
        <w:wordWrap/>
        <w:overflowPunct/>
        <w:topLinePunct w:val="0"/>
        <w:bidi w:val="0"/>
        <w:snapToGrid w:val="0"/>
        <w:spacing w:line="360" w:lineRule="auto"/>
        <w:ind w:firstLine="371" w:firstLineChars="177"/>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乙方以履约保证金（银行转账形式）提供履约担保的，乙方在依法完成本项目合同及本项目合同下所有补充协议的全部服务义务，甲方向乙方支付全部款项二十八（28）日后，经甲方确认，乙方可向甲方提交退回履约担保的申请。甲方审核无异议后，办理履约担保退还手续，履约保证金形式提交的履约担保退回时一律以银行转账的形式无息退回到乙方的账户。</w:t>
      </w:r>
    </w:p>
    <w:p w14:paraId="5006931B">
      <w:pPr>
        <w:keepNext w:val="0"/>
        <w:keepLines w:val="0"/>
        <w:kinsoku/>
        <w:wordWrap/>
        <w:overflowPunct/>
        <w:topLinePunct w:val="0"/>
        <w:bidi w:val="0"/>
        <w:snapToGrid w:val="0"/>
        <w:spacing w:line="360" w:lineRule="auto"/>
        <w:ind w:firstLine="371" w:firstLineChars="177"/>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如乙方提供不可撤销银行履约保函或履约保证保险或担保公司履约担保书作为履约担保的，不可撤销银行履约保函（或履约保证保险或担保公司履约担保书）应从合同签订之日起</w:t>
      </w:r>
      <w:r>
        <w:rPr>
          <w:rFonts w:hint="eastAsia" w:ascii="宋体" w:hAnsi="宋体" w:eastAsia="宋体" w:cs="宋体"/>
          <w:bCs/>
          <w:color w:val="auto"/>
          <w:szCs w:val="21"/>
          <w:highlight w:val="none"/>
        </w:rPr>
        <w:t>（或签订合同前</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至</w:t>
      </w:r>
      <w:r>
        <w:rPr>
          <w:rFonts w:hint="eastAsia" w:ascii="宋体" w:hAnsi="宋体" w:eastAsia="宋体" w:cs="宋体"/>
          <w:bCs/>
          <w:color w:val="auto"/>
          <w:szCs w:val="21"/>
          <w:highlight w:val="none"/>
        </w:rPr>
        <w:t>合</w:t>
      </w:r>
      <w:r>
        <w:rPr>
          <w:rFonts w:hint="eastAsia" w:ascii="宋体" w:hAnsi="宋体" w:eastAsia="宋体" w:cs="宋体"/>
          <w:color w:val="auto"/>
          <w:szCs w:val="21"/>
          <w:highlight w:val="none"/>
        </w:rPr>
        <w:t>同期限届满并完成合同及补充协议项下全部服务义务，甲方向乙方支付全部款项后二十八（28）日内保持有效。乙方必须在不可撤销银行履约保函（或履约保证保险或担保公司履约担保书）到期15日前无条件办理办妥符合甲方要求的延期手续或重新提供不可撤销银行履约保函（或履约保证保险或担保公司履约担保书），否则视为乙方违约，甲方有权在不可撤销银行履约保函（或履约保证保险或担保公司履约担保书）到期前向出具履约担保的机构提取履约担保金。在不可撤销银行履约保函（或履约保证保险或担保公司履约担保书）到期后乙方未按甲方要求重新提供的，甲方有权要求乙方以履约担保金额为限承担违约金，违约金可直接从未付货款中扣除。</w:t>
      </w:r>
    </w:p>
    <w:p w14:paraId="58904EEA">
      <w:pPr>
        <w:keepNext w:val="0"/>
        <w:keepLines w:val="0"/>
        <w:kinsoku/>
        <w:wordWrap/>
        <w:overflowPunct/>
        <w:topLinePunct w:val="0"/>
        <w:bidi w:val="0"/>
        <w:snapToGrid w:val="0"/>
        <w:spacing w:line="360" w:lineRule="auto"/>
        <w:ind w:firstLine="371" w:firstLineChars="177"/>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5 在合同履行过程中，不论何种原因导致履约担保数额不符合招标文件要求的，乙方应当在5日内予以补足。逾期不予补足的，甲方有权按需补足的金额要求乙方承担违约金，并要求限期补足。如乙方仍不补足的，甲方有权单方解除合同，违约金可直接从未付合同款或履约担保中扣除。</w:t>
      </w:r>
    </w:p>
    <w:p w14:paraId="77894FAE">
      <w:pPr>
        <w:keepNext w:val="0"/>
        <w:keepLines w:val="0"/>
        <w:widowControl/>
        <w:kinsoku/>
        <w:wordWrap/>
        <w:overflowPunct/>
        <w:topLinePunct w:val="0"/>
        <w:bidi w:val="0"/>
        <w:ind w:firstLine="422" w:firstLineChars="200"/>
        <w:jc w:val="left"/>
        <w:textAlignment w:val="auto"/>
        <w:outlineLvl w:val="9"/>
        <w:rPr>
          <w:rFonts w:ascii="宋体" w:hAnsi="宋体" w:eastAsia="宋体" w:cs="宋体"/>
          <w:b/>
          <w:color w:val="auto"/>
          <w:szCs w:val="21"/>
          <w:highlight w:val="none"/>
        </w:rPr>
      </w:pPr>
    </w:p>
    <w:p w14:paraId="1E586F6E">
      <w:pPr>
        <w:keepNext w:val="0"/>
        <w:keepLines w:val="0"/>
        <w:widowControl/>
        <w:numPr>
          <w:ilvl w:val="0"/>
          <w:numId w:val="2"/>
        </w:numPr>
        <w:kinsoku/>
        <w:wordWrap/>
        <w:overflowPunct/>
        <w:topLinePunct w:val="0"/>
        <w:bidi w:val="0"/>
        <w:ind w:firstLine="422" w:firstLineChars="200"/>
        <w:jc w:val="left"/>
        <w:textAlignment w:val="auto"/>
        <w:outlineLvl w:val="9"/>
        <w:rPr>
          <w:rFonts w:ascii="宋体" w:hAnsi="宋体" w:eastAsia="宋体" w:cs="宋体"/>
          <w:b/>
          <w:color w:val="auto"/>
          <w:szCs w:val="21"/>
          <w:highlight w:val="none"/>
        </w:rPr>
      </w:pPr>
      <w:bookmarkStart w:id="740" w:name="_Toc13115"/>
      <w:r>
        <w:rPr>
          <w:rFonts w:hint="eastAsia" w:ascii="宋体" w:hAnsi="宋体" w:eastAsia="宋体" w:cs="宋体"/>
          <w:b/>
          <w:color w:val="auto"/>
          <w:szCs w:val="21"/>
          <w:highlight w:val="none"/>
        </w:rPr>
        <w:t>违约责任</w:t>
      </w:r>
      <w:bookmarkEnd w:id="740"/>
    </w:p>
    <w:p w14:paraId="731DBC3B">
      <w:pPr>
        <w:keepNext w:val="0"/>
        <w:keepLines w:val="0"/>
        <w:widowControl/>
        <w:kinsoku/>
        <w:wordWrap/>
        <w:overflowPunct/>
        <w:topLinePunct w:val="0"/>
        <w:bidi w:val="0"/>
        <w:jc w:val="left"/>
        <w:textAlignment w:val="auto"/>
        <w:outlineLvl w:val="9"/>
        <w:rPr>
          <w:rFonts w:ascii="宋体" w:hAnsi="宋体" w:eastAsia="宋体" w:cs="宋体"/>
          <w:b/>
          <w:color w:val="auto"/>
          <w:szCs w:val="21"/>
          <w:highlight w:val="none"/>
        </w:rPr>
      </w:pPr>
    </w:p>
    <w:p w14:paraId="7F744776">
      <w:pPr>
        <w:keepNext w:val="0"/>
        <w:keepLines w:val="0"/>
        <w:kinsoku/>
        <w:wordWrap/>
        <w:overflowPunct/>
        <w:topLinePunct w:val="0"/>
        <w:bidi w:val="0"/>
        <w:snapToGrid w:val="0"/>
        <w:spacing w:line="360" w:lineRule="auto"/>
        <w:ind w:firstLine="371" w:firstLineChars="177"/>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乙方必须根据合同及附件中的各项条款，履行各项职责。如乙方未能按照合同及附件履行义务，甲方有权单方解除合同并没收履约担保；造成甲方经济损失的，乙方应给予甲方经济赔偿，并承担相应的法律责任。</w:t>
      </w:r>
    </w:p>
    <w:p w14:paraId="3655073F">
      <w:pPr>
        <w:keepNext w:val="0"/>
        <w:keepLines w:val="0"/>
        <w:kinsoku/>
        <w:wordWrap/>
        <w:overflowPunct/>
        <w:topLinePunct w:val="0"/>
        <w:bidi w:val="0"/>
        <w:snapToGrid w:val="0"/>
        <w:spacing w:line="360" w:lineRule="auto"/>
        <w:ind w:firstLine="371" w:firstLineChars="177"/>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乙方不履行合同义务或怠于履行合同义务，或履行的合同义务不符合要求的，甲方有权要求乙方限期整改，并要求乙方按暂定</w:t>
      </w:r>
      <w:r>
        <w:rPr>
          <w:rFonts w:hint="eastAsia" w:ascii="宋体" w:hAnsi="宋体" w:eastAsia="宋体" w:cs="宋体"/>
          <w:color w:val="auto"/>
          <w:szCs w:val="21"/>
          <w:highlight w:val="none"/>
          <w:lang w:eastAsia="zh-CN"/>
        </w:rPr>
        <w:t>合同总价（含税）</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5</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承担违约金。若逾期未整改，甲方有权单方解除合同，并没收履约担保，若由此给甲方造成损失的，乙方还应当承担全部赔偿责任。 </w:t>
      </w:r>
    </w:p>
    <w:p w14:paraId="5D578D7F">
      <w:pPr>
        <w:keepNext w:val="0"/>
        <w:keepLines w:val="0"/>
        <w:kinsoku/>
        <w:wordWrap/>
        <w:overflowPunct/>
        <w:topLinePunct w:val="0"/>
        <w:bidi w:val="0"/>
        <w:snapToGrid w:val="0"/>
        <w:spacing w:line="360" w:lineRule="auto"/>
        <w:ind w:firstLine="371" w:firstLineChars="177"/>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乙方违反约定将合同项下乙方的权利义务全部转让给第三方，或未经甲方书面同意将部分权利义务转让给第三方的，甲方有权单方解除合同，乙方须向甲方支付相当于全额履约保证金的款项作为违约金，并赔偿由此给甲方造成的一切损失。如因乙方将乙方本合同项下全部/部分权利义务转让给第三方导致安全事故或人身损害事故的，造成甲方其他损失的或甲方被认定承担赔偿责任的，甲方有权向乙方追偿并要求乙方按暂定</w:t>
      </w:r>
      <w:r>
        <w:rPr>
          <w:rFonts w:hint="eastAsia" w:ascii="宋体" w:hAnsi="宋体" w:eastAsia="宋体" w:cs="宋体"/>
          <w:color w:val="auto"/>
          <w:szCs w:val="21"/>
          <w:highlight w:val="none"/>
          <w:lang w:eastAsia="zh-CN"/>
        </w:rPr>
        <w:t>合同总价（含税）</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10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承担违约金，前述违约金不足以弥补甲方损失的，乙方还需足额赔偿。 </w:t>
      </w:r>
    </w:p>
    <w:p w14:paraId="6481163B">
      <w:pPr>
        <w:keepNext w:val="0"/>
        <w:keepLines w:val="0"/>
        <w:kinsoku/>
        <w:wordWrap/>
        <w:overflowPunct/>
        <w:topLinePunct w:val="0"/>
        <w:bidi w:val="0"/>
        <w:snapToGrid w:val="0"/>
        <w:spacing w:line="360" w:lineRule="auto"/>
        <w:ind w:firstLine="371" w:firstLineChars="177"/>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乙方应承担的违约金、赔偿及罚款等其他费用，甲方有权直接从未付款项或履约担保中直接扣除或提取。扣除后履约担保不足本合同约定金额的，乙方应在收到甲方通知之日起</w:t>
      </w:r>
      <w:r>
        <w:rPr>
          <w:rFonts w:hint="eastAsia" w:ascii="宋体" w:hAnsi="宋体" w:eastAsia="宋体" w:cs="宋体"/>
          <w:color w:val="auto"/>
          <w:szCs w:val="21"/>
          <w:highlight w:val="none"/>
          <w:u w:val="single"/>
        </w:rPr>
        <w:t>7</w:t>
      </w:r>
      <w:r>
        <w:rPr>
          <w:rFonts w:hint="eastAsia" w:ascii="宋体" w:hAnsi="宋体" w:eastAsia="宋体" w:cs="宋体"/>
          <w:color w:val="auto"/>
          <w:szCs w:val="21"/>
          <w:highlight w:val="none"/>
        </w:rPr>
        <w:t xml:space="preserve">日内向甲方补足。 </w:t>
      </w:r>
    </w:p>
    <w:p w14:paraId="36B96515">
      <w:pPr>
        <w:keepNext w:val="0"/>
        <w:keepLines w:val="0"/>
        <w:kinsoku/>
        <w:wordWrap/>
        <w:overflowPunct/>
        <w:topLinePunct w:val="0"/>
        <w:bidi w:val="0"/>
        <w:snapToGrid w:val="0"/>
        <w:spacing w:line="360" w:lineRule="auto"/>
        <w:ind w:firstLine="371" w:firstLineChars="177"/>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乙方污泥减量化设备设施未能在合同规定期限内达到污泥处理处置服务要求</w:t>
      </w:r>
      <w:r>
        <w:rPr>
          <w:rFonts w:hint="eastAsia" w:ascii="宋体" w:hAnsi="宋体" w:eastAsia="宋体" w:cs="宋体"/>
          <w:color w:val="auto"/>
          <w:szCs w:val="21"/>
          <w:highlight w:val="none"/>
          <w:lang w:val="en-US" w:eastAsia="zh-CN"/>
        </w:rPr>
        <w:t>或</w:t>
      </w:r>
      <w:r>
        <w:rPr>
          <w:rFonts w:hint="eastAsia" w:ascii="宋体" w:hAnsi="宋体" w:eastAsia="宋体" w:cs="宋体"/>
          <w:color w:val="auto"/>
          <w:szCs w:val="21"/>
          <w:highlight w:val="none"/>
        </w:rPr>
        <w:t>污泥处理处置规模及含水率</w:t>
      </w:r>
      <w:r>
        <w:rPr>
          <w:rFonts w:hint="eastAsia" w:ascii="宋体" w:hAnsi="宋体" w:eastAsia="宋体" w:cs="宋体"/>
          <w:color w:val="auto"/>
          <w:szCs w:val="21"/>
          <w:highlight w:val="none"/>
          <w:lang w:val="en-US" w:eastAsia="zh-CN"/>
        </w:rPr>
        <w:t>未能</w:t>
      </w:r>
      <w:r>
        <w:rPr>
          <w:rFonts w:hint="eastAsia" w:ascii="宋体" w:hAnsi="宋体" w:eastAsia="宋体" w:cs="宋体"/>
          <w:color w:val="auto"/>
          <w:szCs w:val="21"/>
          <w:highlight w:val="none"/>
        </w:rPr>
        <w:t>达到约定标准，</w:t>
      </w:r>
      <w:r>
        <w:rPr>
          <w:rFonts w:hint="eastAsia" w:ascii="宋体" w:hAnsi="宋体" w:eastAsia="宋体" w:cs="宋体"/>
          <w:color w:val="auto"/>
          <w:szCs w:val="21"/>
          <w:highlight w:val="none"/>
          <w:lang w:val="en-US" w:eastAsia="zh-CN"/>
        </w:rPr>
        <w:t>且</w:t>
      </w:r>
      <w:r>
        <w:rPr>
          <w:rFonts w:hint="eastAsia" w:ascii="宋体" w:hAnsi="宋体" w:eastAsia="宋体" w:cs="宋体"/>
          <w:color w:val="auto"/>
          <w:szCs w:val="21"/>
          <w:highlight w:val="none"/>
        </w:rPr>
        <w:t>在</w:t>
      </w:r>
      <w:r>
        <w:rPr>
          <w:rFonts w:hint="eastAsia" w:ascii="宋体" w:hAnsi="宋体" w:eastAsia="宋体" w:cs="宋体"/>
          <w:color w:val="auto"/>
          <w:szCs w:val="21"/>
          <w:highlight w:val="none"/>
          <w:lang w:val="en-US" w:eastAsia="zh-CN"/>
        </w:rPr>
        <w:t>甲方</w:t>
      </w:r>
      <w:r>
        <w:rPr>
          <w:rFonts w:hint="eastAsia" w:ascii="宋体" w:hAnsi="宋体" w:eastAsia="宋体" w:cs="宋体"/>
          <w:color w:val="auto"/>
          <w:szCs w:val="21"/>
          <w:highlight w:val="none"/>
        </w:rPr>
        <w:t>限期内不能完成整改并符合</w:t>
      </w:r>
      <w:r>
        <w:rPr>
          <w:rFonts w:hint="eastAsia" w:ascii="宋体" w:hAnsi="宋体" w:eastAsia="宋体" w:cs="宋体"/>
          <w:color w:val="auto"/>
          <w:szCs w:val="21"/>
          <w:highlight w:val="none"/>
          <w:lang w:val="en-US" w:eastAsia="zh-CN"/>
        </w:rPr>
        <w:t>合同及</w:t>
      </w:r>
      <w:r>
        <w:rPr>
          <w:rFonts w:hint="eastAsia" w:ascii="宋体" w:hAnsi="宋体" w:eastAsia="宋体" w:cs="宋体"/>
          <w:color w:val="auto"/>
          <w:szCs w:val="21"/>
          <w:highlight w:val="none"/>
        </w:rPr>
        <w:t>甲方要求的，则视为乙方违约，</w:t>
      </w:r>
      <w:r>
        <w:rPr>
          <w:rFonts w:hint="eastAsia" w:ascii="宋体" w:hAnsi="宋体" w:eastAsia="宋体" w:cs="Times New Roman"/>
          <w:color w:val="auto"/>
          <w:szCs w:val="21"/>
          <w:highlight w:val="none"/>
        </w:rPr>
        <w:t>甲方有权单方解除合同，并要求乙方按履约担保等额支付违约金。给甲方造成损失的，乙方还应承担全部赔偿责任。</w:t>
      </w:r>
    </w:p>
    <w:p w14:paraId="5890033E">
      <w:pPr>
        <w:keepNext w:val="0"/>
        <w:keepLines w:val="0"/>
        <w:kinsoku/>
        <w:wordWrap/>
        <w:overflowPunct/>
        <w:topLinePunct w:val="0"/>
        <w:bidi w:val="0"/>
        <w:snapToGrid w:val="0"/>
        <w:spacing w:line="360" w:lineRule="auto"/>
        <w:ind w:firstLine="371" w:firstLineChars="177"/>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如因乙方原因，导致发生法律纠纷案件，甲方被列为承担责任的诉讼当事人（第三人或被告），或造成社会负面影响的，视为乙方违约，甲方即有权对乙方收取违约金</w:t>
      </w:r>
      <w:r>
        <w:rPr>
          <w:rFonts w:hint="eastAsia" w:ascii="宋体" w:hAnsi="宋体" w:eastAsia="宋体" w:cs="宋体"/>
          <w:color w:val="auto"/>
          <w:szCs w:val="21"/>
          <w:highlight w:val="none"/>
          <w:u w:val="single"/>
        </w:rPr>
        <w:t>100000</w:t>
      </w:r>
      <w:r>
        <w:rPr>
          <w:rFonts w:hint="eastAsia" w:ascii="宋体" w:hAnsi="宋体" w:eastAsia="宋体" w:cs="宋体"/>
          <w:color w:val="auto"/>
          <w:szCs w:val="21"/>
          <w:highlight w:val="none"/>
        </w:rPr>
        <w:t xml:space="preserve">元；如造成甲方经济损失的（包括但不限于律师费、诉讼费、保全费、执行费、差旅费等损失），由乙方赔偿所有损失。甲方收到法院参与诉讼通知之日视为乙方构成违约，甲方即有权要求乙方承担前述违约金、损失赔偿的违约责任，即使甲方最终未被法院判决承担任何责任，乙方也无权要求甲方免除前述违约责任。 </w:t>
      </w:r>
    </w:p>
    <w:p w14:paraId="75A4E7BB">
      <w:pPr>
        <w:keepNext w:val="0"/>
        <w:keepLines w:val="0"/>
        <w:kinsoku/>
        <w:wordWrap/>
        <w:overflowPunct/>
        <w:topLinePunct w:val="0"/>
        <w:bidi w:val="0"/>
        <w:snapToGrid w:val="0"/>
        <w:spacing w:line="360" w:lineRule="auto"/>
        <w:ind w:firstLine="420" w:firstLineChars="200"/>
        <w:textAlignment w:val="auto"/>
        <w:outlineLvl w:val="9"/>
        <w:rPr>
          <w:color w:val="auto"/>
          <w:highlight w:val="none"/>
        </w:rPr>
      </w:pPr>
      <w:r>
        <w:rPr>
          <w:rFonts w:hint="eastAsia" w:ascii="宋体" w:hAnsi="宋体" w:eastAsia="宋体" w:cs="Times New Roman"/>
          <w:color w:val="auto"/>
          <w:szCs w:val="21"/>
          <w:highlight w:val="none"/>
        </w:rPr>
        <w:t>7</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若乙方服务期内未达到本合同约定产能或未及时对本合同项下的污泥进行处理处置，甲方有权要求乙方限期整改，逾期未完成整改并达到甲方要求的，每逾期1</w:t>
      </w:r>
      <w:r>
        <w:rPr>
          <w:rFonts w:hint="eastAsia" w:ascii="宋体" w:hAnsi="宋体" w:eastAsia="宋体" w:cs="Times New Roman"/>
          <w:color w:val="auto"/>
          <w:szCs w:val="21"/>
          <w:highlight w:val="none"/>
          <w:lang w:val="en-US" w:eastAsia="zh-CN"/>
        </w:rPr>
        <w:t>日</w:t>
      </w:r>
      <w:r>
        <w:rPr>
          <w:rFonts w:hint="eastAsia" w:ascii="宋体" w:hAnsi="宋体" w:eastAsia="宋体" w:cs="Times New Roman"/>
          <w:color w:val="auto"/>
          <w:szCs w:val="21"/>
          <w:highlight w:val="none"/>
        </w:rPr>
        <w:t>，按</w:t>
      </w:r>
      <w:r>
        <w:rPr>
          <w:rFonts w:hint="eastAsia" w:ascii="宋体" w:hAnsi="宋体" w:eastAsia="宋体" w:cs="宋体"/>
          <w:color w:val="auto"/>
          <w:szCs w:val="21"/>
          <w:highlight w:val="none"/>
        </w:rPr>
        <w:t>暂定</w:t>
      </w:r>
      <w:r>
        <w:rPr>
          <w:rFonts w:hint="eastAsia" w:ascii="宋体" w:hAnsi="宋体" w:eastAsia="宋体" w:cs="宋体"/>
          <w:color w:val="auto"/>
          <w:szCs w:val="21"/>
          <w:highlight w:val="none"/>
          <w:lang w:eastAsia="zh-CN"/>
        </w:rPr>
        <w:t>合同总价（含税）</w:t>
      </w:r>
      <w:r>
        <w:rPr>
          <w:rFonts w:hint="eastAsia" w:ascii="宋体" w:hAnsi="宋体" w:eastAsia="宋体" w:cs="Times New Roman"/>
          <w:color w:val="auto"/>
          <w:szCs w:val="21"/>
          <w:highlight w:val="none"/>
        </w:rPr>
        <w:t>的</w:t>
      </w:r>
      <w:r>
        <w:rPr>
          <w:rFonts w:hint="eastAsia" w:ascii="宋体" w:hAnsi="宋体" w:eastAsia="宋体" w:cs="Times New Roman"/>
          <w:color w:val="auto"/>
          <w:szCs w:val="21"/>
          <w:highlight w:val="none"/>
          <w:u w:val="single"/>
        </w:rPr>
        <w:t>3‰</w:t>
      </w:r>
      <w:r>
        <w:rPr>
          <w:rFonts w:hint="eastAsia" w:ascii="宋体" w:hAnsi="宋体" w:eastAsia="宋体" w:cs="Times New Roman"/>
          <w:color w:val="auto"/>
          <w:szCs w:val="21"/>
          <w:highlight w:val="none"/>
        </w:rPr>
        <w:t>扣减违约金并限期整改，逾期</w:t>
      </w:r>
      <w:r>
        <w:rPr>
          <w:rFonts w:hint="eastAsia" w:ascii="宋体" w:hAnsi="宋体" w:eastAsia="宋体" w:cs="Times New Roman"/>
          <w:color w:val="auto"/>
          <w:szCs w:val="21"/>
          <w:highlight w:val="none"/>
          <w:lang w:val="en-US" w:eastAsia="zh-CN"/>
        </w:rPr>
        <w:t>7日</w:t>
      </w:r>
      <w:r>
        <w:rPr>
          <w:rFonts w:hint="eastAsia" w:ascii="宋体" w:hAnsi="宋体" w:eastAsia="宋体" w:cs="Times New Roman"/>
          <w:color w:val="auto"/>
          <w:szCs w:val="21"/>
          <w:highlight w:val="none"/>
        </w:rPr>
        <w:t>还未完成整改并达到甲方要求，甲方有权单方解除合同，并要求乙方按履约担保等额支付违约金。给甲方造成损失的，乙方还应承担全部赔偿责任。</w:t>
      </w:r>
    </w:p>
    <w:p w14:paraId="71194D66">
      <w:pPr>
        <w:keepNext w:val="0"/>
        <w:keepLines w:val="0"/>
        <w:kinsoku/>
        <w:wordWrap/>
        <w:overflowPunct/>
        <w:topLinePunct w:val="0"/>
        <w:bidi w:val="0"/>
        <w:snapToGrid w:val="0"/>
        <w:spacing w:line="360" w:lineRule="auto"/>
        <w:ind w:firstLine="371" w:firstLineChars="177"/>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8</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若乙方在污泥处理过程中排放的</w:t>
      </w:r>
      <w:r>
        <w:rPr>
          <w:rFonts w:hint="eastAsia" w:ascii="宋体" w:hAnsi="宋体" w:eastAsia="宋体" w:cs="宋体"/>
          <w:bCs/>
          <w:color w:val="auto"/>
          <w:szCs w:val="21"/>
          <w:highlight w:val="none"/>
        </w:rPr>
        <w:t>污染物</w:t>
      </w:r>
      <w:r>
        <w:rPr>
          <w:rFonts w:hint="eastAsia" w:ascii="宋体" w:hAnsi="宋体" w:eastAsia="宋体" w:cs="宋体"/>
          <w:color w:val="auto"/>
          <w:szCs w:val="21"/>
          <w:highlight w:val="none"/>
        </w:rPr>
        <w:t>未达到用户需求书约定的相关标准，甲方有权要求乙方限期整改，逾期未完成整改的，视为违约，扣除暂定</w:t>
      </w:r>
      <w:r>
        <w:rPr>
          <w:rFonts w:hint="eastAsia" w:ascii="宋体" w:hAnsi="宋体" w:eastAsia="宋体" w:cs="宋体"/>
          <w:color w:val="auto"/>
          <w:szCs w:val="21"/>
          <w:highlight w:val="none"/>
          <w:lang w:eastAsia="zh-CN"/>
        </w:rPr>
        <w:t>合同总价（含税）</w:t>
      </w:r>
      <w:r>
        <w:rPr>
          <w:rFonts w:hint="eastAsia" w:ascii="宋体" w:hAnsi="宋体" w:eastAsia="宋体" w:cs="宋体"/>
          <w:color w:val="auto"/>
          <w:szCs w:val="21"/>
          <w:highlight w:val="none"/>
        </w:rPr>
        <w:t>的5‰作为违约金并继续整改至达标排放；因未达标排放造成环境污染的，乙方应妥善处理环境污染事故，</w:t>
      </w:r>
      <w:r>
        <w:rPr>
          <w:rFonts w:hint="eastAsia" w:ascii="宋体" w:hAnsi="宋体" w:eastAsia="宋体" w:cs="宋体"/>
          <w:color w:val="auto"/>
          <w:szCs w:val="21"/>
          <w:highlight w:val="none"/>
          <w:lang w:val="en-US" w:eastAsia="zh-CN"/>
        </w:rPr>
        <w:t>并</w:t>
      </w:r>
      <w:r>
        <w:rPr>
          <w:rFonts w:hint="eastAsia" w:ascii="宋体" w:hAnsi="宋体" w:eastAsia="宋体" w:cs="宋体"/>
          <w:color w:val="auto"/>
          <w:szCs w:val="21"/>
          <w:highlight w:val="none"/>
        </w:rPr>
        <w:t>承担相应法律责任，同时甲方有权扣除暂定</w:t>
      </w:r>
      <w:r>
        <w:rPr>
          <w:rFonts w:hint="eastAsia" w:ascii="宋体" w:hAnsi="宋体" w:eastAsia="宋体" w:cs="宋体"/>
          <w:color w:val="auto"/>
          <w:szCs w:val="21"/>
          <w:highlight w:val="none"/>
          <w:lang w:eastAsia="zh-CN"/>
        </w:rPr>
        <w:t>合同总价（含税）</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u w:val="single"/>
        </w:rPr>
        <w:t>1%</w:t>
      </w:r>
      <w:r>
        <w:rPr>
          <w:rFonts w:hint="eastAsia" w:ascii="宋体" w:hAnsi="宋体" w:eastAsia="宋体" w:cs="宋体"/>
          <w:bCs/>
          <w:color w:val="auto"/>
          <w:szCs w:val="21"/>
          <w:highlight w:val="none"/>
        </w:rPr>
        <w:t>作为违约金</w:t>
      </w:r>
      <w:r>
        <w:rPr>
          <w:rFonts w:hint="eastAsia" w:ascii="宋体" w:hAnsi="宋体" w:eastAsia="宋体" w:cs="宋体"/>
          <w:color w:val="auto"/>
          <w:szCs w:val="21"/>
          <w:highlight w:val="none"/>
        </w:rPr>
        <w:t>，并有权单方解除合同。若给甲方造成损失的，乙方应承担全部赔偿责任。</w:t>
      </w:r>
    </w:p>
    <w:p w14:paraId="55D007FC">
      <w:pPr>
        <w:keepNext w:val="0"/>
        <w:keepLines w:val="0"/>
        <w:kinsoku/>
        <w:wordWrap/>
        <w:overflowPunct/>
        <w:topLinePunct w:val="0"/>
        <w:bidi w:val="0"/>
        <w:snapToGrid w:val="0"/>
        <w:spacing w:line="360" w:lineRule="auto"/>
        <w:ind w:firstLine="371" w:firstLineChars="177"/>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服务期内甲方或甲方上级单位抽查时委托第三方有资质检测机构对污泥含水率进行检测，若污泥含水率检测不合格次数达到三次以上（不含三次），视为乙方违约，甲方有权单方解除合同，无需对乙方进行任何补偿和承担任何违约责任。</w:t>
      </w:r>
    </w:p>
    <w:p w14:paraId="688E85A7">
      <w:pPr>
        <w:keepNext w:val="0"/>
        <w:keepLines w:val="0"/>
        <w:kinsoku/>
        <w:wordWrap/>
        <w:overflowPunct/>
        <w:topLinePunct w:val="0"/>
        <w:bidi w:val="0"/>
        <w:snapToGrid w:val="0"/>
        <w:spacing w:line="360" w:lineRule="auto"/>
        <w:ind w:firstLine="371" w:firstLineChars="177"/>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rPr>
        <w:t>10</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乙方必须积极响应并接受相关部门的监督检查，若受到相关部门的批评，经调查认定情况属实的，视情节轻重承担相应违约金；若受到相关部门行政处罚或违法处罚的，甲方扣减乙方本月应收服务费的</w:t>
      </w:r>
      <w:r>
        <w:rPr>
          <w:rFonts w:ascii="宋体" w:hAnsi="宋体" w:eastAsia="宋体" w:cs="宋体"/>
          <w:color w:val="auto"/>
          <w:szCs w:val="21"/>
          <w:highlight w:val="none"/>
          <w:u w:val="single"/>
        </w:rPr>
        <w:t>5</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作为违约金，并有权单方解除合同，若由此给甲方造成损失的，乙方还应当承担全部赔偿责任。</w:t>
      </w:r>
    </w:p>
    <w:p w14:paraId="3F41A224">
      <w:pPr>
        <w:keepNext w:val="0"/>
        <w:keepLines w:val="0"/>
        <w:kinsoku/>
        <w:wordWrap/>
        <w:overflowPunct/>
        <w:topLinePunct w:val="0"/>
        <w:bidi w:val="0"/>
        <w:snapToGrid w:val="0"/>
        <w:spacing w:line="360" w:lineRule="auto"/>
        <w:ind w:firstLine="371" w:firstLineChars="177"/>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合同服务期满或提前解除后，乙方未按本合同约定的时间内拆除本项目服务提供的设备设施，恢复本项目场地原状的，甲方有权要求乙方支付</w:t>
      </w:r>
      <w:r>
        <w:rPr>
          <w:rFonts w:ascii="宋体" w:hAnsi="宋体" w:eastAsia="宋体" w:cs="宋体"/>
          <w:color w:val="auto"/>
          <w:szCs w:val="21"/>
          <w:highlight w:val="none"/>
          <w:u w:val="single"/>
        </w:rPr>
        <w:t>10</w:t>
      </w:r>
      <w:r>
        <w:rPr>
          <w:rFonts w:hint="eastAsia" w:ascii="宋体" w:hAnsi="宋体" w:eastAsia="宋体" w:cs="宋体"/>
          <w:color w:val="auto"/>
          <w:szCs w:val="21"/>
          <w:highlight w:val="none"/>
          <w:u w:val="single"/>
        </w:rPr>
        <w:t>0</w:t>
      </w:r>
      <w:r>
        <w:rPr>
          <w:rFonts w:ascii="宋体" w:hAnsi="宋体" w:eastAsia="宋体" w:cs="宋体"/>
          <w:color w:val="auto"/>
          <w:szCs w:val="21"/>
          <w:highlight w:val="none"/>
          <w:u w:val="single"/>
        </w:rPr>
        <w:t>000</w:t>
      </w:r>
      <w:r>
        <w:rPr>
          <w:rFonts w:hint="eastAsia" w:ascii="宋体" w:hAnsi="宋体" w:eastAsia="宋体" w:cs="宋体"/>
          <w:color w:val="auto"/>
          <w:szCs w:val="21"/>
          <w:highlight w:val="none"/>
        </w:rPr>
        <w:t>元/日违约金。乙方逾期10日未完成前述工作的，甲方有权委托第三方进行设备设施拆除和地貌恢复，相关费用由乙方承担，因此造成乙方设备、设施损坏或遗失等后果由乙方自行承担，甲方无需承担任何责任，也无需承担任何补偿或赔偿。因乙方未及时拆除设备设施造成甲方损失的，乙方应承担全部赔偿责任。</w:t>
      </w:r>
    </w:p>
    <w:p w14:paraId="754B3C25">
      <w:pPr>
        <w:keepNext w:val="0"/>
        <w:keepLines w:val="0"/>
        <w:kinsoku/>
        <w:wordWrap/>
        <w:overflowPunct/>
        <w:topLinePunct w:val="0"/>
        <w:bidi w:val="0"/>
        <w:snapToGrid w:val="0"/>
        <w:spacing w:line="360" w:lineRule="auto"/>
        <w:ind w:firstLine="371" w:firstLineChars="177"/>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12、</w:t>
      </w:r>
      <w:r>
        <w:rPr>
          <w:rFonts w:hint="eastAsia" w:ascii="宋体" w:hAnsi="宋体" w:eastAsia="宋体" w:cs="宋体"/>
          <w:color w:val="auto"/>
          <w:szCs w:val="21"/>
          <w:highlight w:val="none"/>
        </w:rPr>
        <w:t>甲方每月在付款手续前对乙方的履约情况进行评价，填写《</w:t>
      </w:r>
      <w:r>
        <w:rPr>
          <w:rFonts w:hint="eastAsia" w:ascii="宋体" w:hAnsi="宋体" w:eastAsia="宋体" w:cs="宋体"/>
          <w:color w:val="auto"/>
          <w:szCs w:val="21"/>
          <w:highlight w:val="none"/>
          <w:lang w:eastAsia="zh-CN"/>
        </w:rPr>
        <w:t>服务单位</w:t>
      </w:r>
      <w:r>
        <w:rPr>
          <w:rFonts w:hint="eastAsia" w:ascii="宋体" w:hAnsi="宋体" w:eastAsia="宋体" w:cs="宋体"/>
          <w:color w:val="auto"/>
          <w:szCs w:val="21"/>
          <w:highlight w:val="none"/>
        </w:rPr>
        <w:t>履约评价表》。考核评分满分为100分，考核评分分数低于80分</w:t>
      </w:r>
      <w:r>
        <w:rPr>
          <w:rFonts w:hint="eastAsia" w:ascii="宋体" w:hAnsi="宋体" w:eastAsia="宋体" w:cs="宋体"/>
          <w:color w:val="auto"/>
          <w:szCs w:val="21"/>
          <w:highlight w:val="none"/>
          <w:lang w:val="en-US" w:eastAsia="zh-CN"/>
        </w:rPr>
        <w:t>且</w:t>
      </w:r>
      <w:r>
        <w:rPr>
          <w:rFonts w:hint="eastAsia" w:ascii="宋体" w:hAnsi="宋体" w:eastAsia="宋体" w:cs="宋体"/>
          <w:color w:val="auto"/>
          <w:szCs w:val="21"/>
          <w:highlight w:val="none"/>
        </w:rPr>
        <w:t>达到60分时，乙方应按该月含税结算</w:t>
      </w:r>
      <w:r>
        <w:rPr>
          <w:rFonts w:hint="eastAsia" w:ascii="宋体" w:hAnsi="宋体" w:eastAsia="宋体" w:cs="宋体"/>
          <w:color w:val="auto"/>
          <w:szCs w:val="21"/>
          <w:highlight w:val="none"/>
          <w:lang w:eastAsia="zh-CN"/>
        </w:rPr>
        <w:t>服务费</w:t>
      </w:r>
      <w:r>
        <w:rPr>
          <w:rFonts w:hint="eastAsia" w:ascii="宋体" w:hAnsi="宋体" w:eastAsia="宋体" w:cs="宋体"/>
          <w:color w:val="auto"/>
          <w:szCs w:val="21"/>
          <w:highlight w:val="none"/>
        </w:rPr>
        <w:t>的20%向甲方支付违约金；考核评分分数低于60分时，乙方应按该月含税结算</w:t>
      </w:r>
      <w:r>
        <w:rPr>
          <w:rFonts w:hint="eastAsia" w:ascii="宋体" w:hAnsi="宋体" w:eastAsia="宋体" w:cs="宋体"/>
          <w:color w:val="auto"/>
          <w:szCs w:val="21"/>
          <w:highlight w:val="none"/>
          <w:lang w:eastAsia="zh-CN"/>
        </w:rPr>
        <w:t>服务费</w:t>
      </w:r>
      <w:r>
        <w:rPr>
          <w:rFonts w:hint="eastAsia" w:ascii="宋体" w:hAnsi="宋体" w:eastAsia="宋体" w:cs="宋体"/>
          <w:color w:val="auto"/>
          <w:szCs w:val="21"/>
          <w:highlight w:val="none"/>
        </w:rPr>
        <w:t>的30%向甲方支付违约金。若</w:t>
      </w:r>
      <w:r>
        <w:rPr>
          <w:rFonts w:hint="eastAsia" w:ascii="宋体" w:hAnsi="宋体" w:eastAsia="宋体" w:cs="宋体"/>
          <w:color w:val="auto"/>
          <w:szCs w:val="21"/>
          <w:highlight w:val="none"/>
          <w:lang w:eastAsia="zh-CN"/>
        </w:rPr>
        <w:t>合同</w:t>
      </w:r>
      <w:r>
        <w:rPr>
          <w:rFonts w:hint="eastAsia" w:ascii="宋体" w:hAnsi="宋体" w:eastAsia="宋体" w:cs="宋体"/>
          <w:color w:val="auto"/>
          <w:szCs w:val="21"/>
          <w:highlight w:val="none"/>
        </w:rPr>
        <w:t>期内累计出现3次（含）以上评审结论为不合格的，甲方有权取消乙方的</w:t>
      </w:r>
      <w:r>
        <w:rPr>
          <w:rFonts w:hint="eastAsia" w:ascii="宋体" w:hAnsi="宋体" w:eastAsia="宋体" w:cs="宋体"/>
          <w:color w:val="auto"/>
          <w:szCs w:val="21"/>
          <w:highlight w:val="none"/>
          <w:lang w:eastAsia="zh-CN"/>
        </w:rPr>
        <w:t>服务</w:t>
      </w:r>
      <w:r>
        <w:rPr>
          <w:rFonts w:hint="eastAsia" w:ascii="宋体" w:hAnsi="宋体" w:eastAsia="宋体" w:cs="宋体"/>
          <w:color w:val="auto"/>
          <w:szCs w:val="21"/>
          <w:highlight w:val="none"/>
        </w:rPr>
        <w:t>资格并单方解除合同、没收乙方部分或全部履约担保。</w:t>
      </w:r>
    </w:p>
    <w:p w14:paraId="3200197C">
      <w:pPr>
        <w:pStyle w:val="18"/>
        <w:keepNext w:val="0"/>
        <w:keepLines w:val="0"/>
        <w:kinsoku/>
        <w:wordWrap/>
        <w:overflowPunct/>
        <w:topLinePunct w:val="0"/>
        <w:bidi w:val="0"/>
        <w:textAlignment w:val="auto"/>
        <w:outlineLvl w:val="9"/>
        <w:rPr>
          <w:rFonts w:hAnsi="宋体" w:cs="宋体"/>
          <w:color w:val="auto"/>
          <w:sz w:val="21"/>
          <w:szCs w:val="21"/>
          <w:highlight w:val="none"/>
          <w:lang w:val="en-US"/>
        </w:rPr>
      </w:pPr>
    </w:p>
    <w:p w14:paraId="7F3412B4">
      <w:pPr>
        <w:keepNext w:val="0"/>
        <w:keepLines w:val="0"/>
        <w:kinsoku/>
        <w:wordWrap/>
        <w:overflowPunct/>
        <w:topLinePunct w:val="0"/>
        <w:bidi w:val="0"/>
        <w:snapToGrid w:val="0"/>
        <w:spacing w:line="360" w:lineRule="auto"/>
        <w:ind w:firstLine="413" w:firstLineChars="196"/>
        <w:textAlignment w:val="auto"/>
        <w:outlineLvl w:val="9"/>
        <w:rPr>
          <w:rFonts w:ascii="宋体" w:hAnsi="宋体" w:eastAsia="宋体" w:cs="宋体"/>
          <w:b/>
          <w:color w:val="auto"/>
          <w:szCs w:val="21"/>
          <w:highlight w:val="none"/>
        </w:rPr>
      </w:pPr>
      <w:bookmarkStart w:id="741" w:name="_Toc14283"/>
      <w:r>
        <w:rPr>
          <w:rFonts w:hint="eastAsia" w:ascii="宋体" w:hAnsi="宋体" w:eastAsia="宋体" w:cs="宋体"/>
          <w:b/>
          <w:color w:val="auto"/>
          <w:szCs w:val="21"/>
          <w:highlight w:val="none"/>
        </w:rPr>
        <w:t>第九条 争议或纠纷处理</w:t>
      </w:r>
      <w:bookmarkEnd w:id="741"/>
      <w:r>
        <w:rPr>
          <w:rFonts w:hint="eastAsia" w:ascii="宋体" w:hAnsi="宋体" w:eastAsia="宋体" w:cs="宋体"/>
          <w:b/>
          <w:color w:val="auto"/>
          <w:szCs w:val="21"/>
          <w:highlight w:val="none"/>
        </w:rPr>
        <w:t xml:space="preserve"> </w:t>
      </w:r>
    </w:p>
    <w:p w14:paraId="5B121A50">
      <w:pPr>
        <w:keepNext w:val="0"/>
        <w:keepLines w:val="0"/>
        <w:kinsoku/>
        <w:wordWrap/>
        <w:overflowPunct/>
        <w:topLinePunct w:val="0"/>
        <w:bidi w:val="0"/>
        <w:snapToGrid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本合同在履行过程中若发生争议，甲、乙双方应首先通过友好协商的方式解决，协商不成的，双方同意将争议提交到甲方所在地有管辖权的人民法院通过诉讼的方式解决。</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rPr>
        <w:t xml:space="preserve"> </w:t>
      </w:r>
    </w:p>
    <w:p w14:paraId="62E9492C">
      <w:pPr>
        <w:keepNext w:val="0"/>
        <w:keepLines w:val="0"/>
        <w:kinsoku/>
        <w:wordWrap/>
        <w:overflowPunct/>
        <w:topLinePunct w:val="0"/>
        <w:bidi w:val="0"/>
        <w:snapToGrid w:val="0"/>
        <w:spacing w:line="360" w:lineRule="auto"/>
        <w:ind w:firstLine="422" w:firstLineChars="200"/>
        <w:textAlignment w:val="auto"/>
        <w:outlineLvl w:val="9"/>
        <w:rPr>
          <w:rFonts w:hint="eastAsia" w:ascii="宋体" w:hAnsi="宋体" w:eastAsia="宋体" w:cs="宋体"/>
          <w:b/>
          <w:color w:val="auto"/>
          <w:szCs w:val="21"/>
          <w:highlight w:val="none"/>
        </w:rPr>
      </w:pPr>
    </w:p>
    <w:p w14:paraId="17E27CD1">
      <w:pPr>
        <w:keepNext w:val="0"/>
        <w:keepLines w:val="0"/>
        <w:pageBreakBefore w:val="0"/>
        <w:widowControl w:val="0"/>
        <w:kinsoku/>
        <w:wordWrap/>
        <w:overflowPunct/>
        <w:topLinePunct w:val="0"/>
        <w:autoSpaceDE/>
        <w:autoSpaceDN/>
        <w:bidi w:val="0"/>
        <w:adjustRightInd/>
        <w:snapToGrid w:val="0"/>
        <w:spacing w:line="360" w:lineRule="auto"/>
        <w:ind w:firstLine="413" w:firstLineChars="196"/>
        <w:textAlignment w:val="auto"/>
        <w:outlineLvl w:val="9"/>
        <w:rPr>
          <w:rFonts w:hint="default" w:ascii="宋体" w:hAnsi="宋体" w:eastAsia="宋体" w:cs="宋体"/>
          <w:b/>
          <w:color w:val="auto"/>
          <w:szCs w:val="21"/>
          <w:highlight w:val="none"/>
          <w:lang w:val="en-US" w:eastAsia="zh-CN"/>
        </w:rPr>
      </w:pPr>
      <w:r>
        <w:rPr>
          <w:rFonts w:hint="eastAsia" w:ascii="宋体" w:hAnsi="宋体" w:eastAsia="宋体" w:cs="宋体"/>
          <w:b/>
          <w:color w:val="auto"/>
          <w:szCs w:val="21"/>
          <w:highlight w:val="none"/>
        </w:rPr>
        <w:t xml:space="preserve">第十条 </w:t>
      </w:r>
      <w:r>
        <w:rPr>
          <w:rFonts w:hint="eastAsia" w:ascii="宋体" w:hAnsi="宋体" w:eastAsia="宋体" w:cs="宋体"/>
          <w:b/>
          <w:color w:val="auto"/>
          <w:szCs w:val="21"/>
          <w:highlight w:val="none"/>
          <w:lang w:val="en-US" w:eastAsia="zh-CN"/>
        </w:rPr>
        <w:t>不可抗力</w:t>
      </w:r>
    </w:p>
    <w:p w14:paraId="124F8D67">
      <w:pPr>
        <w:keepNext w:val="0"/>
        <w:keepLines w:val="0"/>
        <w:pageBreakBefore w:val="0"/>
        <w:widowControl w:val="0"/>
        <w:kinsoku/>
        <w:wordWrap/>
        <w:overflowPunct/>
        <w:topLinePunct w:val="0"/>
        <w:autoSpaceDE/>
        <w:autoSpaceDN/>
        <w:bidi w:val="0"/>
        <w:adjustRightInd/>
        <w:snapToGrid w:val="0"/>
        <w:spacing w:line="360" w:lineRule="auto"/>
        <w:ind w:firstLine="411" w:firstLineChars="196"/>
        <w:textAlignment w:val="auto"/>
        <w:outlineLvl w:val="9"/>
        <w:rPr>
          <w:rFonts w:hint="eastAsia" w:ascii="宋体" w:hAnsi="宋体" w:eastAsia="宋体" w:cs="宋体"/>
          <w:b/>
          <w:color w:val="auto"/>
          <w:szCs w:val="21"/>
          <w:highlight w:val="none"/>
        </w:rPr>
      </w:pPr>
      <w:r>
        <w:rPr>
          <w:rFonts w:hint="eastAsia" w:ascii="宋体" w:hAnsi="宋体" w:eastAsia="宋体" w:cs="宋体"/>
          <w:b w:val="0"/>
          <w:bCs/>
          <w:color w:val="auto"/>
          <w:szCs w:val="21"/>
          <w:highlight w:val="none"/>
        </w:rPr>
        <w:t>由于地震、台风、水灾、战争以及其他不能预见并且对其发生和后果不能防止或避免的不可抗力事故，致使直接影响本合同的履行或不能按约定的条件履行时，遇有上述不可抗力事故的一方，应立即将事故情况以电话、传真或其他有效方式通知对方，并应在十五个工作日内，提供事故详情及合同不能履行、或者部分不能履行、或者需要延期履行的理由的有效证明文件。如因为遭受不可抗力一方迟延通知而给对方造成损失的，该方应当赔偿由于通知迟延而给对方造成的损失。同时，遭受不可抗力的一方应采取一切必要的措施减少损失，否则应就扩大的损失承担责任。按照事故对履行合同影响的程度，由各方协商决定是否解除合同，或者部分免除履行合同的责任，或者延期履行合同。</w:t>
      </w:r>
    </w:p>
    <w:p w14:paraId="487C8D7B">
      <w:pPr>
        <w:keepNext w:val="0"/>
        <w:keepLines w:val="0"/>
        <w:widowControl/>
        <w:kinsoku/>
        <w:wordWrap/>
        <w:overflowPunct/>
        <w:topLinePunct w:val="0"/>
        <w:bidi w:val="0"/>
        <w:ind w:firstLine="402" w:firstLineChars="200"/>
        <w:jc w:val="left"/>
        <w:textAlignment w:val="auto"/>
        <w:outlineLvl w:val="9"/>
        <w:rPr>
          <w:rFonts w:ascii="宋体" w:hAnsi="宋体" w:eastAsia="宋体" w:cs="宋体"/>
          <w:b/>
          <w:bCs/>
          <w:color w:val="auto"/>
          <w:kern w:val="0"/>
          <w:sz w:val="20"/>
          <w:szCs w:val="20"/>
          <w:highlight w:val="none"/>
          <w:lang w:bidi="ar"/>
        </w:rPr>
      </w:pPr>
    </w:p>
    <w:p w14:paraId="0A86129B">
      <w:pPr>
        <w:keepNext w:val="0"/>
        <w:keepLines w:val="0"/>
        <w:kinsoku/>
        <w:wordWrap/>
        <w:overflowPunct/>
        <w:topLinePunct w:val="0"/>
        <w:bidi w:val="0"/>
        <w:snapToGrid w:val="0"/>
        <w:spacing w:line="360" w:lineRule="auto"/>
        <w:ind w:firstLine="413" w:firstLineChars="196"/>
        <w:textAlignment w:val="auto"/>
        <w:outlineLvl w:val="9"/>
        <w:rPr>
          <w:rFonts w:ascii="宋体" w:hAnsi="宋体" w:eastAsia="宋体" w:cs="宋体"/>
          <w:b/>
          <w:color w:val="auto"/>
          <w:szCs w:val="21"/>
          <w:highlight w:val="none"/>
        </w:rPr>
      </w:pPr>
      <w:bookmarkStart w:id="742" w:name="_Toc28708"/>
      <w:r>
        <w:rPr>
          <w:rFonts w:hint="eastAsia" w:ascii="宋体" w:hAnsi="宋体" w:eastAsia="宋体" w:cs="宋体"/>
          <w:b/>
          <w:color w:val="auto"/>
          <w:szCs w:val="21"/>
          <w:highlight w:val="none"/>
        </w:rPr>
        <w:t>第十</w:t>
      </w:r>
      <w:r>
        <w:rPr>
          <w:rFonts w:hint="eastAsia" w:ascii="宋体" w:hAnsi="宋体" w:eastAsia="宋体" w:cs="宋体"/>
          <w:b/>
          <w:color w:val="auto"/>
          <w:szCs w:val="21"/>
          <w:highlight w:val="none"/>
          <w:lang w:val="en-US" w:eastAsia="zh-CN"/>
        </w:rPr>
        <w:t>一</w:t>
      </w:r>
      <w:r>
        <w:rPr>
          <w:rFonts w:hint="eastAsia" w:ascii="宋体" w:hAnsi="宋体" w:eastAsia="宋体" w:cs="宋体"/>
          <w:b/>
          <w:color w:val="auto"/>
          <w:szCs w:val="21"/>
          <w:highlight w:val="none"/>
        </w:rPr>
        <w:t>条 其他</w:t>
      </w:r>
      <w:bookmarkEnd w:id="742"/>
    </w:p>
    <w:p w14:paraId="1342EDE0">
      <w:pPr>
        <w:keepNext w:val="0"/>
        <w:keepLines w:val="0"/>
        <w:kinsoku/>
        <w:wordWrap/>
        <w:overflowPunct/>
        <w:topLinePunct w:val="0"/>
        <w:bidi w:val="0"/>
        <w:snapToGrid w:val="0"/>
        <w:spacing w:line="360" w:lineRule="auto"/>
        <w:ind w:firstLine="420" w:firstLineChars="200"/>
        <w:textAlignment w:val="auto"/>
        <w:outlineLvl w:val="9"/>
        <w:rPr>
          <w:rFonts w:ascii="宋体" w:hAnsi="宋体" w:eastAsia="宋体" w:cs="宋体"/>
          <w:color w:val="auto"/>
          <w:szCs w:val="21"/>
          <w:highlight w:val="none"/>
        </w:rPr>
      </w:pPr>
      <w:r>
        <w:rPr>
          <w:rFonts w:ascii="宋体" w:hAnsi="宋体" w:eastAsia="宋体" w:cs="宋体"/>
          <w:color w:val="auto"/>
          <w:szCs w:val="21"/>
          <w:highlight w:val="none"/>
        </w:rPr>
        <w:t>1</w:t>
      </w:r>
      <w:r>
        <w:rPr>
          <w:rFonts w:hint="eastAsia" w:ascii="宋体" w:hAnsi="宋体" w:eastAsia="宋体" w:cs="宋体"/>
          <w:color w:val="auto"/>
          <w:szCs w:val="21"/>
          <w:highlight w:val="none"/>
        </w:rPr>
        <w:t>、</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rPr>
        <w:t xml:space="preserve">合同履约过程中，若发现同一种货物或服务存在有选择性的报价或不是固定的报价的，或存在多种理解方式的情况发生时，按最有利甲方的方式解释。合同所有附件及本项目的招标文件、答疑文件、投标文件、补充通知及相关承诺、协议等均为本合同有效组成部分，与本合同同具法律效力，该等文件与本合同正文约定不一致的，以有利于甲方的约定为准。 </w:t>
      </w:r>
    </w:p>
    <w:p w14:paraId="51AD5310">
      <w:pPr>
        <w:keepNext w:val="0"/>
        <w:keepLines w:val="0"/>
        <w:kinsoku/>
        <w:wordWrap/>
        <w:overflowPunct/>
        <w:topLinePunct w:val="0"/>
        <w:bidi w:val="0"/>
        <w:snapToGrid w:val="0"/>
        <w:spacing w:line="360" w:lineRule="auto"/>
        <w:ind w:firstLine="420" w:firstLineChars="200"/>
        <w:textAlignment w:val="auto"/>
        <w:outlineLvl w:val="9"/>
        <w:rPr>
          <w:rFonts w:ascii="宋体" w:hAnsi="宋体" w:eastAsia="宋体" w:cs="宋体"/>
          <w:color w:val="auto"/>
          <w:szCs w:val="21"/>
          <w:highlight w:val="none"/>
        </w:rPr>
      </w:pPr>
      <w:r>
        <w:rPr>
          <w:rFonts w:ascii="宋体" w:hAnsi="宋体" w:eastAsia="宋体" w:cs="宋体"/>
          <w:color w:val="auto"/>
          <w:szCs w:val="21"/>
          <w:highlight w:val="none"/>
        </w:rPr>
        <w:t>2</w:t>
      </w:r>
      <w:r>
        <w:rPr>
          <w:rFonts w:hint="eastAsia" w:ascii="宋体" w:hAnsi="宋体" w:eastAsia="宋体" w:cs="宋体"/>
          <w:color w:val="auto"/>
          <w:szCs w:val="21"/>
          <w:highlight w:val="none"/>
        </w:rPr>
        <w:t>、</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rPr>
        <w:t xml:space="preserve">本合同未尽事宜，由甲乙双方协商并签订书面补充协议，补充协议与本合同具有同等法律效力，补充协议与本合同不一致的，以补充协议为准。 </w:t>
      </w:r>
    </w:p>
    <w:p w14:paraId="231BD393">
      <w:pPr>
        <w:keepNext w:val="0"/>
        <w:keepLines w:val="0"/>
        <w:kinsoku/>
        <w:wordWrap/>
        <w:overflowPunct/>
        <w:topLinePunct w:val="0"/>
        <w:bidi w:val="0"/>
        <w:snapToGrid w:val="0"/>
        <w:spacing w:line="360" w:lineRule="auto"/>
        <w:ind w:firstLine="420" w:firstLineChars="200"/>
        <w:textAlignment w:val="auto"/>
        <w:outlineLvl w:val="9"/>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rPr>
        <w:t>本合同一式</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份，甲方执</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份，乙方执</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份，具有同等法律效力，本合同自双方法定代表人</w:t>
      </w:r>
      <w:r>
        <w:rPr>
          <w:rFonts w:hint="eastAsia" w:ascii="宋体" w:hAnsi="宋体" w:eastAsia="宋体" w:cs="宋体"/>
          <w:color w:val="auto"/>
          <w:szCs w:val="21"/>
          <w:highlight w:val="none"/>
          <w:lang w:val="en-US" w:eastAsia="zh-CN"/>
        </w:rPr>
        <w:t>或负责人</w:t>
      </w:r>
      <w:r>
        <w:rPr>
          <w:rFonts w:hint="eastAsia" w:ascii="宋体" w:hAnsi="宋体" w:eastAsia="宋体" w:cs="宋体"/>
          <w:color w:val="auto"/>
          <w:szCs w:val="21"/>
          <w:highlight w:val="none"/>
        </w:rPr>
        <w:t>签字并盖章之日起生效。</w:t>
      </w:r>
    </w:p>
    <w:p w14:paraId="3C629911">
      <w:pPr>
        <w:keepNext w:val="0"/>
        <w:keepLines w:val="0"/>
        <w:kinsoku/>
        <w:wordWrap/>
        <w:overflowPunct/>
        <w:topLinePunct w:val="0"/>
        <w:bidi w:val="0"/>
        <w:snapToGrid w:val="0"/>
        <w:spacing w:line="360" w:lineRule="auto"/>
        <w:ind w:firstLine="420" w:firstLineChars="200"/>
        <w:textAlignment w:val="auto"/>
        <w:outlineLvl w:val="9"/>
        <w:rPr>
          <w:color w:val="auto"/>
          <w:highlight w:val="none"/>
        </w:rPr>
      </w:pPr>
      <w:r>
        <w:rPr>
          <w:rFonts w:hint="eastAsia" w:ascii="宋体" w:hAnsi="宋体" w:eastAsia="宋体" w:cs="宋体"/>
          <w:color w:val="auto"/>
          <w:szCs w:val="21"/>
          <w:highlight w:val="none"/>
        </w:rPr>
        <w:t>附件：1.廉洁协议书；</w:t>
      </w:r>
      <w:r>
        <w:rPr>
          <w:rFonts w:ascii="宋体" w:hAnsi="宋体" w:eastAsia="宋体" w:cs="宋体"/>
          <w:color w:val="auto"/>
          <w:szCs w:val="21"/>
          <w:highlight w:val="none"/>
        </w:rPr>
        <w:t>2</w:t>
      </w:r>
      <w:r>
        <w:rPr>
          <w:rFonts w:hint="eastAsia" w:ascii="宋体" w:hAnsi="宋体" w:eastAsia="宋体" w:cs="宋体"/>
          <w:color w:val="auto"/>
          <w:szCs w:val="21"/>
          <w:highlight w:val="none"/>
        </w:rPr>
        <w:t>.安全生产管理协议；3.用户需求书</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服务单位</w:t>
      </w:r>
      <w:r>
        <w:rPr>
          <w:rFonts w:hint="eastAsia" w:ascii="宋体" w:hAnsi="宋体" w:eastAsia="宋体" w:cs="宋体"/>
          <w:color w:val="auto"/>
          <w:szCs w:val="21"/>
          <w:highlight w:val="none"/>
        </w:rPr>
        <w:t>履约评价表》。</w:t>
      </w:r>
    </w:p>
    <w:p w14:paraId="188A2DB9">
      <w:pPr>
        <w:keepNext w:val="0"/>
        <w:keepLines w:val="0"/>
        <w:kinsoku/>
        <w:wordWrap/>
        <w:overflowPunct/>
        <w:topLinePunct w:val="0"/>
        <w:bidi w:val="0"/>
        <w:snapToGrid w:val="0"/>
        <w:spacing w:line="360" w:lineRule="auto"/>
        <w:textAlignment w:val="auto"/>
        <w:outlineLvl w:val="9"/>
        <w:rPr>
          <w:rFonts w:ascii="宋体" w:hAnsi="宋体" w:eastAsia="宋体" w:cs="宋体"/>
          <w:color w:val="auto"/>
          <w:szCs w:val="21"/>
          <w:highlight w:val="none"/>
        </w:rPr>
      </w:pPr>
    </w:p>
    <w:tbl>
      <w:tblPr>
        <w:tblStyle w:val="37"/>
        <w:tblW w:w="9567" w:type="dxa"/>
        <w:jc w:val="center"/>
        <w:tblLayout w:type="fixed"/>
        <w:tblCellMar>
          <w:top w:w="0" w:type="dxa"/>
          <w:left w:w="108" w:type="dxa"/>
          <w:bottom w:w="0" w:type="dxa"/>
          <w:right w:w="108" w:type="dxa"/>
        </w:tblCellMar>
      </w:tblPr>
      <w:tblGrid>
        <w:gridCol w:w="5102"/>
        <w:gridCol w:w="4465"/>
      </w:tblGrid>
      <w:tr w14:paraId="59BA9D3E">
        <w:tblPrEx>
          <w:tblCellMar>
            <w:top w:w="0" w:type="dxa"/>
            <w:left w:w="108" w:type="dxa"/>
            <w:bottom w:w="0" w:type="dxa"/>
            <w:right w:w="108" w:type="dxa"/>
          </w:tblCellMar>
        </w:tblPrEx>
        <w:trPr>
          <w:jc w:val="center"/>
        </w:trPr>
        <w:tc>
          <w:tcPr>
            <w:tcW w:w="5102" w:type="dxa"/>
            <w:tcMar>
              <w:top w:w="0" w:type="dxa"/>
              <w:left w:w="57" w:type="dxa"/>
              <w:bottom w:w="0" w:type="dxa"/>
              <w:right w:w="57" w:type="dxa"/>
            </w:tcMar>
          </w:tcPr>
          <w:p w14:paraId="37C352C3">
            <w:pPr>
              <w:keepNext w:val="0"/>
              <w:keepLines w:val="0"/>
              <w:suppressLineNumbers w:val="0"/>
              <w:kinsoku/>
              <w:wordWrap/>
              <w:overflowPunct/>
              <w:topLinePunct w:val="0"/>
              <w:bidi w:val="0"/>
              <w:spacing w:before="0" w:beforeAutospacing="0" w:after="0" w:afterAutospacing="0" w:line="360" w:lineRule="auto"/>
              <w:ind w:left="0" w:right="0"/>
              <w:textAlignment w:val="auto"/>
              <w:outlineLvl w:val="9"/>
              <w:rPr>
                <w:rFonts w:hint="default" w:ascii="宋体" w:hAnsi="宋体" w:eastAsia="宋体" w:cs="宋体"/>
                <w:color w:val="auto"/>
                <w:szCs w:val="21"/>
                <w:highlight w:val="none"/>
              </w:rPr>
            </w:pPr>
            <w:r>
              <w:rPr>
                <w:rFonts w:hint="eastAsia" w:ascii="宋体" w:hAnsi="宋体" w:eastAsia="宋体" w:cs="宋体"/>
                <w:b/>
                <w:color w:val="auto"/>
                <w:szCs w:val="21"/>
                <w:highlight w:val="none"/>
              </w:rPr>
              <w:t>甲方（盖章）：</w:t>
            </w:r>
          </w:p>
        </w:tc>
        <w:tc>
          <w:tcPr>
            <w:tcW w:w="4465" w:type="dxa"/>
            <w:tcMar>
              <w:top w:w="0" w:type="dxa"/>
              <w:left w:w="57" w:type="dxa"/>
              <w:bottom w:w="0" w:type="dxa"/>
              <w:right w:w="57" w:type="dxa"/>
            </w:tcMar>
          </w:tcPr>
          <w:p w14:paraId="16434896">
            <w:pPr>
              <w:keepNext w:val="0"/>
              <w:keepLines w:val="0"/>
              <w:suppressLineNumbers w:val="0"/>
              <w:kinsoku/>
              <w:wordWrap/>
              <w:overflowPunct/>
              <w:topLinePunct w:val="0"/>
              <w:bidi w:val="0"/>
              <w:spacing w:before="0" w:beforeAutospacing="0" w:after="0" w:afterAutospacing="0" w:line="360" w:lineRule="auto"/>
              <w:ind w:left="0" w:right="0"/>
              <w:textAlignment w:val="auto"/>
              <w:outlineLvl w:val="9"/>
              <w:rPr>
                <w:rFonts w:hint="default" w:ascii="宋体" w:hAnsi="宋体" w:eastAsia="宋体" w:cs="宋体"/>
                <w:color w:val="auto"/>
                <w:szCs w:val="21"/>
                <w:highlight w:val="none"/>
              </w:rPr>
            </w:pPr>
            <w:r>
              <w:rPr>
                <w:rFonts w:hint="eastAsia" w:ascii="宋体" w:hAnsi="宋体" w:eastAsia="宋体" w:cs="宋体"/>
                <w:b/>
                <w:color w:val="auto"/>
                <w:szCs w:val="21"/>
                <w:highlight w:val="none"/>
              </w:rPr>
              <w:t>乙方（盖章）：</w:t>
            </w:r>
          </w:p>
        </w:tc>
      </w:tr>
      <w:tr w14:paraId="252FD589">
        <w:tblPrEx>
          <w:tblCellMar>
            <w:top w:w="0" w:type="dxa"/>
            <w:left w:w="108" w:type="dxa"/>
            <w:bottom w:w="0" w:type="dxa"/>
            <w:right w:w="108" w:type="dxa"/>
          </w:tblCellMar>
        </w:tblPrEx>
        <w:trPr>
          <w:jc w:val="center"/>
        </w:trPr>
        <w:tc>
          <w:tcPr>
            <w:tcW w:w="5102" w:type="dxa"/>
            <w:tcMar>
              <w:top w:w="0" w:type="dxa"/>
              <w:left w:w="57" w:type="dxa"/>
              <w:bottom w:w="0" w:type="dxa"/>
              <w:right w:w="57" w:type="dxa"/>
            </w:tcMar>
          </w:tcPr>
          <w:p w14:paraId="0DDAE628">
            <w:pPr>
              <w:keepNext w:val="0"/>
              <w:keepLines w:val="0"/>
              <w:suppressLineNumbers w:val="0"/>
              <w:kinsoku/>
              <w:wordWrap/>
              <w:overflowPunct/>
              <w:topLinePunct w:val="0"/>
              <w:bidi w:val="0"/>
              <w:spacing w:before="0" w:beforeAutospacing="0" w:after="0" w:afterAutospacing="0" w:line="360" w:lineRule="auto"/>
              <w:ind w:left="0" w:right="0"/>
              <w:textAlignment w:val="auto"/>
              <w:outlineLvl w:val="9"/>
              <w:rPr>
                <w:rFonts w:hint="default"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lang w:val="en-US" w:eastAsia="zh-CN"/>
              </w:rPr>
              <w:t>或负责人</w:t>
            </w:r>
            <w:r>
              <w:rPr>
                <w:rFonts w:hint="eastAsia" w:ascii="宋体" w:hAnsi="宋体" w:eastAsia="宋体" w:cs="宋体"/>
                <w:color w:val="auto"/>
                <w:szCs w:val="21"/>
                <w:highlight w:val="none"/>
              </w:rPr>
              <w:t>：</w:t>
            </w:r>
          </w:p>
        </w:tc>
        <w:tc>
          <w:tcPr>
            <w:tcW w:w="4465" w:type="dxa"/>
            <w:tcMar>
              <w:top w:w="0" w:type="dxa"/>
              <w:left w:w="57" w:type="dxa"/>
              <w:bottom w:w="0" w:type="dxa"/>
              <w:right w:w="57" w:type="dxa"/>
            </w:tcMar>
          </w:tcPr>
          <w:p w14:paraId="0A0B35FA">
            <w:pPr>
              <w:keepNext w:val="0"/>
              <w:keepLines w:val="0"/>
              <w:suppressLineNumbers w:val="0"/>
              <w:kinsoku/>
              <w:wordWrap/>
              <w:overflowPunct/>
              <w:topLinePunct w:val="0"/>
              <w:bidi w:val="0"/>
              <w:spacing w:before="0" w:beforeAutospacing="0" w:after="0" w:afterAutospacing="0" w:line="360" w:lineRule="auto"/>
              <w:ind w:left="0" w:right="0"/>
              <w:textAlignment w:val="auto"/>
              <w:outlineLvl w:val="9"/>
              <w:rPr>
                <w:rFonts w:hint="default"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lang w:val="en-US" w:eastAsia="zh-CN"/>
              </w:rPr>
              <w:t>或负责人</w:t>
            </w:r>
            <w:r>
              <w:rPr>
                <w:rFonts w:hint="eastAsia" w:ascii="宋体" w:hAnsi="宋体" w:eastAsia="宋体" w:cs="宋体"/>
                <w:color w:val="auto"/>
                <w:szCs w:val="21"/>
                <w:highlight w:val="none"/>
              </w:rPr>
              <w:t>：</w:t>
            </w:r>
          </w:p>
        </w:tc>
      </w:tr>
      <w:tr w14:paraId="2DB957B1">
        <w:tblPrEx>
          <w:tblCellMar>
            <w:top w:w="0" w:type="dxa"/>
            <w:left w:w="108" w:type="dxa"/>
            <w:bottom w:w="0" w:type="dxa"/>
            <w:right w:w="108" w:type="dxa"/>
          </w:tblCellMar>
        </w:tblPrEx>
        <w:trPr>
          <w:jc w:val="center"/>
        </w:trPr>
        <w:tc>
          <w:tcPr>
            <w:tcW w:w="5102" w:type="dxa"/>
            <w:tcMar>
              <w:top w:w="0" w:type="dxa"/>
              <w:left w:w="57" w:type="dxa"/>
              <w:bottom w:w="0" w:type="dxa"/>
              <w:right w:w="57" w:type="dxa"/>
            </w:tcMar>
          </w:tcPr>
          <w:p w14:paraId="5C97A5EF">
            <w:pPr>
              <w:keepNext w:val="0"/>
              <w:keepLines w:val="0"/>
              <w:suppressLineNumbers w:val="0"/>
              <w:kinsoku/>
              <w:wordWrap/>
              <w:overflowPunct/>
              <w:topLinePunct w:val="0"/>
              <w:bidi w:val="0"/>
              <w:spacing w:before="0" w:beforeAutospacing="0" w:after="0" w:afterAutospacing="0" w:line="360" w:lineRule="auto"/>
              <w:ind w:left="0" w:right="0"/>
              <w:textAlignment w:val="auto"/>
              <w:outlineLvl w:val="9"/>
              <w:rPr>
                <w:rFonts w:hint="default" w:ascii="宋体" w:hAnsi="宋体" w:eastAsia="宋体" w:cs="宋体"/>
                <w:color w:val="auto"/>
                <w:szCs w:val="21"/>
                <w:highlight w:val="none"/>
              </w:rPr>
            </w:pPr>
            <w:r>
              <w:rPr>
                <w:rFonts w:hint="eastAsia" w:ascii="宋体" w:hAnsi="宋体" w:eastAsia="宋体" w:cs="宋体"/>
                <w:color w:val="auto"/>
                <w:szCs w:val="21"/>
                <w:highlight w:val="none"/>
              </w:rPr>
              <w:t>地址：</w:t>
            </w:r>
          </w:p>
        </w:tc>
        <w:tc>
          <w:tcPr>
            <w:tcW w:w="4465" w:type="dxa"/>
            <w:tcMar>
              <w:top w:w="0" w:type="dxa"/>
              <w:left w:w="57" w:type="dxa"/>
              <w:bottom w:w="0" w:type="dxa"/>
              <w:right w:w="57" w:type="dxa"/>
            </w:tcMar>
          </w:tcPr>
          <w:p w14:paraId="03BB75BB">
            <w:pPr>
              <w:keepNext w:val="0"/>
              <w:keepLines w:val="0"/>
              <w:suppressLineNumbers w:val="0"/>
              <w:kinsoku/>
              <w:wordWrap/>
              <w:overflowPunct/>
              <w:topLinePunct w:val="0"/>
              <w:bidi w:val="0"/>
              <w:spacing w:before="0" w:beforeAutospacing="0" w:after="0" w:afterAutospacing="0" w:line="360" w:lineRule="auto"/>
              <w:ind w:left="0" w:right="0"/>
              <w:textAlignment w:val="auto"/>
              <w:outlineLvl w:val="9"/>
              <w:rPr>
                <w:rFonts w:hint="default" w:ascii="宋体" w:hAnsi="宋体" w:eastAsia="宋体" w:cs="宋体"/>
                <w:color w:val="auto"/>
                <w:szCs w:val="21"/>
                <w:highlight w:val="none"/>
              </w:rPr>
            </w:pPr>
            <w:r>
              <w:rPr>
                <w:rFonts w:hint="eastAsia" w:ascii="宋体" w:hAnsi="宋体" w:eastAsia="宋体" w:cs="宋体"/>
                <w:color w:val="auto"/>
                <w:szCs w:val="21"/>
                <w:highlight w:val="none"/>
              </w:rPr>
              <w:t>地址：</w:t>
            </w:r>
          </w:p>
        </w:tc>
      </w:tr>
      <w:tr w14:paraId="1FBF9F20">
        <w:tblPrEx>
          <w:tblCellMar>
            <w:top w:w="0" w:type="dxa"/>
            <w:left w:w="108" w:type="dxa"/>
            <w:bottom w:w="0" w:type="dxa"/>
            <w:right w:w="108" w:type="dxa"/>
          </w:tblCellMar>
        </w:tblPrEx>
        <w:trPr>
          <w:jc w:val="center"/>
        </w:trPr>
        <w:tc>
          <w:tcPr>
            <w:tcW w:w="5102" w:type="dxa"/>
            <w:tcMar>
              <w:top w:w="0" w:type="dxa"/>
              <w:left w:w="57" w:type="dxa"/>
              <w:bottom w:w="0" w:type="dxa"/>
              <w:right w:w="57" w:type="dxa"/>
            </w:tcMar>
          </w:tcPr>
          <w:p w14:paraId="4A656A27">
            <w:pPr>
              <w:keepNext w:val="0"/>
              <w:keepLines w:val="0"/>
              <w:suppressLineNumbers w:val="0"/>
              <w:kinsoku/>
              <w:wordWrap/>
              <w:overflowPunct/>
              <w:topLinePunct w:val="0"/>
              <w:bidi w:val="0"/>
              <w:spacing w:before="0" w:beforeAutospacing="0" w:after="0" w:afterAutospacing="0" w:line="360" w:lineRule="auto"/>
              <w:ind w:left="0" w:right="0"/>
              <w:textAlignment w:val="auto"/>
              <w:outlineLvl w:val="9"/>
              <w:rPr>
                <w:rFonts w:hint="default" w:ascii="宋体" w:hAnsi="宋体" w:eastAsia="宋体" w:cs="宋体"/>
                <w:color w:val="auto"/>
                <w:szCs w:val="21"/>
                <w:highlight w:val="none"/>
              </w:rPr>
            </w:pPr>
            <w:r>
              <w:rPr>
                <w:rFonts w:hint="eastAsia" w:ascii="宋体" w:hAnsi="宋体" w:eastAsia="宋体" w:cs="宋体"/>
                <w:color w:val="auto"/>
                <w:szCs w:val="21"/>
                <w:highlight w:val="none"/>
              </w:rPr>
              <w:t>签约时间：</w:t>
            </w:r>
          </w:p>
        </w:tc>
        <w:tc>
          <w:tcPr>
            <w:tcW w:w="4465" w:type="dxa"/>
            <w:tcMar>
              <w:top w:w="0" w:type="dxa"/>
              <w:left w:w="57" w:type="dxa"/>
              <w:bottom w:w="0" w:type="dxa"/>
              <w:right w:w="57" w:type="dxa"/>
            </w:tcMar>
          </w:tcPr>
          <w:p w14:paraId="0348F60B">
            <w:pPr>
              <w:keepNext w:val="0"/>
              <w:keepLines w:val="0"/>
              <w:suppressLineNumbers w:val="0"/>
              <w:kinsoku/>
              <w:wordWrap/>
              <w:overflowPunct/>
              <w:topLinePunct w:val="0"/>
              <w:bidi w:val="0"/>
              <w:spacing w:before="0" w:beforeAutospacing="0" w:after="0" w:afterAutospacing="0" w:line="360" w:lineRule="auto"/>
              <w:ind w:left="0" w:right="0"/>
              <w:textAlignment w:val="auto"/>
              <w:outlineLvl w:val="9"/>
              <w:rPr>
                <w:rFonts w:hint="default" w:ascii="宋体" w:hAnsi="宋体" w:eastAsia="宋体" w:cs="宋体"/>
                <w:color w:val="auto"/>
                <w:szCs w:val="21"/>
                <w:highlight w:val="none"/>
              </w:rPr>
            </w:pPr>
          </w:p>
        </w:tc>
      </w:tr>
      <w:tr w14:paraId="333B5FFB">
        <w:tblPrEx>
          <w:tblCellMar>
            <w:top w:w="0" w:type="dxa"/>
            <w:left w:w="108" w:type="dxa"/>
            <w:bottom w:w="0" w:type="dxa"/>
            <w:right w:w="108" w:type="dxa"/>
          </w:tblCellMar>
        </w:tblPrEx>
        <w:trPr>
          <w:jc w:val="center"/>
        </w:trPr>
        <w:tc>
          <w:tcPr>
            <w:tcW w:w="5102" w:type="dxa"/>
            <w:tcMar>
              <w:top w:w="0" w:type="dxa"/>
              <w:left w:w="57" w:type="dxa"/>
              <w:bottom w:w="0" w:type="dxa"/>
              <w:right w:w="57" w:type="dxa"/>
            </w:tcMar>
          </w:tcPr>
          <w:p w14:paraId="21CB6EE3">
            <w:pPr>
              <w:keepNext w:val="0"/>
              <w:keepLines w:val="0"/>
              <w:suppressLineNumbers w:val="0"/>
              <w:kinsoku/>
              <w:wordWrap/>
              <w:overflowPunct/>
              <w:topLinePunct w:val="0"/>
              <w:bidi w:val="0"/>
              <w:spacing w:before="0" w:beforeAutospacing="0" w:after="0" w:afterAutospacing="0" w:line="360" w:lineRule="auto"/>
              <w:ind w:left="0" w:right="0"/>
              <w:textAlignment w:val="auto"/>
              <w:outlineLvl w:val="9"/>
              <w:rPr>
                <w:rFonts w:hint="default" w:ascii="宋体" w:hAnsi="宋体" w:eastAsia="宋体" w:cs="宋体"/>
                <w:color w:val="auto"/>
                <w:szCs w:val="21"/>
                <w:highlight w:val="none"/>
              </w:rPr>
            </w:pPr>
            <w:r>
              <w:rPr>
                <w:rFonts w:hint="eastAsia" w:ascii="宋体" w:hAnsi="宋体" w:eastAsia="宋体" w:cs="宋体"/>
                <w:color w:val="auto"/>
                <w:szCs w:val="21"/>
                <w:highlight w:val="none"/>
              </w:rPr>
              <w:t>签约地点：广东省东莞市</w:t>
            </w:r>
          </w:p>
        </w:tc>
        <w:tc>
          <w:tcPr>
            <w:tcW w:w="4465" w:type="dxa"/>
            <w:tcMar>
              <w:top w:w="0" w:type="dxa"/>
              <w:left w:w="57" w:type="dxa"/>
              <w:bottom w:w="0" w:type="dxa"/>
              <w:right w:w="57" w:type="dxa"/>
            </w:tcMar>
          </w:tcPr>
          <w:p w14:paraId="0FD44B3A">
            <w:pPr>
              <w:keepNext w:val="0"/>
              <w:keepLines w:val="0"/>
              <w:suppressLineNumbers w:val="0"/>
              <w:kinsoku/>
              <w:wordWrap/>
              <w:overflowPunct/>
              <w:topLinePunct w:val="0"/>
              <w:bidi w:val="0"/>
              <w:spacing w:before="0" w:beforeAutospacing="0" w:after="0" w:afterAutospacing="0" w:line="360" w:lineRule="auto"/>
              <w:ind w:left="0" w:right="0"/>
              <w:textAlignment w:val="auto"/>
              <w:outlineLvl w:val="9"/>
              <w:rPr>
                <w:rFonts w:hint="default" w:ascii="宋体" w:hAnsi="宋体" w:eastAsia="宋体" w:cs="宋体"/>
                <w:color w:val="auto"/>
                <w:szCs w:val="21"/>
                <w:highlight w:val="none"/>
              </w:rPr>
            </w:pPr>
          </w:p>
        </w:tc>
      </w:tr>
    </w:tbl>
    <w:p w14:paraId="2AF90132">
      <w:pPr>
        <w:keepNext w:val="0"/>
        <w:keepLines w:val="0"/>
        <w:kinsoku/>
        <w:wordWrap/>
        <w:overflowPunct/>
        <w:topLinePunct w:val="0"/>
        <w:bidi w:val="0"/>
        <w:jc w:val="left"/>
        <w:textAlignment w:val="auto"/>
        <w:outlineLvl w:val="9"/>
        <w:rPr>
          <w:rFonts w:ascii="宋体" w:hAnsi="宋体" w:eastAsia="宋体" w:cs="宋体"/>
          <w:b/>
          <w:bCs/>
          <w:color w:val="auto"/>
          <w:kern w:val="0"/>
          <w:szCs w:val="21"/>
          <w:highlight w:val="none"/>
          <w:lang w:bidi="ar"/>
        </w:rPr>
      </w:pPr>
      <w:r>
        <w:rPr>
          <w:rFonts w:hint="eastAsia" w:ascii="宋体" w:hAnsi="宋体" w:eastAsia="宋体" w:cs="宋体"/>
          <w:b/>
          <w:bCs/>
          <w:color w:val="auto"/>
          <w:kern w:val="0"/>
          <w:szCs w:val="21"/>
          <w:highlight w:val="none"/>
          <w:lang w:bidi="ar"/>
        </w:rPr>
        <w:br w:type="page"/>
      </w:r>
    </w:p>
    <w:bookmarkEnd w:id="717"/>
    <w:bookmarkEnd w:id="718"/>
    <w:bookmarkEnd w:id="719"/>
    <w:bookmarkEnd w:id="720"/>
    <w:bookmarkEnd w:id="721"/>
    <w:bookmarkEnd w:id="722"/>
    <w:bookmarkEnd w:id="723"/>
    <w:bookmarkEnd w:id="724"/>
    <w:p w14:paraId="28797477">
      <w:pPr>
        <w:keepNext w:val="0"/>
        <w:keepLines w:val="0"/>
        <w:kinsoku/>
        <w:wordWrap/>
        <w:overflowPunct/>
        <w:topLinePunct w:val="0"/>
        <w:autoSpaceDE w:val="0"/>
        <w:autoSpaceDN w:val="0"/>
        <w:bidi w:val="0"/>
        <w:spacing w:line="360" w:lineRule="auto"/>
        <w:jc w:val="left"/>
        <w:textAlignment w:val="auto"/>
        <w:outlineLvl w:val="9"/>
        <w:rPr>
          <w:rFonts w:ascii="宋体" w:hAnsi="宋体" w:eastAsia="宋体" w:cs="Times New Roman"/>
          <w:b/>
          <w:bCs/>
          <w:color w:val="auto"/>
          <w:kern w:val="0"/>
          <w:szCs w:val="21"/>
          <w:highlight w:val="none"/>
        </w:rPr>
      </w:pPr>
      <w:r>
        <w:rPr>
          <w:rFonts w:hint="eastAsia" w:ascii="宋体" w:hAnsi="宋体" w:eastAsia="宋体" w:cs="宋体"/>
          <w:b/>
          <w:bCs/>
          <w:color w:val="auto"/>
          <w:kern w:val="0"/>
          <w:szCs w:val="21"/>
          <w:highlight w:val="none"/>
          <w:lang w:bidi="ar"/>
        </w:rPr>
        <w:t>附件</w:t>
      </w:r>
      <w:r>
        <w:rPr>
          <w:rFonts w:hint="eastAsia" w:ascii="宋体" w:hAnsi="宋体" w:eastAsia="宋体" w:cs="宋体"/>
          <w:b/>
          <w:bCs/>
          <w:color w:val="auto"/>
          <w:kern w:val="0"/>
          <w:szCs w:val="21"/>
          <w:highlight w:val="none"/>
          <w:lang w:val="en-US" w:eastAsia="zh-CN" w:bidi="ar"/>
        </w:rPr>
        <w:t>1</w:t>
      </w:r>
      <w:r>
        <w:rPr>
          <w:rFonts w:hint="eastAsia" w:ascii="宋体" w:hAnsi="宋体" w:eastAsia="宋体" w:cs="宋体"/>
          <w:b/>
          <w:bCs/>
          <w:color w:val="auto"/>
          <w:kern w:val="0"/>
          <w:szCs w:val="21"/>
          <w:highlight w:val="none"/>
          <w:lang w:bidi="ar"/>
        </w:rPr>
        <w:t>：廉洁协议书</w:t>
      </w:r>
    </w:p>
    <w:p w14:paraId="37370AA8">
      <w:pPr>
        <w:keepNext w:val="0"/>
        <w:keepLines w:val="0"/>
        <w:kinsoku/>
        <w:wordWrap/>
        <w:overflowPunct/>
        <w:topLinePunct w:val="0"/>
        <w:bidi w:val="0"/>
        <w:spacing w:line="600" w:lineRule="exact"/>
        <w:ind w:right="31" w:rightChars="15"/>
        <w:jc w:val="center"/>
        <w:textAlignment w:val="auto"/>
        <w:outlineLvl w:val="9"/>
        <w:rPr>
          <w:rFonts w:ascii="宋体" w:hAnsi="宋体" w:eastAsia="宋体" w:cs="方正小标宋简体"/>
          <w:b/>
          <w:color w:val="auto"/>
          <w:sz w:val="32"/>
          <w:szCs w:val="32"/>
          <w:highlight w:val="none"/>
        </w:rPr>
      </w:pPr>
      <w:r>
        <w:rPr>
          <w:rFonts w:hint="eastAsia" w:ascii="宋体" w:hAnsi="宋体" w:eastAsia="宋体" w:cs="宋体"/>
          <w:b/>
          <w:color w:val="auto"/>
          <w:sz w:val="32"/>
          <w:szCs w:val="32"/>
          <w:highlight w:val="none"/>
          <w:lang w:bidi="ar"/>
        </w:rPr>
        <w:t>廉洁协议书</w:t>
      </w:r>
    </w:p>
    <w:p w14:paraId="5AD20330">
      <w:pPr>
        <w:keepNext w:val="0"/>
        <w:keepLines w:val="0"/>
        <w:kinsoku/>
        <w:wordWrap/>
        <w:overflowPunct/>
        <w:topLinePunct w:val="0"/>
        <w:bidi w:val="0"/>
        <w:spacing w:line="600" w:lineRule="exact"/>
        <w:ind w:right="31" w:rightChars="15"/>
        <w:jc w:val="center"/>
        <w:textAlignment w:val="auto"/>
        <w:outlineLvl w:val="9"/>
        <w:rPr>
          <w:rFonts w:ascii="宋体" w:hAnsi="宋体" w:eastAsia="宋体" w:cs="宋体"/>
          <w:b/>
          <w:color w:val="auto"/>
          <w:szCs w:val="21"/>
          <w:highlight w:val="none"/>
        </w:rPr>
      </w:pPr>
      <w:r>
        <w:rPr>
          <w:rFonts w:hint="eastAsia" w:ascii="宋体" w:hAnsi="宋体" w:eastAsia="宋体" w:cs="宋体"/>
          <w:b/>
          <w:color w:val="auto"/>
          <w:szCs w:val="21"/>
          <w:highlight w:val="none"/>
          <w:lang w:bidi="ar"/>
        </w:rPr>
        <w:t xml:space="preserve"> </w:t>
      </w:r>
    </w:p>
    <w:p w14:paraId="31F63B4C">
      <w:pPr>
        <w:keepNext w:val="0"/>
        <w:keepLines w:val="0"/>
        <w:kinsoku/>
        <w:wordWrap/>
        <w:overflowPunct/>
        <w:topLinePunct w:val="0"/>
        <w:bidi w:val="0"/>
        <w:spacing w:line="560" w:lineRule="exact"/>
        <w:textAlignment w:val="auto"/>
        <w:outlineLvl w:val="9"/>
        <w:rPr>
          <w:rFonts w:ascii="宋体" w:hAnsi="宋体" w:eastAsia="宋体" w:cs="宋体"/>
          <w:color w:val="auto"/>
          <w:szCs w:val="21"/>
          <w:highlight w:val="none"/>
        </w:rPr>
      </w:pPr>
      <w:r>
        <w:rPr>
          <w:rFonts w:hint="eastAsia" w:ascii="宋体" w:hAnsi="宋体" w:eastAsia="宋体" w:cs="宋体"/>
          <w:b/>
          <w:bCs/>
          <w:color w:val="auto"/>
          <w:szCs w:val="21"/>
          <w:highlight w:val="none"/>
          <w:lang w:bidi="ar"/>
        </w:rPr>
        <w:t>项目名称：</w:t>
      </w:r>
      <w:r>
        <w:rPr>
          <w:rFonts w:hint="eastAsia" w:ascii="宋体" w:hAnsi="宋体" w:eastAsia="宋体" w:cs="宋体"/>
          <w:color w:val="auto"/>
          <w:szCs w:val="21"/>
          <w:highlight w:val="none"/>
          <w:lang w:bidi="ar"/>
        </w:rPr>
        <w:t xml:space="preserve">                 （招标编号：</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w:t>
      </w:r>
    </w:p>
    <w:p w14:paraId="12EC947A">
      <w:pPr>
        <w:keepNext w:val="0"/>
        <w:keepLines w:val="0"/>
        <w:kinsoku/>
        <w:wordWrap/>
        <w:overflowPunct/>
        <w:topLinePunct w:val="0"/>
        <w:bidi w:val="0"/>
        <w:spacing w:line="560" w:lineRule="exact"/>
        <w:textAlignment w:val="auto"/>
        <w:outlineLvl w:val="9"/>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甲方（业主单位）：</w:t>
      </w:r>
    </w:p>
    <w:p w14:paraId="13B53E4E">
      <w:pPr>
        <w:keepNext w:val="0"/>
        <w:keepLines w:val="0"/>
        <w:kinsoku/>
        <w:wordWrap/>
        <w:overflowPunct/>
        <w:topLinePunct w:val="0"/>
        <w:bidi w:val="0"/>
        <w:spacing w:line="560" w:lineRule="exact"/>
        <w:textAlignment w:val="auto"/>
        <w:outlineLvl w:val="9"/>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乙方：</w:t>
      </w:r>
    </w:p>
    <w:p w14:paraId="1BA0A99A">
      <w:pPr>
        <w:keepNext w:val="0"/>
        <w:keepLines w:val="0"/>
        <w:kinsoku/>
        <w:wordWrap/>
        <w:overflowPunct/>
        <w:topLinePunct w:val="0"/>
        <w:bidi w:val="0"/>
        <w:spacing w:line="560" w:lineRule="exact"/>
        <w:ind w:firstLine="420" w:firstLineChars="200"/>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lang w:bidi="ar"/>
        </w:rPr>
        <w:t>为规范甲乙双方在订立、履行合同及经济业务往来过程中的行为，保持廉洁自律的工作作风,防止各种违法及不正当行为的发生,确保甲乙双方及其工作人员自觉遵守国家法律、法规及廉洁从业各项规定，特订立本协议。</w:t>
      </w:r>
    </w:p>
    <w:p w14:paraId="02D4512B">
      <w:pPr>
        <w:keepNext w:val="0"/>
        <w:keepLines w:val="0"/>
        <w:kinsoku/>
        <w:wordWrap/>
        <w:overflowPunct/>
        <w:topLinePunct w:val="0"/>
        <w:bidi w:val="0"/>
        <w:spacing w:line="560" w:lineRule="exact"/>
        <w:ind w:firstLine="422" w:firstLineChars="200"/>
        <w:textAlignment w:val="auto"/>
        <w:outlineLvl w:val="9"/>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第一条  甲乙双方的权利和义务</w:t>
      </w:r>
    </w:p>
    <w:p w14:paraId="6591E060">
      <w:pPr>
        <w:keepNext w:val="0"/>
        <w:keepLines w:val="0"/>
        <w:kinsoku/>
        <w:wordWrap/>
        <w:overflowPunct/>
        <w:topLinePunct w:val="0"/>
        <w:bidi w:val="0"/>
        <w:spacing w:line="560" w:lineRule="exact"/>
        <w:ind w:firstLine="420" w:firstLineChars="200"/>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lang w:bidi="ar"/>
        </w:rPr>
        <w:t>（一）严格遵守党和国家有关法律法规等有关廉洁从业规定。</w:t>
      </w:r>
    </w:p>
    <w:p w14:paraId="295BFD5E">
      <w:pPr>
        <w:keepNext w:val="0"/>
        <w:keepLines w:val="0"/>
        <w:kinsoku/>
        <w:wordWrap/>
        <w:overflowPunct/>
        <w:topLinePunct w:val="0"/>
        <w:bidi w:val="0"/>
        <w:spacing w:line="560" w:lineRule="exact"/>
        <w:ind w:firstLine="420" w:firstLineChars="200"/>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lang w:bidi="ar"/>
        </w:rPr>
        <w:t>（二）严格执行本项目的合同文件，自觉按合同办事。</w:t>
      </w:r>
    </w:p>
    <w:p w14:paraId="07958265">
      <w:pPr>
        <w:keepNext w:val="0"/>
        <w:keepLines w:val="0"/>
        <w:kinsoku/>
        <w:wordWrap/>
        <w:overflowPunct/>
        <w:topLinePunct w:val="0"/>
        <w:bidi w:val="0"/>
        <w:spacing w:line="560" w:lineRule="exact"/>
        <w:ind w:firstLine="420" w:firstLineChars="200"/>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lang w:bidi="ar"/>
        </w:rPr>
        <w:t>（三）双方的业务活动坚持公开、公正、诚信、透明的原则（除法律认定的商业秘密和合同文件另有规定之外）不得损害国家和集体利益，违反工程建设管理及其他法律法规规章制度。</w:t>
      </w:r>
    </w:p>
    <w:p w14:paraId="30DBEBAB">
      <w:pPr>
        <w:keepNext w:val="0"/>
        <w:keepLines w:val="0"/>
        <w:kinsoku/>
        <w:wordWrap/>
        <w:overflowPunct/>
        <w:topLinePunct w:val="0"/>
        <w:bidi w:val="0"/>
        <w:spacing w:line="560" w:lineRule="exact"/>
        <w:ind w:firstLine="420" w:firstLineChars="200"/>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lang w:bidi="ar"/>
        </w:rPr>
        <w:t>（四）建立健全廉洁制度，开展廉洁教育，设立廉洁监督公示牌，公布举报电话，监督并认真查处违法违纪行为。</w:t>
      </w:r>
    </w:p>
    <w:p w14:paraId="3398A0EB">
      <w:pPr>
        <w:keepNext w:val="0"/>
        <w:keepLines w:val="0"/>
        <w:kinsoku/>
        <w:wordWrap/>
        <w:overflowPunct/>
        <w:topLinePunct w:val="0"/>
        <w:bidi w:val="0"/>
        <w:spacing w:line="560" w:lineRule="exact"/>
        <w:ind w:firstLine="420" w:firstLineChars="200"/>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lang w:bidi="ar"/>
        </w:rPr>
        <w:t>（五）发现对方在业务活动中有违反廉洁规定的行为，有及时提醒对方纠正的权利和义务。</w:t>
      </w:r>
    </w:p>
    <w:p w14:paraId="257ECA66">
      <w:pPr>
        <w:keepNext w:val="0"/>
        <w:keepLines w:val="0"/>
        <w:kinsoku/>
        <w:wordWrap/>
        <w:overflowPunct/>
        <w:topLinePunct w:val="0"/>
        <w:bidi w:val="0"/>
        <w:spacing w:line="560" w:lineRule="exact"/>
        <w:ind w:firstLine="420" w:firstLineChars="200"/>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lang w:bidi="ar"/>
        </w:rPr>
        <w:t>（六）发现对方严重违反本协议义务条款的行为，有向其上级有关部门举报、建议给予处理并要求告知处理结果的权利。</w:t>
      </w:r>
    </w:p>
    <w:p w14:paraId="78D4734D">
      <w:pPr>
        <w:keepNext w:val="0"/>
        <w:keepLines w:val="0"/>
        <w:kinsoku/>
        <w:wordWrap/>
        <w:overflowPunct/>
        <w:topLinePunct w:val="0"/>
        <w:bidi w:val="0"/>
        <w:spacing w:line="560" w:lineRule="exact"/>
        <w:ind w:firstLine="422" w:firstLineChars="200"/>
        <w:textAlignment w:val="auto"/>
        <w:outlineLvl w:val="9"/>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第二条  甲方的义务</w:t>
      </w:r>
    </w:p>
    <w:p w14:paraId="1A0FAD86">
      <w:pPr>
        <w:keepNext w:val="0"/>
        <w:keepLines w:val="0"/>
        <w:kinsoku/>
        <w:wordWrap/>
        <w:overflowPunct/>
        <w:topLinePunct w:val="0"/>
        <w:bidi w:val="0"/>
        <w:spacing w:line="560" w:lineRule="exact"/>
        <w:ind w:firstLine="420" w:firstLineChars="200"/>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lang w:bidi="ar"/>
        </w:rPr>
        <w:t>（一）甲方及其工作人员不得索要或接受乙方的礼金、有价证券和贵重物品，不得在乙方报销任何应由甲方或个人支付的费用。</w:t>
      </w:r>
    </w:p>
    <w:p w14:paraId="57124BE1">
      <w:pPr>
        <w:keepNext w:val="0"/>
        <w:keepLines w:val="0"/>
        <w:kinsoku/>
        <w:wordWrap/>
        <w:overflowPunct/>
        <w:topLinePunct w:val="0"/>
        <w:bidi w:val="0"/>
        <w:spacing w:line="560" w:lineRule="exact"/>
        <w:ind w:firstLine="420" w:firstLineChars="200"/>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lang w:bidi="ar"/>
        </w:rPr>
        <w:t>（二）甲方工作人员不得参加乙方安排的高消费宴请和娱乐活动；不得接受乙方提供的通讯工具、交通工具和高档办公用品。</w:t>
      </w:r>
    </w:p>
    <w:p w14:paraId="57525567">
      <w:pPr>
        <w:keepNext w:val="0"/>
        <w:keepLines w:val="0"/>
        <w:kinsoku/>
        <w:wordWrap/>
        <w:overflowPunct/>
        <w:topLinePunct w:val="0"/>
        <w:bidi w:val="0"/>
        <w:spacing w:line="560" w:lineRule="exact"/>
        <w:ind w:firstLine="420" w:firstLineChars="200"/>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lang w:bidi="ar"/>
        </w:rPr>
        <w:t>（三）甲方及其工作人员不得要求或者接受乙方为其住房装修、婚丧嫁娶活动、家属或亲友的工作安排以及出国出境、旅游等提供方便。</w:t>
      </w:r>
    </w:p>
    <w:p w14:paraId="5EA1D6F5">
      <w:pPr>
        <w:keepNext w:val="0"/>
        <w:keepLines w:val="0"/>
        <w:kinsoku/>
        <w:wordWrap/>
        <w:overflowPunct/>
        <w:topLinePunct w:val="0"/>
        <w:bidi w:val="0"/>
        <w:spacing w:line="560" w:lineRule="exact"/>
        <w:ind w:firstLine="420" w:firstLineChars="200"/>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lang w:bidi="ar"/>
        </w:rPr>
        <w:t>（四）甲方工作人员不得向乙方介绍其家属或者亲友（包括家属或亲友开办的公司企业）从事于本项目涉及的经济业务活动。</w:t>
      </w:r>
    </w:p>
    <w:p w14:paraId="3AF29951">
      <w:pPr>
        <w:keepNext w:val="0"/>
        <w:keepLines w:val="0"/>
        <w:kinsoku/>
        <w:wordWrap/>
        <w:overflowPunct/>
        <w:topLinePunct w:val="0"/>
        <w:bidi w:val="0"/>
        <w:spacing w:line="560" w:lineRule="exact"/>
        <w:ind w:firstLine="420" w:firstLineChars="200"/>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lang w:bidi="ar"/>
        </w:rPr>
        <w:t>（五）甲方及其工作人员不得以任何理由向乙方推荐分包单位，不得要求乙方购买合同规定外的材料和设备。</w:t>
      </w:r>
    </w:p>
    <w:p w14:paraId="051ECE32">
      <w:pPr>
        <w:keepNext w:val="0"/>
        <w:keepLines w:val="0"/>
        <w:kinsoku/>
        <w:wordWrap/>
        <w:overflowPunct/>
        <w:topLinePunct w:val="0"/>
        <w:bidi w:val="0"/>
        <w:spacing w:line="560" w:lineRule="exact"/>
        <w:ind w:firstLine="420" w:firstLineChars="200"/>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lang w:bidi="ar"/>
        </w:rPr>
        <w:t>（六）甲方及其工作人员不得进行违反廉洁规定的其他活动。</w:t>
      </w:r>
    </w:p>
    <w:p w14:paraId="4C20458C">
      <w:pPr>
        <w:keepNext w:val="0"/>
        <w:keepLines w:val="0"/>
        <w:kinsoku/>
        <w:wordWrap/>
        <w:overflowPunct/>
        <w:topLinePunct w:val="0"/>
        <w:bidi w:val="0"/>
        <w:spacing w:line="560" w:lineRule="exact"/>
        <w:ind w:firstLine="420" w:firstLineChars="200"/>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lang w:bidi="ar"/>
        </w:rPr>
        <w:t>（七）甲方应对甲方工作人员进行廉洁监督管理，如甲方工作人员违反本协议第一、第二条，甲方应依据有关法律法规、党纪规定对其进行处理；涉嫌犯罪的，甲方应将其移交司法机关追究刑事责任。</w:t>
      </w:r>
    </w:p>
    <w:p w14:paraId="1B190405">
      <w:pPr>
        <w:keepNext w:val="0"/>
        <w:keepLines w:val="0"/>
        <w:kinsoku/>
        <w:wordWrap/>
        <w:overflowPunct/>
        <w:topLinePunct w:val="0"/>
        <w:bidi w:val="0"/>
        <w:spacing w:line="560" w:lineRule="exact"/>
        <w:ind w:firstLine="422" w:firstLineChars="200"/>
        <w:textAlignment w:val="auto"/>
        <w:outlineLvl w:val="9"/>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第三条  乙方义务</w:t>
      </w:r>
    </w:p>
    <w:p w14:paraId="3F5C4CCD">
      <w:pPr>
        <w:keepNext w:val="0"/>
        <w:keepLines w:val="0"/>
        <w:kinsoku/>
        <w:wordWrap/>
        <w:overflowPunct/>
        <w:topLinePunct w:val="0"/>
        <w:bidi w:val="0"/>
        <w:spacing w:line="560" w:lineRule="exact"/>
        <w:ind w:firstLine="420" w:firstLineChars="200"/>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lang w:bidi="ar"/>
        </w:rPr>
        <w:t>（一）乙方不得以任何理由向甲方及其工作人员馈赠礼金、有价证券、贵重礼品，或报销应由甲方单位或个人支付的任何费用。</w:t>
      </w:r>
    </w:p>
    <w:p w14:paraId="781D1F18">
      <w:pPr>
        <w:keepNext w:val="0"/>
        <w:keepLines w:val="0"/>
        <w:kinsoku/>
        <w:wordWrap/>
        <w:overflowPunct/>
        <w:topLinePunct w:val="0"/>
        <w:bidi w:val="0"/>
        <w:spacing w:line="560" w:lineRule="exact"/>
        <w:ind w:firstLine="420" w:firstLineChars="200"/>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lang w:bidi="ar"/>
        </w:rPr>
        <w:t>（二）乙方及其工作人员不得以考察、参观、洽谈业务、签订合同等的借口邀请甲方及其工作人员参加高消费的宴请、娱乐和健身等活动。</w:t>
      </w:r>
    </w:p>
    <w:p w14:paraId="2841CF57">
      <w:pPr>
        <w:keepNext w:val="0"/>
        <w:keepLines w:val="0"/>
        <w:kinsoku/>
        <w:wordWrap/>
        <w:overflowPunct/>
        <w:topLinePunct w:val="0"/>
        <w:bidi w:val="0"/>
        <w:spacing w:line="560" w:lineRule="exact"/>
        <w:ind w:firstLine="420" w:firstLineChars="200"/>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lang w:bidi="ar"/>
        </w:rPr>
        <w:t>（三）乙方不得为甲方单位和个人购置或提供通讯工具、交通工具和高档办公用品等。</w:t>
      </w:r>
    </w:p>
    <w:p w14:paraId="13DFF727">
      <w:pPr>
        <w:keepNext w:val="0"/>
        <w:keepLines w:val="0"/>
        <w:kinsoku/>
        <w:wordWrap/>
        <w:overflowPunct/>
        <w:topLinePunct w:val="0"/>
        <w:bidi w:val="0"/>
        <w:spacing w:line="560" w:lineRule="exact"/>
        <w:ind w:firstLine="420" w:firstLineChars="200"/>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lang w:bidi="ar"/>
        </w:rPr>
        <w:t>（四）乙方及其工作人员不得为甲方工作人员购买、装修、维修私人住房、汽车等。</w:t>
      </w:r>
    </w:p>
    <w:p w14:paraId="1C66FCE5">
      <w:pPr>
        <w:keepNext w:val="0"/>
        <w:keepLines w:val="0"/>
        <w:kinsoku/>
        <w:wordWrap/>
        <w:overflowPunct/>
        <w:topLinePunct w:val="0"/>
        <w:bidi w:val="0"/>
        <w:spacing w:line="560" w:lineRule="exact"/>
        <w:ind w:firstLine="420" w:firstLineChars="200"/>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lang w:bidi="ar"/>
        </w:rPr>
        <w:t>（五）乙方及其工作人员不得为甲方工作人员的婚丧嫁娶、家属或亲友的工作安排，及出国出境提供方便以及报销任何私人消费的费用。</w:t>
      </w:r>
    </w:p>
    <w:p w14:paraId="0097C0D9">
      <w:pPr>
        <w:keepNext w:val="0"/>
        <w:keepLines w:val="0"/>
        <w:kinsoku/>
        <w:wordWrap/>
        <w:overflowPunct/>
        <w:topLinePunct w:val="0"/>
        <w:bidi w:val="0"/>
        <w:spacing w:line="560" w:lineRule="exact"/>
        <w:ind w:firstLine="420" w:firstLineChars="200"/>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lang w:bidi="ar"/>
        </w:rPr>
        <w:t>（六）乙方及其工作人员不得进行影响甲方及其工作人员公正执行合同和履行职务的其他活动。</w:t>
      </w:r>
    </w:p>
    <w:p w14:paraId="4FDF1A8F">
      <w:pPr>
        <w:keepNext w:val="0"/>
        <w:keepLines w:val="0"/>
        <w:kinsoku/>
        <w:wordWrap/>
        <w:overflowPunct/>
        <w:topLinePunct w:val="0"/>
        <w:bidi w:val="0"/>
        <w:spacing w:line="560" w:lineRule="exact"/>
        <w:ind w:firstLine="420" w:firstLineChars="200"/>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lang w:bidi="ar"/>
        </w:rPr>
        <w:t>（七）乙方应对乙方工作人员进行廉洁监督管理，如乙方工作人员违反本协议第一、第三条，乙方应依据有关法律法规、党纪规定对其进行处理；乙方工作人员涉嫌犯罪的，乙方应将其移交司法机关追究刑事责任。</w:t>
      </w:r>
    </w:p>
    <w:p w14:paraId="67322B3C">
      <w:pPr>
        <w:keepNext w:val="0"/>
        <w:keepLines w:val="0"/>
        <w:kinsoku/>
        <w:wordWrap/>
        <w:overflowPunct/>
        <w:topLinePunct w:val="0"/>
        <w:bidi w:val="0"/>
        <w:spacing w:line="560" w:lineRule="exact"/>
        <w:ind w:firstLine="422" w:firstLineChars="200"/>
        <w:textAlignment w:val="auto"/>
        <w:outlineLvl w:val="9"/>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第四条  违约责任</w:t>
      </w:r>
    </w:p>
    <w:p w14:paraId="7B3FC524">
      <w:pPr>
        <w:keepNext w:val="0"/>
        <w:keepLines w:val="0"/>
        <w:kinsoku/>
        <w:wordWrap/>
        <w:overflowPunct/>
        <w:topLinePunct w:val="0"/>
        <w:bidi w:val="0"/>
        <w:spacing w:line="560" w:lineRule="exact"/>
        <w:ind w:firstLine="420" w:firstLineChars="200"/>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lang w:bidi="ar"/>
        </w:rPr>
        <w:t>（一）甲方违反本协议第一、第二条给乙方单位造成经济损失的，应予以赔偿。</w:t>
      </w:r>
    </w:p>
    <w:p w14:paraId="17A82434">
      <w:pPr>
        <w:keepNext w:val="0"/>
        <w:keepLines w:val="0"/>
        <w:kinsoku/>
        <w:wordWrap/>
        <w:overflowPunct/>
        <w:topLinePunct w:val="0"/>
        <w:bidi w:val="0"/>
        <w:spacing w:line="560" w:lineRule="exact"/>
        <w:ind w:firstLine="420" w:firstLineChars="200"/>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lang w:bidi="ar"/>
        </w:rPr>
        <w:t>（二）乙方违反本协议第一、第三条给甲方单位造成经济损失的，应予以赔偿。</w:t>
      </w:r>
    </w:p>
    <w:p w14:paraId="21E08F9F">
      <w:pPr>
        <w:keepNext w:val="0"/>
        <w:keepLines w:val="0"/>
        <w:kinsoku/>
        <w:wordWrap/>
        <w:overflowPunct/>
        <w:topLinePunct w:val="0"/>
        <w:bidi w:val="0"/>
        <w:spacing w:line="560" w:lineRule="exact"/>
        <w:ind w:firstLine="422" w:firstLineChars="200"/>
        <w:textAlignment w:val="auto"/>
        <w:outlineLvl w:val="9"/>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第五条  监督检查</w:t>
      </w:r>
    </w:p>
    <w:p w14:paraId="5DE1BECD">
      <w:pPr>
        <w:keepNext w:val="0"/>
        <w:keepLines w:val="0"/>
        <w:kinsoku/>
        <w:wordWrap/>
        <w:overflowPunct/>
        <w:topLinePunct w:val="0"/>
        <w:bidi w:val="0"/>
        <w:spacing w:line="560" w:lineRule="exact"/>
        <w:ind w:firstLine="420" w:firstLineChars="200"/>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lang w:bidi="ar"/>
        </w:rPr>
        <w:t>甲乙双方的廉洁从业行为由甲乙双方或甲乙双方上级单位的纪检、监察部门负责监督，对本协议履行情况进行检查。</w:t>
      </w:r>
    </w:p>
    <w:p w14:paraId="3AE9059F">
      <w:pPr>
        <w:keepNext w:val="0"/>
        <w:keepLines w:val="0"/>
        <w:kinsoku/>
        <w:wordWrap/>
        <w:overflowPunct/>
        <w:topLinePunct w:val="0"/>
        <w:bidi w:val="0"/>
        <w:spacing w:line="560" w:lineRule="exact"/>
        <w:ind w:firstLine="422" w:firstLineChars="200"/>
        <w:textAlignment w:val="auto"/>
        <w:outlineLvl w:val="9"/>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第六条 举报信访受理</w:t>
      </w:r>
    </w:p>
    <w:p w14:paraId="3D5E5AF0">
      <w:pPr>
        <w:keepNext w:val="0"/>
        <w:keepLines w:val="0"/>
        <w:kinsoku/>
        <w:wordWrap/>
        <w:overflowPunct/>
        <w:topLinePunct w:val="0"/>
        <w:bidi w:val="0"/>
        <w:spacing w:line="560" w:lineRule="exact"/>
        <w:ind w:firstLine="420" w:firstLineChars="200"/>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lang w:bidi="ar"/>
        </w:rPr>
        <w:t>（一）举报受理部门：东莞市水务集团有限公司纪检监察部。</w:t>
      </w:r>
    </w:p>
    <w:p w14:paraId="2C79877F">
      <w:pPr>
        <w:keepNext w:val="0"/>
        <w:keepLines w:val="0"/>
        <w:kinsoku/>
        <w:wordWrap/>
        <w:overflowPunct/>
        <w:topLinePunct w:val="0"/>
        <w:bidi w:val="0"/>
        <w:spacing w:line="560" w:lineRule="exact"/>
        <w:ind w:firstLine="420" w:firstLineChars="200"/>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lang w:bidi="ar"/>
        </w:rPr>
        <w:t>（二）举报电话：（0769）23076092。</w:t>
      </w:r>
    </w:p>
    <w:p w14:paraId="0EE36AE6">
      <w:pPr>
        <w:keepNext w:val="0"/>
        <w:keepLines w:val="0"/>
        <w:kinsoku/>
        <w:wordWrap/>
        <w:overflowPunct/>
        <w:topLinePunct w:val="0"/>
        <w:bidi w:val="0"/>
        <w:spacing w:line="560" w:lineRule="exact"/>
        <w:ind w:firstLine="420" w:firstLineChars="200"/>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lang w:bidi="ar"/>
        </w:rPr>
        <w:t>（三）举报邮箱：</w:t>
      </w:r>
      <w:r>
        <w:rPr>
          <w:rFonts w:ascii="等线" w:hAnsi="等线" w:eastAsia="等线" w:cs="Times New Roman"/>
          <w:color w:val="auto"/>
          <w:highlight w:val="none"/>
        </w:rPr>
        <w:fldChar w:fldCharType="begin"/>
      </w:r>
      <w:r>
        <w:rPr>
          <w:rFonts w:ascii="等线" w:hAnsi="等线" w:eastAsia="等线" w:cs="Times New Roman"/>
          <w:color w:val="auto"/>
          <w:highlight w:val="none"/>
        </w:rPr>
        <w:instrText xml:space="preserve"> HYPERLINK "mailto:jcsj@dgswjt.cn。" </w:instrText>
      </w:r>
      <w:r>
        <w:rPr>
          <w:rFonts w:ascii="等线" w:hAnsi="等线" w:eastAsia="等线" w:cs="Times New Roman"/>
          <w:color w:val="auto"/>
          <w:highlight w:val="none"/>
        </w:rPr>
        <w:fldChar w:fldCharType="separate"/>
      </w:r>
      <w:r>
        <w:rPr>
          <w:rFonts w:hint="eastAsia" w:ascii="宋体" w:hAnsi="宋体" w:eastAsia="宋体" w:cs="宋体"/>
          <w:color w:val="auto"/>
          <w:sz w:val="21"/>
          <w:szCs w:val="21"/>
          <w:highlight w:val="none"/>
          <w:u w:val="none"/>
        </w:rPr>
        <w:t>jcsj@dgswjt.cn。</w:t>
      </w:r>
      <w:r>
        <w:rPr>
          <w:rFonts w:hint="eastAsia" w:ascii="宋体" w:hAnsi="宋体" w:eastAsia="宋体" w:cs="宋体"/>
          <w:color w:val="auto"/>
          <w:sz w:val="21"/>
          <w:szCs w:val="21"/>
          <w:highlight w:val="none"/>
          <w:u w:val="none"/>
        </w:rPr>
        <w:fldChar w:fldCharType="end"/>
      </w:r>
    </w:p>
    <w:p w14:paraId="1586B87A">
      <w:pPr>
        <w:keepNext w:val="0"/>
        <w:keepLines w:val="0"/>
        <w:kinsoku/>
        <w:wordWrap/>
        <w:overflowPunct/>
        <w:topLinePunct w:val="0"/>
        <w:bidi w:val="0"/>
        <w:spacing w:line="560" w:lineRule="exact"/>
        <w:ind w:firstLine="420" w:firstLineChars="200"/>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lang w:bidi="ar"/>
        </w:rPr>
        <w:t>（四）信访地址：广东省东莞市东城街道育华路1号。</w:t>
      </w:r>
    </w:p>
    <w:p w14:paraId="1D9EBAD2">
      <w:pPr>
        <w:keepNext w:val="0"/>
        <w:keepLines w:val="0"/>
        <w:kinsoku/>
        <w:wordWrap/>
        <w:overflowPunct/>
        <w:topLinePunct w:val="0"/>
        <w:bidi w:val="0"/>
        <w:spacing w:line="560" w:lineRule="exact"/>
        <w:ind w:firstLine="422" w:firstLineChars="200"/>
        <w:textAlignment w:val="auto"/>
        <w:outlineLvl w:val="9"/>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第七条 其他</w:t>
      </w:r>
    </w:p>
    <w:p w14:paraId="762631F9">
      <w:pPr>
        <w:keepNext w:val="0"/>
        <w:keepLines w:val="0"/>
        <w:kinsoku/>
        <w:wordWrap/>
        <w:overflowPunct/>
        <w:topLinePunct w:val="0"/>
        <w:bidi w:val="0"/>
        <w:spacing w:line="560" w:lineRule="exact"/>
        <w:ind w:firstLine="420" w:firstLineChars="200"/>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lang w:bidi="ar"/>
        </w:rPr>
        <w:t>本协议有效期为甲乙双方法定代表人或负责人签字并加盖章之日起至该工程/采购项目竣工验收完毕，质保期/服务期满后止。本协议一式</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份，甲、乙双方各执</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份，甲、乙双方上级主管部门各执</w:t>
      </w:r>
      <w:r>
        <w:rPr>
          <w:rFonts w:hint="eastAsia" w:ascii="宋体" w:hAnsi="宋体" w:eastAsia="宋体" w:cs="宋体"/>
          <w:color w:val="auto"/>
          <w:szCs w:val="21"/>
          <w:highlight w:val="none"/>
          <w:u w:val="single"/>
          <w:lang w:bidi="ar"/>
        </w:rPr>
        <w:t xml:space="preserve">   </w:t>
      </w:r>
      <w:r>
        <w:rPr>
          <w:rFonts w:hint="eastAsia" w:ascii="宋体" w:hAnsi="宋体" w:eastAsia="宋体" w:cs="宋体"/>
          <w:color w:val="auto"/>
          <w:szCs w:val="21"/>
          <w:highlight w:val="none"/>
          <w:lang w:bidi="ar"/>
        </w:rPr>
        <w:t>份。</w:t>
      </w:r>
    </w:p>
    <w:p w14:paraId="61B99B81">
      <w:pPr>
        <w:keepNext w:val="0"/>
        <w:keepLines w:val="0"/>
        <w:kinsoku/>
        <w:wordWrap/>
        <w:overflowPunct/>
        <w:topLinePunct w:val="0"/>
        <w:bidi w:val="0"/>
        <w:spacing w:line="560" w:lineRule="exact"/>
        <w:ind w:firstLine="420" w:firstLineChars="200"/>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w:t>
      </w:r>
    </w:p>
    <w:p w14:paraId="7FE63FDD">
      <w:pPr>
        <w:keepNext w:val="0"/>
        <w:keepLines w:val="0"/>
        <w:kinsoku/>
        <w:wordWrap/>
        <w:overflowPunct/>
        <w:topLinePunct w:val="0"/>
        <w:bidi w:val="0"/>
        <w:spacing w:line="560" w:lineRule="exact"/>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w:t>
      </w:r>
    </w:p>
    <w:p w14:paraId="602AE14C">
      <w:pPr>
        <w:keepNext w:val="0"/>
        <w:keepLines w:val="0"/>
        <w:kinsoku/>
        <w:wordWrap/>
        <w:overflowPunct/>
        <w:topLinePunct w:val="0"/>
        <w:bidi w:val="0"/>
        <w:spacing w:line="560" w:lineRule="exact"/>
        <w:ind w:firstLine="420" w:firstLineChars="200"/>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甲方（盖章）：                乙方（盖章）： </w:t>
      </w:r>
    </w:p>
    <w:p w14:paraId="30D796F1">
      <w:pPr>
        <w:keepNext w:val="0"/>
        <w:keepLines w:val="0"/>
        <w:kinsoku/>
        <w:wordWrap/>
        <w:overflowPunct/>
        <w:topLinePunct w:val="0"/>
        <w:bidi w:val="0"/>
        <w:spacing w:line="560" w:lineRule="exact"/>
        <w:ind w:firstLine="420" w:firstLineChars="200"/>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w:t>
      </w:r>
    </w:p>
    <w:p w14:paraId="531FA6E7">
      <w:pPr>
        <w:keepNext w:val="0"/>
        <w:keepLines w:val="0"/>
        <w:kinsoku/>
        <w:wordWrap/>
        <w:overflowPunct/>
        <w:topLinePunct w:val="0"/>
        <w:bidi w:val="0"/>
        <w:spacing w:line="560" w:lineRule="exact"/>
        <w:ind w:firstLine="420" w:firstLineChars="200"/>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lang w:bidi="ar"/>
        </w:rPr>
        <w:t>法定代表（或负责）人：           法定代表（或负责）人：</w:t>
      </w:r>
    </w:p>
    <w:p w14:paraId="0A5C0F3A">
      <w:pPr>
        <w:keepNext w:val="0"/>
        <w:keepLines w:val="0"/>
        <w:kinsoku/>
        <w:wordWrap/>
        <w:overflowPunct/>
        <w:topLinePunct w:val="0"/>
        <w:bidi w:val="0"/>
        <w:spacing w:line="560" w:lineRule="exact"/>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lang w:bidi="ar"/>
        </w:rPr>
        <w:t xml:space="preserve"> </w:t>
      </w:r>
    </w:p>
    <w:p w14:paraId="2E416755">
      <w:pPr>
        <w:keepNext w:val="0"/>
        <w:keepLines w:val="0"/>
        <w:kinsoku/>
        <w:wordWrap/>
        <w:overflowPunct/>
        <w:topLinePunct w:val="0"/>
        <w:bidi w:val="0"/>
        <w:spacing w:line="560" w:lineRule="exact"/>
        <w:ind w:firstLine="420" w:firstLineChars="200"/>
        <w:textAlignment w:val="auto"/>
        <w:outlineLvl w:val="9"/>
        <w:rPr>
          <w:rFonts w:ascii="宋体" w:hAnsi="宋体" w:eastAsia="宋体" w:cs="宋体"/>
          <w:color w:val="auto"/>
          <w:szCs w:val="21"/>
          <w:highlight w:val="none"/>
        </w:rPr>
      </w:pPr>
      <w:r>
        <w:rPr>
          <w:rFonts w:hint="eastAsia" w:ascii="宋体" w:hAnsi="宋体" w:eastAsia="宋体" w:cs="宋体"/>
          <w:color w:val="auto"/>
          <w:szCs w:val="21"/>
          <w:highlight w:val="none"/>
          <w:lang w:bidi="ar"/>
        </w:rPr>
        <w:t>签订日期：    年  月  日</w:t>
      </w:r>
    </w:p>
    <w:p w14:paraId="4FE6B051">
      <w:pPr>
        <w:pStyle w:val="19"/>
        <w:keepNext w:val="0"/>
        <w:keepLines w:val="0"/>
        <w:kinsoku/>
        <w:wordWrap/>
        <w:overflowPunct/>
        <w:topLinePunct w:val="0"/>
        <w:bidi w:val="0"/>
        <w:textAlignment w:val="auto"/>
        <w:outlineLvl w:val="9"/>
        <w:rPr>
          <w:rFonts w:ascii="宋体" w:hAnsi="宋体" w:eastAsia="宋体" w:cs="Times New Roman"/>
          <w:color w:val="auto"/>
          <w:kern w:val="0"/>
          <w:szCs w:val="21"/>
          <w:highlight w:val="none"/>
        </w:rPr>
      </w:pPr>
    </w:p>
    <w:p w14:paraId="60E09DC6">
      <w:pPr>
        <w:pStyle w:val="19"/>
        <w:keepNext w:val="0"/>
        <w:keepLines w:val="0"/>
        <w:kinsoku/>
        <w:wordWrap/>
        <w:overflowPunct/>
        <w:topLinePunct w:val="0"/>
        <w:bidi w:val="0"/>
        <w:textAlignment w:val="auto"/>
        <w:outlineLvl w:val="9"/>
        <w:rPr>
          <w:rFonts w:ascii="宋体" w:hAnsi="宋体" w:eastAsia="宋体" w:cs="Times New Roman"/>
          <w:color w:val="auto"/>
          <w:kern w:val="0"/>
          <w:szCs w:val="21"/>
          <w:highlight w:val="none"/>
        </w:rPr>
      </w:pPr>
    </w:p>
    <w:p w14:paraId="0F8A6BC4">
      <w:pPr>
        <w:pStyle w:val="19"/>
        <w:keepNext w:val="0"/>
        <w:keepLines w:val="0"/>
        <w:kinsoku/>
        <w:wordWrap/>
        <w:overflowPunct/>
        <w:topLinePunct w:val="0"/>
        <w:bidi w:val="0"/>
        <w:textAlignment w:val="auto"/>
        <w:outlineLvl w:val="9"/>
        <w:rPr>
          <w:rFonts w:ascii="宋体" w:hAnsi="宋体" w:eastAsia="宋体" w:cs="Times New Roman"/>
          <w:color w:val="auto"/>
          <w:kern w:val="0"/>
          <w:szCs w:val="21"/>
          <w:highlight w:val="none"/>
        </w:rPr>
      </w:pPr>
    </w:p>
    <w:p w14:paraId="48569119">
      <w:pPr>
        <w:keepNext w:val="0"/>
        <w:keepLines w:val="0"/>
        <w:kinsoku/>
        <w:wordWrap/>
        <w:overflowPunct/>
        <w:topLinePunct w:val="0"/>
        <w:autoSpaceDE/>
        <w:autoSpaceDN/>
        <w:bidi w:val="0"/>
        <w:adjustRightInd/>
        <w:spacing w:line="240" w:lineRule="auto"/>
        <w:jc w:val="left"/>
        <w:textAlignment w:val="auto"/>
        <w:outlineLvl w:val="9"/>
        <w:rPr>
          <w:rFonts w:hint="eastAsia" w:ascii="宋体" w:hAnsi="宋体" w:eastAsia="宋体" w:cs="宋体"/>
          <w:b/>
          <w:color w:val="auto"/>
          <w:kern w:val="0"/>
          <w:sz w:val="24"/>
          <w:szCs w:val="24"/>
          <w:highlight w:val="none"/>
          <w:lang w:bidi="ar"/>
        </w:rPr>
      </w:pPr>
      <w:r>
        <w:rPr>
          <w:rFonts w:hint="eastAsia" w:ascii="宋体" w:hAnsi="宋体" w:eastAsia="宋体" w:cs="宋体"/>
          <w:b/>
          <w:color w:val="auto"/>
          <w:kern w:val="0"/>
          <w:sz w:val="24"/>
          <w:szCs w:val="24"/>
          <w:highlight w:val="none"/>
          <w:lang w:bidi="ar"/>
        </w:rPr>
        <w:br w:type="page"/>
      </w:r>
    </w:p>
    <w:p w14:paraId="57493395">
      <w:pPr>
        <w:keepNext w:val="0"/>
        <w:keepLines w:val="0"/>
        <w:kinsoku/>
        <w:wordWrap/>
        <w:overflowPunct/>
        <w:topLinePunct w:val="0"/>
        <w:autoSpaceDE w:val="0"/>
        <w:autoSpaceDN w:val="0"/>
        <w:bidi w:val="0"/>
        <w:adjustRightInd w:val="0"/>
        <w:spacing w:line="360" w:lineRule="auto"/>
        <w:jc w:val="left"/>
        <w:textAlignment w:val="auto"/>
        <w:outlineLvl w:val="9"/>
        <w:rPr>
          <w:rFonts w:ascii="宋体" w:hAnsi="宋体" w:eastAsia="宋体" w:cs="Times New Roman"/>
          <w:color w:val="auto"/>
          <w:kern w:val="0"/>
          <w:szCs w:val="21"/>
          <w:highlight w:val="none"/>
        </w:rPr>
      </w:pPr>
      <w:r>
        <w:rPr>
          <w:rFonts w:hint="eastAsia" w:ascii="宋体" w:hAnsi="宋体" w:eastAsia="宋体" w:cs="宋体"/>
          <w:b/>
          <w:color w:val="auto"/>
          <w:kern w:val="0"/>
          <w:sz w:val="24"/>
          <w:szCs w:val="24"/>
          <w:highlight w:val="none"/>
          <w:lang w:bidi="ar"/>
        </w:rPr>
        <w:t>附件</w:t>
      </w:r>
      <w:r>
        <w:rPr>
          <w:rFonts w:hint="eastAsia" w:ascii="宋体" w:hAnsi="宋体" w:eastAsia="宋体" w:cs="宋体"/>
          <w:b/>
          <w:color w:val="auto"/>
          <w:kern w:val="0"/>
          <w:sz w:val="24"/>
          <w:szCs w:val="24"/>
          <w:highlight w:val="none"/>
          <w:lang w:val="en-US" w:eastAsia="zh-CN" w:bidi="ar"/>
        </w:rPr>
        <w:t>2</w:t>
      </w:r>
      <w:r>
        <w:rPr>
          <w:rFonts w:hint="eastAsia" w:ascii="宋体" w:hAnsi="宋体" w:eastAsia="宋体" w:cs="宋体"/>
          <w:b/>
          <w:color w:val="auto"/>
          <w:kern w:val="0"/>
          <w:sz w:val="24"/>
          <w:szCs w:val="24"/>
          <w:highlight w:val="none"/>
          <w:lang w:bidi="ar"/>
        </w:rPr>
        <w:t>：安全生产管理协议</w:t>
      </w:r>
    </w:p>
    <w:p w14:paraId="5F97A64F">
      <w:pPr>
        <w:keepNext w:val="0"/>
        <w:keepLines w:val="0"/>
        <w:kinsoku/>
        <w:wordWrap/>
        <w:overflowPunct/>
        <w:topLinePunct w:val="0"/>
        <w:autoSpaceDE w:val="0"/>
        <w:autoSpaceDN w:val="0"/>
        <w:bidi w:val="0"/>
        <w:adjustRightInd w:val="0"/>
        <w:jc w:val="center"/>
        <w:textAlignment w:val="auto"/>
        <w:outlineLvl w:val="9"/>
        <w:rPr>
          <w:rFonts w:ascii="宋体" w:hAnsi="宋体" w:eastAsia="宋体" w:cs="仿宋"/>
          <w:bCs/>
          <w:color w:val="auto"/>
          <w:kern w:val="0"/>
          <w:sz w:val="28"/>
          <w:szCs w:val="28"/>
          <w:highlight w:val="none"/>
        </w:rPr>
      </w:pPr>
      <w:r>
        <w:rPr>
          <w:rFonts w:hint="eastAsia" w:ascii="宋体" w:hAnsi="宋体" w:eastAsia="宋体" w:cs="仿宋"/>
          <w:bCs/>
          <w:color w:val="auto"/>
          <w:kern w:val="0"/>
          <w:sz w:val="28"/>
          <w:szCs w:val="28"/>
          <w:highlight w:val="none"/>
          <w:lang w:bidi="ar"/>
        </w:rPr>
        <w:t xml:space="preserve"> </w:t>
      </w:r>
    </w:p>
    <w:p w14:paraId="0DC3912D">
      <w:pPr>
        <w:keepNext w:val="0"/>
        <w:keepLines w:val="0"/>
        <w:kinsoku/>
        <w:wordWrap/>
        <w:overflowPunct/>
        <w:topLinePunct w:val="0"/>
        <w:bidi w:val="0"/>
        <w:jc w:val="center"/>
        <w:textAlignment w:val="auto"/>
        <w:outlineLvl w:val="9"/>
        <w:rPr>
          <w:rFonts w:ascii="宋体" w:hAnsi="宋体" w:eastAsia="宋体" w:cs="仿宋"/>
          <w:b/>
          <w:bCs/>
          <w:color w:val="auto"/>
          <w:sz w:val="30"/>
          <w:szCs w:val="30"/>
          <w:highlight w:val="none"/>
        </w:rPr>
      </w:pPr>
      <w:r>
        <w:rPr>
          <w:rFonts w:hint="eastAsia" w:ascii="宋体" w:hAnsi="宋体" w:eastAsia="宋体" w:cs="宋体"/>
          <w:b/>
          <w:bCs/>
          <w:color w:val="auto"/>
          <w:sz w:val="30"/>
          <w:szCs w:val="30"/>
          <w:highlight w:val="none"/>
          <w:lang w:bidi="ar"/>
        </w:rPr>
        <w:t>安全生产管理协议</w:t>
      </w:r>
    </w:p>
    <w:p w14:paraId="0EC10DB9">
      <w:pPr>
        <w:keepNext w:val="0"/>
        <w:keepLines w:val="0"/>
        <w:kinsoku/>
        <w:wordWrap/>
        <w:overflowPunct/>
        <w:topLinePunct w:val="0"/>
        <w:bidi w:val="0"/>
        <w:jc w:val="center"/>
        <w:textAlignment w:val="auto"/>
        <w:outlineLvl w:val="9"/>
        <w:rPr>
          <w:rFonts w:ascii="宋体" w:hAnsi="宋体" w:eastAsia="宋体" w:cs="仿宋"/>
          <w:bCs/>
          <w:color w:val="auto"/>
          <w:sz w:val="28"/>
          <w:szCs w:val="28"/>
          <w:highlight w:val="none"/>
        </w:rPr>
      </w:pPr>
      <w:r>
        <w:rPr>
          <w:rFonts w:hint="eastAsia" w:ascii="宋体" w:hAnsi="宋体" w:eastAsia="宋体" w:cs="仿宋"/>
          <w:bCs/>
          <w:color w:val="auto"/>
          <w:sz w:val="28"/>
          <w:szCs w:val="28"/>
          <w:highlight w:val="none"/>
          <w:lang w:bidi="ar"/>
        </w:rPr>
        <w:t xml:space="preserve"> </w:t>
      </w:r>
    </w:p>
    <w:p w14:paraId="38D8D136">
      <w:pPr>
        <w:keepNext w:val="0"/>
        <w:keepLines w:val="0"/>
        <w:kinsoku/>
        <w:wordWrap/>
        <w:overflowPunct/>
        <w:topLinePunct w:val="0"/>
        <w:bidi w:val="0"/>
        <w:spacing w:line="360" w:lineRule="auto"/>
        <w:textAlignment w:val="auto"/>
        <w:outlineLvl w:val="9"/>
        <w:rPr>
          <w:rFonts w:ascii="宋体" w:hAnsi="宋体" w:eastAsia="宋体" w:cs="仿宋"/>
          <w:color w:val="auto"/>
          <w:szCs w:val="21"/>
          <w:highlight w:val="none"/>
        </w:rPr>
      </w:pPr>
      <w:r>
        <w:rPr>
          <w:rFonts w:hint="eastAsia" w:ascii="宋体" w:hAnsi="宋体" w:eastAsia="宋体" w:cs="宋体"/>
          <w:color w:val="auto"/>
          <w:szCs w:val="21"/>
          <w:highlight w:val="none"/>
          <w:lang w:bidi="ar"/>
        </w:rPr>
        <w:t>甲方：</w:t>
      </w:r>
    </w:p>
    <w:p w14:paraId="3C1328FB">
      <w:pPr>
        <w:keepNext w:val="0"/>
        <w:keepLines w:val="0"/>
        <w:kinsoku/>
        <w:wordWrap/>
        <w:overflowPunct/>
        <w:topLinePunct w:val="0"/>
        <w:bidi w:val="0"/>
        <w:spacing w:line="360" w:lineRule="auto"/>
        <w:textAlignment w:val="auto"/>
        <w:outlineLvl w:val="9"/>
        <w:rPr>
          <w:rFonts w:ascii="宋体" w:hAnsi="宋体" w:eastAsia="宋体" w:cs="仿宋"/>
          <w:color w:val="auto"/>
          <w:szCs w:val="21"/>
          <w:highlight w:val="none"/>
        </w:rPr>
      </w:pPr>
      <w:r>
        <w:rPr>
          <w:rFonts w:hint="eastAsia" w:ascii="宋体" w:hAnsi="宋体" w:eastAsia="宋体" w:cs="宋体"/>
          <w:color w:val="auto"/>
          <w:szCs w:val="21"/>
          <w:highlight w:val="none"/>
          <w:lang w:bidi="ar"/>
        </w:rPr>
        <w:t>地址:</w:t>
      </w:r>
    </w:p>
    <w:p w14:paraId="5D841BD8">
      <w:pPr>
        <w:keepNext w:val="0"/>
        <w:keepLines w:val="0"/>
        <w:kinsoku/>
        <w:wordWrap/>
        <w:overflowPunct/>
        <w:topLinePunct w:val="0"/>
        <w:bidi w:val="0"/>
        <w:spacing w:line="360" w:lineRule="auto"/>
        <w:textAlignment w:val="auto"/>
        <w:outlineLvl w:val="9"/>
        <w:rPr>
          <w:rFonts w:ascii="宋体" w:hAnsi="宋体" w:eastAsia="宋体" w:cs="仿宋"/>
          <w:color w:val="auto"/>
          <w:szCs w:val="21"/>
          <w:highlight w:val="none"/>
        </w:rPr>
      </w:pPr>
      <w:r>
        <w:rPr>
          <w:rFonts w:hint="eastAsia" w:ascii="宋体" w:hAnsi="宋体" w:eastAsia="宋体" w:cs="宋体"/>
          <w:color w:val="auto"/>
          <w:szCs w:val="21"/>
          <w:highlight w:val="none"/>
          <w:lang w:bidi="ar"/>
        </w:rPr>
        <w:t xml:space="preserve">电话:                </w:t>
      </w:r>
    </w:p>
    <w:p w14:paraId="2DAAF5F5">
      <w:pPr>
        <w:keepNext w:val="0"/>
        <w:keepLines w:val="0"/>
        <w:kinsoku/>
        <w:wordWrap/>
        <w:overflowPunct/>
        <w:topLinePunct w:val="0"/>
        <w:bidi w:val="0"/>
        <w:spacing w:line="360" w:lineRule="auto"/>
        <w:textAlignment w:val="auto"/>
        <w:outlineLvl w:val="9"/>
        <w:rPr>
          <w:rFonts w:ascii="宋体" w:hAnsi="宋体" w:eastAsia="宋体" w:cs="仿宋"/>
          <w:color w:val="auto"/>
          <w:szCs w:val="21"/>
          <w:highlight w:val="none"/>
        </w:rPr>
      </w:pPr>
      <w:r>
        <w:rPr>
          <w:rFonts w:hint="eastAsia" w:ascii="宋体" w:hAnsi="宋体" w:eastAsia="宋体" w:cs="宋体"/>
          <w:color w:val="auto"/>
          <w:szCs w:val="21"/>
          <w:highlight w:val="none"/>
          <w:lang w:bidi="ar"/>
        </w:rPr>
        <w:t>传真</w:t>
      </w:r>
    </w:p>
    <w:p w14:paraId="5ED74BE5">
      <w:pPr>
        <w:keepNext w:val="0"/>
        <w:keepLines w:val="0"/>
        <w:kinsoku/>
        <w:wordWrap/>
        <w:overflowPunct/>
        <w:topLinePunct w:val="0"/>
        <w:bidi w:val="0"/>
        <w:spacing w:line="360" w:lineRule="auto"/>
        <w:textAlignment w:val="auto"/>
        <w:outlineLvl w:val="9"/>
        <w:rPr>
          <w:rFonts w:ascii="宋体" w:hAnsi="宋体" w:eastAsia="宋体" w:cs="仿宋"/>
          <w:color w:val="auto"/>
          <w:szCs w:val="21"/>
          <w:highlight w:val="none"/>
        </w:rPr>
      </w:pPr>
      <w:r>
        <w:rPr>
          <w:rFonts w:hint="eastAsia" w:ascii="宋体" w:hAnsi="宋体" w:eastAsia="宋体" w:cs="仿宋"/>
          <w:color w:val="auto"/>
          <w:szCs w:val="21"/>
          <w:highlight w:val="none"/>
          <w:lang w:bidi="ar"/>
        </w:rPr>
        <w:t xml:space="preserve"> </w:t>
      </w:r>
    </w:p>
    <w:p w14:paraId="15E9872F">
      <w:pPr>
        <w:keepNext w:val="0"/>
        <w:keepLines w:val="0"/>
        <w:kinsoku/>
        <w:wordWrap/>
        <w:overflowPunct/>
        <w:topLinePunct w:val="0"/>
        <w:bidi w:val="0"/>
        <w:spacing w:line="360" w:lineRule="auto"/>
        <w:textAlignment w:val="auto"/>
        <w:outlineLvl w:val="9"/>
        <w:rPr>
          <w:rFonts w:ascii="宋体" w:hAnsi="宋体" w:eastAsia="宋体" w:cs="仿宋"/>
          <w:color w:val="auto"/>
          <w:szCs w:val="21"/>
          <w:highlight w:val="none"/>
        </w:rPr>
      </w:pPr>
      <w:r>
        <w:rPr>
          <w:rFonts w:hint="eastAsia" w:ascii="宋体" w:hAnsi="宋体" w:eastAsia="宋体" w:cs="宋体"/>
          <w:color w:val="auto"/>
          <w:szCs w:val="21"/>
          <w:highlight w:val="none"/>
          <w:lang w:bidi="ar"/>
        </w:rPr>
        <w:t>乙方：</w:t>
      </w:r>
    </w:p>
    <w:p w14:paraId="10A1585C">
      <w:pPr>
        <w:keepNext w:val="0"/>
        <w:keepLines w:val="0"/>
        <w:kinsoku/>
        <w:wordWrap/>
        <w:overflowPunct/>
        <w:topLinePunct w:val="0"/>
        <w:bidi w:val="0"/>
        <w:spacing w:line="360" w:lineRule="auto"/>
        <w:textAlignment w:val="auto"/>
        <w:outlineLvl w:val="9"/>
        <w:rPr>
          <w:rFonts w:ascii="宋体" w:hAnsi="宋体" w:eastAsia="宋体" w:cs="仿宋"/>
          <w:color w:val="auto"/>
          <w:szCs w:val="21"/>
          <w:highlight w:val="none"/>
        </w:rPr>
      </w:pPr>
      <w:r>
        <w:rPr>
          <w:rFonts w:hint="eastAsia" w:ascii="宋体" w:hAnsi="宋体" w:eastAsia="宋体" w:cs="宋体"/>
          <w:color w:val="auto"/>
          <w:szCs w:val="21"/>
          <w:highlight w:val="none"/>
          <w:lang w:bidi="ar"/>
        </w:rPr>
        <w:t>地址:</w:t>
      </w:r>
    </w:p>
    <w:p w14:paraId="3746E6C2">
      <w:pPr>
        <w:keepNext w:val="0"/>
        <w:keepLines w:val="0"/>
        <w:kinsoku/>
        <w:wordWrap/>
        <w:overflowPunct/>
        <w:topLinePunct w:val="0"/>
        <w:bidi w:val="0"/>
        <w:spacing w:line="360" w:lineRule="auto"/>
        <w:textAlignment w:val="auto"/>
        <w:outlineLvl w:val="9"/>
        <w:rPr>
          <w:rFonts w:ascii="宋体" w:hAnsi="宋体" w:eastAsia="宋体" w:cs="仿宋"/>
          <w:color w:val="auto"/>
          <w:szCs w:val="21"/>
          <w:highlight w:val="none"/>
        </w:rPr>
      </w:pPr>
      <w:r>
        <w:rPr>
          <w:rFonts w:hint="eastAsia" w:ascii="宋体" w:hAnsi="宋体" w:eastAsia="宋体" w:cs="宋体"/>
          <w:color w:val="auto"/>
          <w:szCs w:val="21"/>
          <w:highlight w:val="none"/>
          <w:lang w:bidi="ar"/>
        </w:rPr>
        <w:t>电话:</w:t>
      </w:r>
    </w:p>
    <w:p w14:paraId="4E75F1BC">
      <w:pPr>
        <w:keepNext w:val="0"/>
        <w:keepLines w:val="0"/>
        <w:kinsoku/>
        <w:wordWrap/>
        <w:overflowPunct/>
        <w:topLinePunct w:val="0"/>
        <w:bidi w:val="0"/>
        <w:spacing w:line="360" w:lineRule="auto"/>
        <w:textAlignment w:val="auto"/>
        <w:outlineLvl w:val="9"/>
        <w:rPr>
          <w:rFonts w:ascii="宋体" w:hAnsi="宋体" w:eastAsia="宋体" w:cs="仿宋"/>
          <w:color w:val="auto"/>
          <w:szCs w:val="21"/>
          <w:highlight w:val="none"/>
        </w:rPr>
      </w:pPr>
      <w:r>
        <w:rPr>
          <w:rFonts w:hint="eastAsia" w:ascii="宋体" w:hAnsi="宋体" w:eastAsia="宋体" w:cs="宋体"/>
          <w:color w:val="auto"/>
          <w:szCs w:val="21"/>
          <w:highlight w:val="none"/>
          <w:lang w:bidi="ar"/>
        </w:rPr>
        <w:t>传真</w:t>
      </w:r>
    </w:p>
    <w:p w14:paraId="53410146">
      <w:pPr>
        <w:keepNext w:val="0"/>
        <w:keepLines w:val="0"/>
        <w:kinsoku/>
        <w:wordWrap/>
        <w:overflowPunct/>
        <w:topLinePunct w:val="0"/>
        <w:bidi w:val="0"/>
        <w:spacing w:line="360" w:lineRule="auto"/>
        <w:textAlignment w:val="auto"/>
        <w:outlineLvl w:val="9"/>
        <w:rPr>
          <w:rFonts w:ascii="宋体" w:hAnsi="宋体" w:eastAsia="宋体" w:cs="仿宋"/>
          <w:color w:val="auto"/>
          <w:szCs w:val="21"/>
          <w:highlight w:val="none"/>
        </w:rPr>
      </w:pPr>
      <w:r>
        <w:rPr>
          <w:rFonts w:hint="eastAsia" w:ascii="宋体" w:hAnsi="宋体" w:eastAsia="宋体" w:cs="仿宋"/>
          <w:color w:val="auto"/>
          <w:szCs w:val="21"/>
          <w:highlight w:val="none"/>
          <w:lang w:bidi="ar"/>
        </w:rPr>
        <w:t xml:space="preserve"> </w:t>
      </w:r>
    </w:p>
    <w:p w14:paraId="0462293C">
      <w:pPr>
        <w:keepNext w:val="0"/>
        <w:keepLines w:val="0"/>
        <w:kinsoku/>
        <w:wordWrap/>
        <w:overflowPunct/>
        <w:topLinePunct w:val="0"/>
        <w:bidi w:val="0"/>
        <w:spacing w:line="360" w:lineRule="auto"/>
        <w:ind w:firstLine="424" w:firstLineChars="202"/>
        <w:textAlignment w:val="auto"/>
        <w:outlineLvl w:val="9"/>
        <w:rPr>
          <w:rFonts w:ascii="宋体" w:hAnsi="宋体" w:eastAsia="宋体" w:cs="仿宋"/>
          <w:color w:val="auto"/>
          <w:szCs w:val="21"/>
          <w:highlight w:val="none"/>
        </w:rPr>
      </w:pPr>
      <w:r>
        <w:rPr>
          <w:rFonts w:hint="eastAsia" w:ascii="宋体" w:hAnsi="宋体" w:eastAsia="宋体" w:cs="宋体"/>
          <w:color w:val="auto"/>
          <w:szCs w:val="21"/>
          <w:highlight w:val="none"/>
          <w:lang w:bidi="ar"/>
        </w:rPr>
        <w:t>根据《中华人民共和国安全生产法》和《建设工程安全生产管理条例》的要求，为加强施工现场的安全管理，落实各自的安全生产职责，进一步加强施工单位和施工（维修）人员的安全管理，杜绝施工单位和施工（维修）人员因安全管理不善而引发的各类安全事故，保证甲、乙双方的财产和员工的人身安全不受侵害，经甲乙双方协商一致，签订协议如下：</w:t>
      </w:r>
    </w:p>
    <w:p w14:paraId="52B2FADD">
      <w:pPr>
        <w:keepNext w:val="0"/>
        <w:keepLines w:val="0"/>
        <w:kinsoku/>
        <w:wordWrap/>
        <w:overflowPunct/>
        <w:topLinePunct w:val="0"/>
        <w:bidi w:val="0"/>
        <w:spacing w:line="360" w:lineRule="auto"/>
        <w:ind w:firstLine="424" w:firstLineChars="202"/>
        <w:textAlignment w:val="auto"/>
        <w:outlineLvl w:val="9"/>
        <w:rPr>
          <w:rFonts w:ascii="宋体" w:hAnsi="宋体" w:eastAsia="宋体" w:cs="仿宋"/>
          <w:color w:val="auto"/>
          <w:szCs w:val="21"/>
          <w:highlight w:val="none"/>
        </w:rPr>
      </w:pPr>
      <w:r>
        <w:rPr>
          <w:rFonts w:hint="eastAsia" w:ascii="宋体" w:hAnsi="宋体" w:eastAsia="宋体" w:cs="宋体"/>
          <w:color w:val="auto"/>
          <w:szCs w:val="21"/>
          <w:highlight w:val="none"/>
          <w:lang w:bidi="ar"/>
        </w:rPr>
        <w:t>1、进场前乙方应将本企业的营业执照、企业资质等级证书、安全生产许可证、进场人员花名册、进场人员身体检查表、携带进场的机具一览表、特种作业人员及特种作业操作证的复印件报甲方。进场职工必须办好施工所在地所需办理的各种证件，不得使用未成年工、童工、超龄工和安排女工从事禁忌劳动。</w:t>
      </w:r>
    </w:p>
    <w:p w14:paraId="7428329B">
      <w:pPr>
        <w:keepNext w:val="0"/>
        <w:keepLines w:val="0"/>
        <w:kinsoku/>
        <w:wordWrap/>
        <w:overflowPunct/>
        <w:topLinePunct w:val="0"/>
        <w:bidi w:val="0"/>
        <w:spacing w:line="360" w:lineRule="auto"/>
        <w:ind w:firstLine="424" w:firstLineChars="202"/>
        <w:textAlignment w:val="auto"/>
        <w:outlineLvl w:val="9"/>
        <w:rPr>
          <w:rFonts w:ascii="宋体" w:hAnsi="宋体" w:eastAsia="宋体" w:cs="仿宋"/>
          <w:color w:val="auto"/>
          <w:szCs w:val="21"/>
          <w:highlight w:val="none"/>
        </w:rPr>
      </w:pPr>
      <w:r>
        <w:rPr>
          <w:rFonts w:hint="eastAsia" w:ascii="宋体" w:hAnsi="宋体" w:eastAsia="宋体" w:cs="宋体"/>
          <w:color w:val="auto"/>
          <w:szCs w:val="21"/>
          <w:highlight w:val="none"/>
          <w:lang w:bidi="ar"/>
        </w:rPr>
        <w:t>2、乙方应设置专职或兼职安全员，对施工进行安全管理，并在施工作业前对所属员工进行安全教育培训，并且进行经常性的安全教育，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14:paraId="01B36417">
      <w:pPr>
        <w:keepNext w:val="0"/>
        <w:keepLines w:val="0"/>
        <w:kinsoku/>
        <w:wordWrap/>
        <w:overflowPunct/>
        <w:topLinePunct w:val="0"/>
        <w:bidi w:val="0"/>
        <w:spacing w:line="360" w:lineRule="auto"/>
        <w:ind w:firstLine="424" w:firstLineChars="202"/>
        <w:textAlignment w:val="auto"/>
        <w:outlineLvl w:val="9"/>
        <w:rPr>
          <w:rFonts w:ascii="宋体" w:hAnsi="宋体" w:eastAsia="宋体" w:cs="仿宋"/>
          <w:color w:val="auto"/>
          <w:szCs w:val="21"/>
          <w:highlight w:val="none"/>
        </w:rPr>
      </w:pPr>
      <w:r>
        <w:rPr>
          <w:rFonts w:hint="eastAsia" w:ascii="宋体" w:hAnsi="宋体" w:eastAsia="宋体" w:cs="宋体"/>
          <w:color w:val="auto"/>
          <w:szCs w:val="21"/>
          <w:highlight w:val="none"/>
          <w:lang w:bidi="ar"/>
        </w:rPr>
        <w:t>3、乙方使用被派遣劳动者的，应当将被派遣劳动者纳入本单位从业人员统一管理，对被派遣劳动者进行岗位安全操作规程和安全操作技能的教育和培训。</w:t>
      </w:r>
    </w:p>
    <w:p w14:paraId="3CB68D11">
      <w:pPr>
        <w:keepNext w:val="0"/>
        <w:keepLines w:val="0"/>
        <w:kinsoku/>
        <w:wordWrap/>
        <w:overflowPunct/>
        <w:topLinePunct w:val="0"/>
        <w:bidi w:val="0"/>
        <w:spacing w:line="360" w:lineRule="auto"/>
        <w:ind w:firstLine="424" w:firstLineChars="202"/>
        <w:textAlignment w:val="auto"/>
        <w:outlineLvl w:val="9"/>
        <w:rPr>
          <w:rFonts w:ascii="宋体" w:hAnsi="宋体" w:eastAsia="宋体" w:cs="仿宋"/>
          <w:color w:val="auto"/>
          <w:szCs w:val="21"/>
          <w:highlight w:val="none"/>
        </w:rPr>
      </w:pPr>
      <w:r>
        <w:rPr>
          <w:rFonts w:hint="eastAsia" w:ascii="宋体" w:hAnsi="宋体" w:eastAsia="宋体" w:cs="宋体"/>
          <w:color w:val="auto"/>
          <w:szCs w:val="21"/>
          <w:highlight w:val="none"/>
          <w:lang w:bidi="ar"/>
        </w:rPr>
        <w:t>4、乙方应当在有较大危险因素的施工场所和有关设施、设备上，设置明显的安全警示标志。乙方应当对安全设备进行经常性维护、保养，并定期检测，保证正常运转。维护、保养、检测应当做好记录，并由乙方安全员或代表签字。</w:t>
      </w:r>
    </w:p>
    <w:p w14:paraId="0D79BD89">
      <w:pPr>
        <w:keepNext w:val="0"/>
        <w:keepLines w:val="0"/>
        <w:kinsoku/>
        <w:wordWrap/>
        <w:overflowPunct/>
        <w:topLinePunct w:val="0"/>
        <w:bidi w:val="0"/>
        <w:spacing w:line="360" w:lineRule="auto"/>
        <w:ind w:firstLine="424" w:firstLineChars="202"/>
        <w:textAlignment w:val="auto"/>
        <w:outlineLvl w:val="9"/>
        <w:rPr>
          <w:rFonts w:ascii="宋体" w:hAnsi="宋体" w:eastAsia="宋体" w:cs="仿宋"/>
          <w:color w:val="auto"/>
          <w:szCs w:val="21"/>
          <w:highlight w:val="none"/>
        </w:rPr>
      </w:pPr>
      <w:r>
        <w:rPr>
          <w:rFonts w:hint="eastAsia" w:ascii="宋体" w:hAnsi="宋体" w:eastAsia="宋体" w:cs="宋体"/>
          <w:color w:val="auto"/>
          <w:szCs w:val="21"/>
          <w:highlight w:val="none"/>
          <w:lang w:bidi="ar"/>
        </w:rPr>
        <w:t>5、乙方应当教育和督促从业人员严格执行本单位的安全生产规章制度和安全操作规程；并向从业人员如实告知作业场所和工作岗位存在的危险因素、防范措施以及事故应急措施。</w:t>
      </w:r>
    </w:p>
    <w:p w14:paraId="2AE07C9C">
      <w:pPr>
        <w:keepNext w:val="0"/>
        <w:keepLines w:val="0"/>
        <w:kinsoku/>
        <w:wordWrap/>
        <w:overflowPunct/>
        <w:topLinePunct w:val="0"/>
        <w:bidi w:val="0"/>
        <w:spacing w:line="360" w:lineRule="auto"/>
        <w:ind w:firstLine="424" w:firstLineChars="202"/>
        <w:textAlignment w:val="auto"/>
        <w:outlineLvl w:val="9"/>
        <w:rPr>
          <w:rFonts w:ascii="宋体" w:hAnsi="宋体" w:eastAsia="宋体" w:cs="仿宋"/>
          <w:color w:val="auto"/>
          <w:szCs w:val="21"/>
          <w:highlight w:val="none"/>
        </w:rPr>
      </w:pPr>
      <w:r>
        <w:rPr>
          <w:rFonts w:hint="eastAsia" w:ascii="宋体" w:hAnsi="宋体" w:eastAsia="宋体" w:cs="宋体"/>
          <w:color w:val="auto"/>
          <w:szCs w:val="21"/>
          <w:highlight w:val="none"/>
          <w:lang w:bidi="ar"/>
        </w:rPr>
        <w:t>6、乙方应严格遵守国家、地方政府有关安全生产及劳动保护的法律法规、标准、规定，贯彻执行甲方的各项安全管理规章制度。</w:t>
      </w:r>
    </w:p>
    <w:p w14:paraId="79C104C6">
      <w:pPr>
        <w:keepNext w:val="0"/>
        <w:keepLines w:val="0"/>
        <w:kinsoku/>
        <w:wordWrap/>
        <w:overflowPunct/>
        <w:topLinePunct w:val="0"/>
        <w:bidi w:val="0"/>
        <w:spacing w:line="360" w:lineRule="auto"/>
        <w:ind w:firstLine="424" w:firstLineChars="202"/>
        <w:textAlignment w:val="auto"/>
        <w:outlineLvl w:val="9"/>
        <w:rPr>
          <w:rFonts w:ascii="宋体" w:hAnsi="宋体" w:eastAsia="宋体" w:cs="仿宋"/>
          <w:color w:val="auto"/>
          <w:szCs w:val="21"/>
          <w:highlight w:val="none"/>
        </w:rPr>
      </w:pPr>
      <w:r>
        <w:rPr>
          <w:rFonts w:hint="eastAsia" w:ascii="宋体" w:hAnsi="宋体" w:eastAsia="宋体" w:cs="宋体"/>
          <w:color w:val="auto"/>
          <w:szCs w:val="21"/>
          <w:highlight w:val="none"/>
          <w:lang w:bidi="ar"/>
        </w:rPr>
        <w:t>7、乙方依法参加工伤保险，为从业人员缴纳保险费，并应当为从事危险作业的人员办理意外伤害保险。</w:t>
      </w:r>
    </w:p>
    <w:p w14:paraId="025991AF">
      <w:pPr>
        <w:keepNext w:val="0"/>
        <w:keepLines w:val="0"/>
        <w:kinsoku/>
        <w:wordWrap/>
        <w:overflowPunct/>
        <w:topLinePunct w:val="0"/>
        <w:bidi w:val="0"/>
        <w:spacing w:line="360" w:lineRule="auto"/>
        <w:ind w:firstLine="424" w:firstLineChars="202"/>
        <w:textAlignment w:val="auto"/>
        <w:outlineLvl w:val="9"/>
        <w:rPr>
          <w:rFonts w:ascii="宋体" w:hAnsi="宋体" w:eastAsia="宋体" w:cs="仿宋"/>
          <w:color w:val="auto"/>
          <w:szCs w:val="21"/>
          <w:highlight w:val="none"/>
        </w:rPr>
      </w:pPr>
      <w:r>
        <w:rPr>
          <w:rFonts w:hint="eastAsia" w:ascii="宋体" w:hAnsi="宋体" w:eastAsia="宋体" w:cs="宋体"/>
          <w:color w:val="auto"/>
          <w:szCs w:val="21"/>
          <w:highlight w:val="none"/>
          <w:lang w:bidi="ar"/>
        </w:rPr>
        <w:t>8、乙方应当服从甲方的安全管理，保证施工区域的现场文明安全管理达标，现场临时用电、机器设备、安全防护齐全、完好。接受和配合甲方的安全监督检查，乙方现场的所有安全装置、防护设施必须依据经甲方审批后的安全技术施工方案进行搭设、安装，乙方必须无条件保证安全防护设施使用的搭设材料的质量，在用于安全防护的物资进场前将有关物资的材质证明报甲方，经甲方确认后方可使用。</w:t>
      </w:r>
    </w:p>
    <w:p w14:paraId="690EF678">
      <w:pPr>
        <w:keepNext w:val="0"/>
        <w:keepLines w:val="0"/>
        <w:kinsoku/>
        <w:wordWrap/>
        <w:overflowPunct/>
        <w:topLinePunct w:val="0"/>
        <w:bidi w:val="0"/>
        <w:spacing w:line="360" w:lineRule="auto"/>
        <w:ind w:firstLine="424" w:firstLineChars="202"/>
        <w:textAlignment w:val="auto"/>
        <w:outlineLvl w:val="9"/>
        <w:rPr>
          <w:rFonts w:ascii="宋体" w:hAnsi="宋体" w:eastAsia="宋体" w:cs="仿宋"/>
          <w:color w:val="auto"/>
          <w:szCs w:val="21"/>
          <w:highlight w:val="none"/>
        </w:rPr>
      </w:pPr>
      <w:r>
        <w:rPr>
          <w:rFonts w:hint="eastAsia" w:ascii="宋体" w:hAnsi="宋体" w:eastAsia="宋体" w:cs="宋体"/>
          <w:color w:val="auto"/>
          <w:szCs w:val="21"/>
          <w:highlight w:val="none"/>
          <w:lang w:bidi="ar"/>
        </w:rPr>
        <w:t>9、乙方携带进场的机器设备、机具必须是合格产品，乙方须对携带进场的机器设备、机具安全负责管理、维护及检查，对甲方和自查发现的安全隐患落实整改措施。对由于乙方使用不合格机器设备、机具造成事故的，由乙方自行承担责任。</w:t>
      </w:r>
    </w:p>
    <w:p w14:paraId="33A41040">
      <w:pPr>
        <w:keepNext w:val="0"/>
        <w:keepLines w:val="0"/>
        <w:kinsoku/>
        <w:wordWrap/>
        <w:overflowPunct/>
        <w:topLinePunct w:val="0"/>
        <w:bidi w:val="0"/>
        <w:spacing w:line="360" w:lineRule="auto"/>
        <w:ind w:firstLine="424" w:firstLineChars="202"/>
        <w:textAlignment w:val="auto"/>
        <w:outlineLvl w:val="9"/>
        <w:rPr>
          <w:rFonts w:ascii="宋体" w:hAnsi="宋体" w:eastAsia="宋体" w:cs="仿宋"/>
          <w:color w:val="auto"/>
          <w:szCs w:val="21"/>
          <w:highlight w:val="none"/>
        </w:rPr>
      </w:pPr>
      <w:r>
        <w:rPr>
          <w:rFonts w:hint="eastAsia" w:ascii="宋体" w:hAnsi="宋体" w:eastAsia="宋体" w:cs="宋体"/>
          <w:color w:val="auto"/>
          <w:szCs w:val="21"/>
          <w:highlight w:val="none"/>
          <w:lang w:bidi="ar"/>
        </w:rPr>
        <w:t>10、甲方有权对整个施工现场的安全管理工作进行协调和监督管理。指导、监督、检查乙方的执业健康安全管理工作，对乙方施工中的违章指挥、违章作业和安全隐患提出整改意见，督促、检查乙方的隐患整改落实情况。</w:t>
      </w:r>
    </w:p>
    <w:p w14:paraId="72F26D96">
      <w:pPr>
        <w:keepNext w:val="0"/>
        <w:keepLines w:val="0"/>
        <w:kinsoku/>
        <w:wordWrap/>
        <w:overflowPunct/>
        <w:topLinePunct w:val="0"/>
        <w:bidi w:val="0"/>
        <w:spacing w:line="360" w:lineRule="auto"/>
        <w:ind w:firstLine="424" w:firstLineChars="202"/>
        <w:textAlignment w:val="auto"/>
        <w:outlineLvl w:val="9"/>
        <w:rPr>
          <w:rFonts w:ascii="宋体" w:hAnsi="宋体" w:eastAsia="宋体" w:cs="仿宋"/>
          <w:color w:val="auto"/>
          <w:szCs w:val="21"/>
          <w:highlight w:val="none"/>
        </w:rPr>
      </w:pPr>
      <w:r>
        <w:rPr>
          <w:rFonts w:hint="eastAsia" w:ascii="宋体" w:hAnsi="宋体" w:eastAsia="宋体" w:cs="宋体"/>
          <w:color w:val="auto"/>
          <w:szCs w:val="21"/>
          <w:highlight w:val="none"/>
          <w:lang w:bidi="ar"/>
        </w:rPr>
        <w:t>11、乙方在施工过程中违反有关安全管理规定、有违章现象发生、安全问题整改不到位或拒不接受甲方的正常安全管理的，依据有关法律法规规定进行处理。乙方施工中存在重大隐患或险情时，甲方有权要求乙方立即整改直至隐患消除，若乙方整改后仍达不到甲方要求的，甲方有权要求与乙方单方解除合同，并要求乙方清退出场。</w:t>
      </w:r>
    </w:p>
    <w:p w14:paraId="008C4415">
      <w:pPr>
        <w:keepNext w:val="0"/>
        <w:keepLines w:val="0"/>
        <w:kinsoku/>
        <w:wordWrap/>
        <w:overflowPunct/>
        <w:topLinePunct w:val="0"/>
        <w:bidi w:val="0"/>
        <w:spacing w:line="360" w:lineRule="auto"/>
        <w:ind w:firstLine="424" w:firstLineChars="202"/>
        <w:textAlignment w:val="auto"/>
        <w:outlineLvl w:val="9"/>
        <w:rPr>
          <w:rFonts w:ascii="宋体" w:hAnsi="宋体" w:eastAsia="宋体" w:cs="仿宋"/>
          <w:color w:val="auto"/>
          <w:szCs w:val="21"/>
          <w:highlight w:val="none"/>
        </w:rPr>
      </w:pPr>
      <w:r>
        <w:rPr>
          <w:rFonts w:hint="eastAsia" w:ascii="宋体" w:hAnsi="宋体" w:eastAsia="宋体" w:cs="宋体"/>
          <w:color w:val="auto"/>
          <w:szCs w:val="21"/>
          <w:highlight w:val="none"/>
          <w:lang w:bidi="ar"/>
        </w:rPr>
        <w:t>12、乙方施工人员未经许可不得随意到施工区域以外的其它工作场所活动，乙方施工人员擅自到施工区域以外的其它工作场所活动，出现人身损伤或伤亡的，由乙方自行负责一切责任。乙方施工人员需动用或施工涉及到甲方所属设备、电器、管线及其他设施等，必须事先征得甲方代表的同意，并采取安全防护措施。</w:t>
      </w:r>
    </w:p>
    <w:p w14:paraId="2FA23EAB">
      <w:pPr>
        <w:keepNext w:val="0"/>
        <w:keepLines w:val="0"/>
        <w:kinsoku/>
        <w:wordWrap/>
        <w:overflowPunct/>
        <w:topLinePunct w:val="0"/>
        <w:bidi w:val="0"/>
        <w:spacing w:line="360" w:lineRule="auto"/>
        <w:ind w:firstLine="424" w:firstLineChars="202"/>
        <w:textAlignment w:val="auto"/>
        <w:outlineLvl w:val="9"/>
        <w:rPr>
          <w:rFonts w:ascii="宋体" w:hAnsi="宋体" w:eastAsia="宋体" w:cs="仿宋"/>
          <w:color w:val="auto"/>
          <w:szCs w:val="21"/>
          <w:highlight w:val="none"/>
        </w:rPr>
      </w:pPr>
      <w:r>
        <w:rPr>
          <w:rFonts w:hint="eastAsia" w:ascii="宋体" w:hAnsi="宋体" w:eastAsia="宋体" w:cs="宋体"/>
          <w:color w:val="auto"/>
          <w:szCs w:val="21"/>
          <w:highlight w:val="none"/>
          <w:lang w:bidi="ar"/>
        </w:rPr>
        <w:t>13、在施工过程中，需要进行动土、动火、登高、吊装、断路、进入限制性空间等危险性较高的作业时，乙方的施工负责人、专职或兼职安全员必须现场确认，确保安全后，方可开始施工。</w:t>
      </w:r>
    </w:p>
    <w:p w14:paraId="7FB3CFDE">
      <w:pPr>
        <w:keepNext w:val="0"/>
        <w:keepLines w:val="0"/>
        <w:kinsoku/>
        <w:wordWrap/>
        <w:overflowPunct/>
        <w:topLinePunct w:val="0"/>
        <w:bidi w:val="0"/>
        <w:spacing w:line="360" w:lineRule="auto"/>
        <w:ind w:firstLine="424" w:firstLineChars="202"/>
        <w:textAlignment w:val="auto"/>
        <w:outlineLvl w:val="9"/>
        <w:rPr>
          <w:rFonts w:ascii="宋体" w:hAnsi="宋体" w:eastAsia="宋体" w:cs="仿宋"/>
          <w:color w:val="auto"/>
          <w:szCs w:val="21"/>
          <w:highlight w:val="none"/>
        </w:rPr>
      </w:pPr>
      <w:r>
        <w:rPr>
          <w:rFonts w:hint="eastAsia" w:ascii="宋体" w:hAnsi="宋体" w:eastAsia="宋体" w:cs="宋体"/>
          <w:color w:val="auto"/>
          <w:szCs w:val="21"/>
          <w:highlight w:val="none"/>
          <w:lang w:bidi="ar"/>
        </w:rPr>
        <w:t>14、因乙方原因，造成乙方损失，由乙方自负，给甲方造成财产损失和人员伤害，乙方要负全部责任，并全额赔偿甲方。</w:t>
      </w:r>
    </w:p>
    <w:p w14:paraId="42E4FD54">
      <w:pPr>
        <w:keepNext w:val="0"/>
        <w:keepLines w:val="0"/>
        <w:kinsoku/>
        <w:wordWrap/>
        <w:overflowPunct/>
        <w:topLinePunct w:val="0"/>
        <w:bidi w:val="0"/>
        <w:spacing w:line="360" w:lineRule="auto"/>
        <w:ind w:firstLine="424" w:firstLineChars="202"/>
        <w:textAlignment w:val="auto"/>
        <w:outlineLvl w:val="9"/>
        <w:rPr>
          <w:rFonts w:ascii="宋体" w:hAnsi="宋体" w:eastAsia="宋体" w:cs="仿宋"/>
          <w:color w:val="auto"/>
          <w:szCs w:val="21"/>
          <w:highlight w:val="none"/>
        </w:rPr>
      </w:pPr>
      <w:r>
        <w:rPr>
          <w:rFonts w:hint="eastAsia" w:ascii="宋体" w:hAnsi="宋体" w:eastAsia="宋体" w:cs="宋体"/>
          <w:color w:val="auto"/>
          <w:szCs w:val="21"/>
          <w:highlight w:val="none"/>
          <w:lang w:bidi="ar"/>
        </w:rPr>
        <w:t>15、非因甲方原因，造成乙方损失的，甲方不承担任何责任，由乙方自行承担全部责任。</w:t>
      </w:r>
    </w:p>
    <w:p w14:paraId="5455BDBD">
      <w:pPr>
        <w:keepNext w:val="0"/>
        <w:keepLines w:val="0"/>
        <w:kinsoku/>
        <w:wordWrap/>
        <w:overflowPunct/>
        <w:topLinePunct w:val="0"/>
        <w:bidi w:val="0"/>
        <w:spacing w:line="360" w:lineRule="auto"/>
        <w:ind w:firstLine="424" w:firstLineChars="202"/>
        <w:textAlignment w:val="auto"/>
        <w:outlineLvl w:val="9"/>
        <w:rPr>
          <w:rFonts w:ascii="宋体" w:hAnsi="宋体" w:eastAsia="宋体" w:cs="仿宋"/>
          <w:color w:val="auto"/>
          <w:szCs w:val="21"/>
          <w:highlight w:val="none"/>
        </w:rPr>
      </w:pPr>
      <w:r>
        <w:rPr>
          <w:rFonts w:hint="eastAsia" w:ascii="宋体" w:hAnsi="宋体" w:eastAsia="宋体" w:cs="宋体"/>
          <w:color w:val="auto"/>
          <w:szCs w:val="21"/>
          <w:highlight w:val="none"/>
          <w:lang w:bidi="ar"/>
        </w:rPr>
        <w:t>16、乙方应严格遵守法律法规以及甲方的安全管理要求，并接受甲方的安全生产工作协调和监督，积极消除安全隐患。安全管理的基本要求包括但不限于以下条款：</w:t>
      </w:r>
    </w:p>
    <w:p w14:paraId="04B51472">
      <w:pPr>
        <w:keepNext w:val="0"/>
        <w:keepLines w:val="0"/>
        <w:kinsoku/>
        <w:wordWrap/>
        <w:overflowPunct/>
        <w:topLinePunct w:val="0"/>
        <w:bidi w:val="0"/>
        <w:spacing w:line="360" w:lineRule="auto"/>
        <w:ind w:firstLine="424" w:firstLineChars="202"/>
        <w:textAlignment w:val="auto"/>
        <w:outlineLvl w:val="9"/>
        <w:rPr>
          <w:rFonts w:ascii="宋体" w:hAnsi="宋体" w:eastAsia="宋体" w:cs="仿宋"/>
          <w:color w:val="auto"/>
          <w:szCs w:val="21"/>
          <w:highlight w:val="none"/>
        </w:rPr>
      </w:pPr>
      <w:r>
        <w:rPr>
          <w:rFonts w:hint="eastAsia" w:ascii="宋体" w:hAnsi="宋体" w:eastAsia="宋体" w:cs="宋体"/>
          <w:color w:val="auto"/>
          <w:szCs w:val="21"/>
          <w:highlight w:val="none"/>
          <w:lang w:bidi="ar"/>
        </w:rPr>
        <w:t>①禁火区内严禁吸烟、动火。有火灾危险的作业区域，乙方必须配置足够的灭火设施。</w:t>
      </w:r>
    </w:p>
    <w:p w14:paraId="385EAD0C">
      <w:pPr>
        <w:keepNext w:val="0"/>
        <w:keepLines w:val="0"/>
        <w:kinsoku/>
        <w:wordWrap/>
        <w:overflowPunct/>
        <w:topLinePunct w:val="0"/>
        <w:bidi w:val="0"/>
        <w:spacing w:line="360" w:lineRule="auto"/>
        <w:ind w:firstLine="424" w:firstLineChars="202"/>
        <w:textAlignment w:val="auto"/>
        <w:outlineLvl w:val="9"/>
        <w:rPr>
          <w:rFonts w:ascii="宋体" w:hAnsi="宋体" w:eastAsia="宋体" w:cs="仿宋"/>
          <w:color w:val="auto"/>
          <w:szCs w:val="21"/>
          <w:highlight w:val="none"/>
        </w:rPr>
      </w:pPr>
      <w:r>
        <w:rPr>
          <w:rFonts w:hint="eastAsia" w:ascii="宋体" w:hAnsi="宋体" w:eastAsia="宋体" w:cs="宋体"/>
          <w:color w:val="auto"/>
          <w:szCs w:val="21"/>
          <w:highlight w:val="none"/>
          <w:lang w:bidi="ar"/>
        </w:rPr>
        <w:t>②焊接、气割作业时两瓶距离必须达到5M及以上，气瓶距可能产生火花的电器、设备和其它火源的间距必须达到10M及以上。</w:t>
      </w:r>
    </w:p>
    <w:p w14:paraId="0F10C999">
      <w:pPr>
        <w:keepNext w:val="0"/>
        <w:keepLines w:val="0"/>
        <w:kinsoku/>
        <w:wordWrap/>
        <w:overflowPunct/>
        <w:topLinePunct w:val="0"/>
        <w:bidi w:val="0"/>
        <w:spacing w:line="360" w:lineRule="auto"/>
        <w:ind w:firstLine="424" w:firstLineChars="202"/>
        <w:textAlignment w:val="auto"/>
        <w:outlineLvl w:val="9"/>
        <w:rPr>
          <w:rFonts w:ascii="宋体" w:hAnsi="宋体" w:eastAsia="宋体" w:cs="仿宋"/>
          <w:color w:val="auto"/>
          <w:szCs w:val="21"/>
          <w:highlight w:val="none"/>
        </w:rPr>
      </w:pPr>
      <w:r>
        <w:rPr>
          <w:rFonts w:hint="eastAsia" w:ascii="宋体" w:hAnsi="宋体" w:eastAsia="宋体" w:cs="宋体"/>
          <w:color w:val="auto"/>
          <w:szCs w:val="21"/>
          <w:highlight w:val="none"/>
          <w:lang w:bidi="ar"/>
        </w:rPr>
        <w:t>③严禁在厂内道路、消防通道内搭建临时建筑或堆放物资。</w:t>
      </w:r>
    </w:p>
    <w:p w14:paraId="1D651A68">
      <w:pPr>
        <w:keepNext w:val="0"/>
        <w:keepLines w:val="0"/>
        <w:kinsoku/>
        <w:wordWrap/>
        <w:overflowPunct/>
        <w:topLinePunct w:val="0"/>
        <w:bidi w:val="0"/>
        <w:spacing w:line="360" w:lineRule="auto"/>
        <w:ind w:firstLine="424" w:firstLineChars="202"/>
        <w:textAlignment w:val="auto"/>
        <w:outlineLvl w:val="9"/>
        <w:rPr>
          <w:rFonts w:ascii="宋体" w:hAnsi="宋体" w:eastAsia="宋体" w:cs="仿宋"/>
          <w:color w:val="auto"/>
          <w:szCs w:val="21"/>
          <w:highlight w:val="none"/>
        </w:rPr>
      </w:pPr>
      <w:r>
        <w:rPr>
          <w:rFonts w:hint="eastAsia" w:ascii="宋体" w:hAnsi="宋体" w:eastAsia="宋体" w:cs="宋体"/>
          <w:color w:val="auto"/>
          <w:szCs w:val="21"/>
          <w:highlight w:val="none"/>
          <w:lang w:bidi="ar"/>
        </w:rPr>
        <w:t>④施工场所的电动工具、电焊机等须有漏电保护器和相应的安全防护装置。</w:t>
      </w:r>
    </w:p>
    <w:p w14:paraId="1CCDF2CD">
      <w:pPr>
        <w:keepNext w:val="0"/>
        <w:keepLines w:val="0"/>
        <w:kinsoku/>
        <w:wordWrap/>
        <w:overflowPunct/>
        <w:topLinePunct w:val="0"/>
        <w:bidi w:val="0"/>
        <w:spacing w:line="360" w:lineRule="auto"/>
        <w:ind w:firstLine="424" w:firstLineChars="202"/>
        <w:textAlignment w:val="auto"/>
        <w:outlineLvl w:val="9"/>
        <w:rPr>
          <w:rFonts w:ascii="宋体" w:hAnsi="宋体" w:eastAsia="宋体" w:cs="仿宋"/>
          <w:color w:val="auto"/>
          <w:szCs w:val="21"/>
          <w:highlight w:val="none"/>
        </w:rPr>
      </w:pPr>
      <w:r>
        <w:rPr>
          <w:rFonts w:hint="eastAsia" w:ascii="宋体" w:hAnsi="宋体" w:eastAsia="宋体" w:cs="宋体"/>
          <w:color w:val="auto"/>
          <w:szCs w:val="21"/>
          <w:highlight w:val="none"/>
          <w:lang w:bidi="ar"/>
        </w:rPr>
        <w:t>⑤施工现场及居住室、办公室内的用电设施必须符合要求，严禁电线乱接、乱拉，刀闸和开关无盖，在电器设施上堆放物品。</w:t>
      </w:r>
    </w:p>
    <w:p w14:paraId="303EC11D">
      <w:pPr>
        <w:keepNext w:val="0"/>
        <w:keepLines w:val="0"/>
        <w:kinsoku/>
        <w:wordWrap/>
        <w:overflowPunct/>
        <w:topLinePunct w:val="0"/>
        <w:bidi w:val="0"/>
        <w:spacing w:line="360" w:lineRule="auto"/>
        <w:ind w:firstLine="424" w:firstLineChars="202"/>
        <w:textAlignment w:val="auto"/>
        <w:outlineLvl w:val="9"/>
        <w:rPr>
          <w:rFonts w:ascii="宋体" w:hAnsi="宋体" w:eastAsia="宋体" w:cs="仿宋"/>
          <w:color w:val="auto"/>
          <w:szCs w:val="21"/>
          <w:highlight w:val="none"/>
        </w:rPr>
      </w:pPr>
      <w:r>
        <w:rPr>
          <w:rFonts w:hint="eastAsia" w:ascii="宋体" w:hAnsi="宋体" w:eastAsia="宋体" w:cs="宋体"/>
          <w:color w:val="auto"/>
          <w:szCs w:val="21"/>
          <w:highlight w:val="none"/>
          <w:lang w:bidi="ar"/>
        </w:rPr>
        <w:t>⑥防雷、防静电设施及用电设施要有良好接地。</w:t>
      </w:r>
    </w:p>
    <w:p w14:paraId="52CBDFF9">
      <w:pPr>
        <w:keepNext w:val="0"/>
        <w:keepLines w:val="0"/>
        <w:kinsoku/>
        <w:wordWrap/>
        <w:overflowPunct/>
        <w:topLinePunct w:val="0"/>
        <w:bidi w:val="0"/>
        <w:spacing w:line="360" w:lineRule="auto"/>
        <w:ind w:firstLine="424" w:firstLineChars="202"/>
        <w:textAlignment w:val="auto"/>
        <w:outlineLvl w:val="9"/>
        <w:rPr>
          <w:rFonts w:ascii="宋体" w:hAnsi="宋体" w:eastAsia="宋体" w:cs="仿宋"/>
          <w:color w:val="auto"/>
          <w:szCs w:val="21"/>
          <w:highlight w:val="none"/>
        </w:rPr>
      </w:pPr>
      <w:r>
        <w:rPr>
          <w:rFonts w:hint="eastAsia" w:ascii="宋体" w:hAnsi="宋体" w:eastAsia="宋体" w:cs="宋体"/>
          <w:color w:val="auto"/>
          <w:szCs w:val="21"/>
          <w:highlight w:val="none"/>
          <w:lang w:bidi="ar"/>
        </w:rPr>
        <w:t>⑦施工现场的危险区域，如临边、深坑、土方堆填区等，必须设置围栏和危险标志，夜间要设信号灯。</w:t>
      </w:r>
    </w:p>
    <w:p w14:paraId="7F5A1B7C">
      <w:pPr>
        <w:keepNext w:val="0"/>
        <w:keepLines w:val="0"/>
        <w:kinsoku/>
        <w:wordWrap/>
        <w:overflowPunct/>
        <w:topLinePunct w:val="0"/>
        <w:bidi w:val="0"/>
        <w:spacing w:line="360" w:lineRule="auto"/>
        <w:ind w:firstLine="424" w:firstLineChars="202"/>
        <w:textAlignment w:val="auto"/>
        <w:outlineLvl w:val="9"/>
        <w:rPr>
          <w:rFonts w:ascii="宋体" w:hAnsi="宋体" w:eastAsia="宋体" w:cs="仿宋"/>
          <w:color w:val="auto"/>
          <w:szCs w:val="21"/>
          <w:highlight w:val="none"/>
        </w:rPr>
      </w:pPr>
      <w:r>
        <w:rPr>
          <w:rFonts w:hint="eastAsia" w:ascii="宋体" w:hAnsi="宋体" w:eastAsia="宋体" w:cs="宋体"/>
          <w:color w:val="auto"/>
          <w:szCs w:val="21"/>
          <w:highlight w:val="none"/>
          <w:lang w:bidi="ar"/>
        </w:rPr>
        <w:t>⑧乙方应当为从业人员提供符合国家标准或者行业标准的劳动防护用品，并监督、教育从业人员按照使用规则佩戴、使用，防止工伤事故的发生。乙方发生各类工伤事故，严禁隐瞒不报。发生重伤及重伤以上事故，应及时组织抢救、保护好现场，并立即报告甲方主管领导。</w:t>
      </w:r>
    </w:p>
    <w:p w14:paraId="710ABF75">
      <w:pPr>
        <w:keepNext w:val="0"/>
        <w:keepLines w:val="0"/>
        <w:kinsoku/>
        <w:wordWrap/>
        <w:overflowPunct/>
        <w:topLinePunct w:val="0"/>
        <w:bidi w:val="0"/>
        <w:spacing w:line="360" w:lineRule="auto"/>
        <w:ind w:firstLine="424" w:firstLineChars="202"/>
        <w:textAlignment w:val="auto"/>
        <w:outlineLvl w:val="9"/>
        <w:rPr>
          <w:rFonts w:ascii="宋体" w:hAnsi="宋体" w:eastAsia="宋体" w:cs="仿宋"/>
          <w:color w:val="auto"/>
          <w:szCs w:val="21"/>
          <w:highlight w:val="none"/>
        </w:rPr>
      </w:pPr>
      <w:r>
        <w:rPr>
          <w:rFonts w:hint="eastAsia" w:ascii="宋体" w:hAnsi="宋体" w:eastAsia="宋体" w:cs="宋体"/>
          <w:color w:val="auto"/>
          <w:szCs w:val="21"/>
          <w:highlight w:val="none"/>
          <w:lang w:bidi="ar"/>
        </w:rPr>
        <w:t>⑨登高架子、安全防护设施、脚手架搭设完毕必须经乙方安全员或代表验收合格后方可使用，对从甲方接手及自行搭设的安全防护设施、脚手架做好日常维护与管理。安全防护设施、脚手架的拆除必须在接到专业工程师的施工指令后方可拆除，不得私自拆改任何安全防护设施，若因施工必须拆改，须向甲方主管领导报告，经批准后方可拆改，并做好临时防护设施和警戒，在施工完成后须立即恢复该处的安全防护设施。进行受限空间作业前，必须检测氧气、有毒有害气体，确保符合作业条件，做好个人防护和专人监护后，方可进入。</w:t>
      </w:r>
    </w:p>
    <w:p w14:paraId="22B4FA48">
      <w:pPr>
        <w:keepNext w:val="0"/>
        <w:keepLines w:val="0"/>
        <w:kinsoku/>
        <w:wordWrap/>
        <w:overflowPunct/>
        <w:topLinePunct w:val="0"/>
        <w:bidi w:val="0"/>
        <w:spacing w:line="360" w:lineRule="auto"/>
        <w:ind w:firstLine="424" w:firstLineChars="202"/>
        <w:textAlignment w:val="auto"/>
        <w:outlineLvl w:val="9"/>
        <w:rPr>
          <w:rFonts w:ascii="宋体" w:hAnsi="宋体" w:eastAsia="宋体" w:cs="仿宋"/>
          <w:color w:val="auto"/>
          <w:szCs w:val="21"/>
          <w:highlight w:val="none"/>
        </w:rPr>
      </w:pPr>
      <w:r>
        <w:rPr>
          <w:rFonts w:hint="eastAsia" w:ascii="宋体" w:hAnsi="宋体" w:eastAsia="宋体" w:cs="宋体"/>
          <w:color w:val="auto"/>
          <w:szCs w:val="21"/>
          <w:highlight w:val="none"/>
          <w:lang w:bidi="ar"/>
        </w:rPr>
        <w:t>⑩乙方采用新工艺、新技术、新材料或者使用新设备，必须了解、掌握其安全技术特性，采取有效的安全防护措施，并对从业人员进行专门的安全生产教育和培训。乙方的电工、焊工、起重工、高处作业等特种作业人员必须按照国家有关规定经专门的安全作业培训，取得相应资格，方可上岗作业。</w:t>
      </w:r>
    </w:p>
    <w:p w14:paraId="5ADB33F8">
      <w:pPr>
        <w:keepNext w:val="0"/>
        <w:keepLines w:val="0"/>
        <w:kinsoku/>
        <w:wordWrap/>
        <w:overflowPunct/>
        <w:topLinePunct w:val="0"/>
        <w:bidi w:val="0"/>
        <w:spacing w:line="360" w:lineRule="auto"/>
        <w:ind w:firstLine="424" w:firstLineChars="202"/>
        <w:textAlignment w:val="auto"/>
        <w:outlineLvl w:val="9"/>
        <w:rPr>
          <w:rFonts w:ascii="宋体" w:hAnsi="宋体" w:eastAsia="宋体" w:cs="Times New Roman"/>
          <w:color w:val="auto"/>
          <w:szCs w:val="21"/>
          <w:highlight w:val="none"/>
        </w:rPr>
      </w:pPr>
      <w:r>
        <w:rPr>
          <w:rFonts w:hint="eastAsia" w:ascii="宋体" w:hAnsi="宋体" w:eastAsia="宋体" w:cs="宋体"/>
          <w:color w:val="auto"/>
          <w:szCs w:val="21"/>
          <w:highlight w:val="none"/>
          <w:lang w:bidi="ar"/>
        </w:rPr>
        <w:t>17、乙方必须接受甲方的检查与监督，并应主动配合，做好安全工作，凡有违反上述协议的即视为乙方违约，甲方有权视情况从工程结算款/服务价款中扣除2000元/次作为违约金。</w:t>
      </w:r>
    </w:p>
    <w:p w14:paraId="79515BA2">
      <w:pPr>
        <w:keepNext w:val="0"/>
        <w:keepLines w:val="0"/>
        <w:kinsoku/>
        <w:wordWrap/>
        <w:overflowPunct/>
        <w:topLinePunct w:val="0"/>
        <w:bidi w:val="0"/>
        <w:spacing w:line="360" w:lineRule="auto"/>
        <w:ind w:firstLine="424" w:firstLineChars="202"/>
        <w:textAlignment w:val="auto"/>
        <w:outlineLvl w:val="9"/>
        <w:rPr>
          <w:rFonts w:ascii="宋体" w:hAnsi="宋体" w:eastAsia="宋体" w:cs="仿宋"/>
          <w:color w:val="auto"/>
          <w:szCs w:val="21"/>
          <w:highlight w:val="none"/>
        </w:rPr>
      </w:pPr>
      <w:r>
        <w:rPr>
          <w:rFonts w:hint="eastAsia" w:ascii="宋体" w:hAnsi="宋体" w:eastAsia="宋体" w:cs="宋体"/>
          <w:color w:val="auto"/>
          <w:szCs w:val="21"/>
          <w:highlight w:val="none"/>
          <w:lang w:bidi="ar"/>
        </w:rPr>
        <w:t>18、如乙方因违反本条款规定，造成甲方损失或被第三方追偿的，甲方有权向乙方追偿，甲方可直接从应付款项中扣除。同时，乙方应按照</w:t>
      </w:r>
      <w:r>
        <w:rPr>
          <w:rFonts w:hint="eastAsia" w:ascii="宋体" w:hAnsi="宋体" w:eastAsia="宋体" w:cs="宋体"/>
          <w:color w:val="auto"/>
          <w:szCs w:val="21"/>
          <w:highlight w:val="none"/>
          <w:lang w:eastAsia="zh-CN" w:bidi="ar"/>
        </w:rPr>
        <w:t>暂定合同总价（含税）</w:t>
      </w:r>
      <w:r>
        <w:rPr>
          <w:rFonts w:hint="eastAsia" w:ascii="宋体" w:hAnsi="宋体" w:eastAsia="宋体" w:cs="宋体"/>
          <w:color w:val="auto"/>
          <w:szCs w:val="21"/>
          <w:highlight w:val="none"/>
          <w:lang w:bidi="ar"/>
        </w:rPr>
        <w:t>的30%向甲方支付违约金，如违约金不足以弥补损失的，甲方可要求乙方继续赔偿损失，并承担由此引起的一切法律责任和费用，包括但不限于甲方为处理纠纷所产生的诉讼仲裁费、鉴定费、担保费、赔偿金、律师费、行政部门的罚款等。乙方仍必须继续履行或采取补救措施，并不得因承担了违约责任，而减少改进及免除继续承担责任的义务。</w:t>
      </w:r>
    </w:p>
    <w:p w14:paraId="157D1E8E">
      <w:pPr>
        <w:keepNext w:val="0"/>
        <w:keepLines w:val="0"/>
        <w:kinsoku/>
        <w:wordWrap/>
        <w:overflowPunct/>
        <w:topLinePunct w:val="0"/>
        <w:bidi w:val="0"/>
        <w:spacing w:line="360" w:lineRule="auto"/>
        <w:ind w:firstLine="424" w:firstLineChars="202"/>
        <w:textAlignment w:val="auto"/>
        <w:outlineLvl w:val="9"/>
        <w:rPr>
          <w:rFonts w:ascii="宋体" w:hAnsi="宋体" w:eastAsia="宋体" w:cs="仿宋"/>
          <w:color w:val="auto"/>
          <w:szCs w:val="21"/>
          <w:highlight w:val="none"/>
        </w:rPr>
      </w:pPr>
      <w:r>
        <w:rPr>
          <w:rFonts w:hint="eastAsia" w:ascii="宋体" w:hAnsi="宋体" w:eastAsia="宋体" w:cs="宋体"/>
          <w:color w:val="auto"/>
          <w:szCs w:val="21"/>
          <w:highlight w:val="none"/>
          <w:lang w:bidi="ar"/>
        </w:rPr>
        <w:t>19、乙方对施工过程中潜在的安全风险不明确的，不可盲目施工，否则，造成的不良后果由乙方独自承担。</w:t>
      </w:r>
    </w:p>
    <w:p w14:paraId="5199BCF8">
      <w:pPr>
        <w:keepNext w:val="0"/>
        <w:keepLines w:val="0"/>
        <w:kinsoku/>
        <w:wordWrap/>
        <w:overflowPunct/>
        <w:topLinePunct w:val="0"/>
        <w:bidi w:val="0"/>
        <w:spacing w:line="360" w:lineRule="auto"/>
        <w:ind w:firstLine="424" w:firstLineChars="202"/>
        <w:textAlignment w:val="auto"/>
        <w:outlineLvl w:val="9"/>
        <w:rPr>
          <w:rFonts w:ascii="宋体" w:hAnsi="宋体" w:eastAsia="宋体" w:cs="仿宋"/>
          <w:color w:val="auto"/>
          <w:szCs w:val="21"/>
          <w:highlight w:val="none"/>
        </w:rPr>
      </w:pPr>
      <w:r>
        <w:rPr>
          <w:rFonts w:hint="eastAsia" w:ascii="宋体" w:hAnsi="宋体" w:eastAsia="宋体" w:cs="宋体"/>
          <w:color w:val="auto"/>
          <w:szCs w:val="21"/>
          <w:highlight w:val="none"/>
          <w:lang w:bidi="ar"/>
        </w:rPr>
        <w:t>20、本协议自双方法定代表人或负责人签字并盖章后生效。</w:t>
      </w:r>
    </w:p>
    <w:p w14:paraId="36418193">
      <w:pPr>
        <w:keepNext w:val="0"/>
        <w:keepLines w:val="0"/>
        <w:kinsoku/>
        <w:wordWrap/>
        <w:overflowPunct/>
        <w:topLinePunct w:val="0"/>
        <w:bidi w:val="0"/>
        <w:spacing w:line="360" w:lineRule="auto"/>
        <w:textAlignment w:val="auto"/>
        <w:outlineLvl w:val="9"/>
        <w:rPr>
          <w:rFonts w:ascii="宋体" w:hAnsi="宋体" w:eastAsia="宋体" w:cs="仿宋"/>
          <w:b/>
          <w:bCs/>
          <w:color w:val="auto"/>
          <w:szCs w:val="21"/>
          <w:highlight w:val="none"/>
        </w:rPr>
      </w:pPr>
      <w:r>
        <w:rPr>
          <w:rFonts w:hint="eastAsia" w:ascii="宋体" w:hAnsi="宋体" w:eastAsia="宋体" w:cs="宋体"/>
          <w:b/>
          <w:bCs/>
          <w:color w:val="auto"/>
          <w:szCs w:val="21"/>
          <w:highlight w:val="none"/>
          <w:lang w:bidi="ar"/>
        </w:rPr>
        <w:t>乙方声明：</w:t>
      </w:r>
    </w:p>
    <w:p w14:paraId="6315672E">
      <w:pPr>
        <w:keepNext w:val="0"/>
        <w:keepLines w:val="0"/>
        <w:kinsoku/>
        <w:wordWrap/>
        <w:overflowPunct/>
        <w:topLinePunct w:val="0"/>
        <w:bidi w:val="0"/>
        <w:spacing w:line="360" w:lineRule="auto"/>
        <w:ind w:firstLine="479" w:firstLineChars="227"/>
        <w:textAlignment w:val="auto"/>
        <w:outlineLvl w:val="9"/>
        <w:rPr>
          <w:rFonts w:ascii="宋体" w:hAnsi="宋体" w:eastAsia="宋体" w:cs="仿宋"/>
          <w:b/>
          <w:bCs/>
          <w:color w:val="auto"/>
          <w:szCs w:val="21"/>
          <w:highlight w:val="none"/>
        </w:rPr>
      </w:pPr>
      <w:r>
        <w:rPr>
          <w:rFonts w:hint="eastAsia" w:ascii="宋体" w:hAnsi="宋体" w:eastAsia="宋体" w:cs="宋体"/>
          <w:b/>
          <w:bCs/>
          <w:color w:val="auto"/>
          <w:szCs w:val="21"/>
          <w:highlight w:val="none"/>
          <w:lang w:bidi="ar"/>
        </w:rPr>
        <w:t>乙方已认真阅读协议内容，对协议条款、</w:t>
      </w:r>
      <w:r>
        <w:rPr>
          <w:rFonts w:hint="eastAsia" w:ascii="宋体" w:hAnsi="宋体" w:eastAsia="宋体" w:cs="宋体"/>
          <w:b/>
          <w:bCs/>
          <w:color w:val="auto"/>
          <w:szCs w:val="21"/>
          <w:highlight w:val="none"/>
          <w:u w:val="single"/>
          <w:lang w:bidi="ar"/>
        </w:rPr>
        <w:t>东莞市樟村水质净化厂污泥处理处置服务项目（2025-2026年）</w:t>
      </w:r>
      <w:r>
        <w:rPr>
          <w:rFonts w:hint="eastAsia" w:ascii="宋体" w:hAnsi="宋体" w:eastAsia="宋体" w:cs="宋体"/>
          <w:b/>
          <w:bCs/>
          <w:color w:val="auto"/>
          <w:szCs w:val="21"/>
          <w:highlight w:val="none"/>
          <w:lang w:bidi="ar"/>
        </w:rPr>
        <w:t>的安全管理要求、安全风险充分理解，并自愿承担因违约造成的一切后果。</w:t>
      </w:r>
    </w:p>
    <w:p w14:paraId="11188234">
      <w:pPr>
        <w:keepNext w:val="0"/>
        <w:keepLines w:val="0"/>
        <w:kinsoku/>
        <w:wordWrap/>
        <w:overflowPunct/>
        <w:topLinePunct w:val="0"/>
        <w:bidi w:val="0"/>
        <w:spacing w:line="360" w:lineRule="auto"/>
        <w:ind w:firstLine="420" w:firstLineChars="200"/>
        <w:textAlignment w:val="auto"/>
        <w:outlineLvl w:val="9"/>
        <w:rPr>
          <w:rFonts w:ascii="宋体" w:hAnsi="宋体" w:eastAsia="宋体" w:cs="仿宋"/>
          <w:color w:val="auto"/>
          <w:szCs w:val="21"/>
          <w:highlight w:val="none"/>
        </w:rPr>
      </w:pPr>
      <w:r>
        <w:rPr>
          <w:rFonts w:hint="eastAsia" w:ascii="宋体" w:hAnsi="宋体" w:eastAsia="宋体" w:cs="仿宋"/>
          <w:color w:val="auto"/>
          <w:szCs w:val="21"/>
          <w:highlight w:val="none"/>
          <w:lang w:bidi="ar"/>
        </w:rPr>
        <w:t xml:space="preserve"> </w:t>
      </w:r>
    </w:p>
    <w:p w14:paraId="06F1F0F4">
      <w:pPr>
        <w:keepNext w:val="0"/>
        <w:keepLines w:val="0"/>
        <w:kinsoku/>
        <w:wordWrap/>
        <w:overflowPunct/>
        <w:topLinePunct w:val="0"/>
        <w:bidi w:val="0"/>
        <w:spacing w:line="360" w:lineRule="auto"/>
        <w:ind w:firstLine="476" w:firstLineChars="227"/>
        <w:textAlignment w:val="auto"/>
        <w:outlineLvl w:val="9"/>
        <w:rPr>
          <w:rFonts w:ascii="宋体" w:hAnsi="宋体" w:eastAsia="宋体" w:cs="仿宋"/>
          <w:color w:val="auto"/>
          <w:szCs w:val="21"/>
          <w:highlight w:val="none"/>
        </w:rPr>
      </w:pPr>
      <w:r>
        <w:rPr>
          <w:rFonts w:hint="eastAsia" w:ascii="宋体" w:hAnsi="宋体" w:eastAsia="宋体" w:cs="宋体"/>
          <w:color w:val="auto"/>
          <w:szCs w:val="21"/>
          <w:highlight w:val="none"/>
          <w:lang w:bidi="ar"/>
        </w:rPr>
        <w:t>甲方（盖章）：</w:t>
      </w:r>
      <w:r>
        <w:rPr>
          <w:rFonts w:hint="eastAsia" w:ascii="宋体" w:hAnsi="宋体" w:eastAsia="宋体" w:cs="仿宋"/>
          <w:color w:val="auto"/>
          <w:szCs w:val="21"/>
          <w:highlight w:val="none"/>
          <w:lang w:bidi="ar"/>
        </w:rPr>
        <w:t xml:space="preserve">                      </w:t>
      </w:r>
      <w:r>
        <w:rPr>
          <w:rFonts w:hint="eastAsia" w:ascii="宋体" w:hAnsi="宋体" w:eastAsia="宋体" w:cs="宋体"/>
          <w:color w:val="auto"/>
          <w:szCs w:val="21"/>
          <w:highlight w:val="none"/>
          <w:lang w:bidi="ar"/>
        </w:rPr>
        <w:t>乙方（盖章）：</w:t>
      </w:r>
      <w:r>
        <w:rPr>
          <w:rFonts w:hint="eastAsia" w:ascii="宋体" w:hAnsi="宋体" w:eastAsia="宋体" w:cs="仿宋"/>
          <w:color w:val="auto"/>
          <w:szCs w:val="21"/>
          <w:highlight w:val="none"/>
          <w:lang w:bidi="ar"/>
        </w:rPr>
        <w:t xml:space="preserve"> </w:t>
      </w:r>
    </w:p>
    <w:p w14:paraId="3C4734A8">
      <w:pPr>
        <w:keepNext w:val="0"/>
        <w:keepLines w:val="0"/>
        <w:kinsoku/>
        <w:wordWrap/>
        <w:overflowPunct/>
        <w:topLinePunct w:val="0"/>
        <w:bidi w:val="0"/>
        <w:spacing w:line="360" w:lineRule="auto"/>
        <w:ind w:firstLine="476" w:firstLineChars="227"/>
        <w:textAlignment w:val="auto"/>
        <w:outlineLvl w:val="9"/>
        <w:rPr>
          <w:rFonts w:ascii="宋体" w:hAnsi="宋体" w:eastAsia="宋体" w:cs="仿宋"/>
          <w:color w:val="auto"/>
          <w:szCs w:val="21"/>
          <w:highlight w:val="none"/>
        </w:rPr>
      </w:pPr>
      <w:r>
        <w:rPr>
          <w:rFonts w:hint="eastAsia" w:ascii="宋体" w:hAnsi="宋体" w:eastAsia="宋体" w:cs="宋体"/>
          <w:color w:val="auto"/>
          <w:szCs w:val="21"/>
          <w:highlight w:val="none"/>
          <w:lang w:bidi="ar"/>
        </w:rPr>
        <w:t>法定代表人或负责人：</w:t>
      </w:r>
      <w:r>
        <w:rPr>
          <w:rFonts w:hint="eastAsia" w:ascii="宋体" w:hAnsi="宋体" w:eastAsia="宋体" w:cs="仿宋"/>
          <w:color w:val="auto"/>
          <w:szCs w:val="21"/>
          <w:highlight w:val="none"/>
          <w:lang w:bidi="ar"/>
        </w:rPr>
        <w:t xml:space="preserve">               </w:t>
      </w:r>
      <w:r>
        <w:rPr>
          <w:rFonts w:hint="eastAsia" w:ascii="宋体" w:hAnsi="宋体" w:eastAsia="宋体" w:cs="宋体"/>
          <w:color w:val="auto"/>
          <w:szCs w:val="21"/>
          <w:highlight w:val="none"/>
          <w:lang w:bidi="ar"/>
        </w:rPr>
        <w:t>法定代表人或负责人：</w:t>
      </w:r>
    </w:p>
    <w:p w14:paraId="2D1768BE">
      <w:pPr>
        <w:keepNext w:val="0"/>
        <w:keepLines w:val="0"/>
        <w:kinsoku/>
        <w:wordWrap/>
        <w:overflowPunct/>
        <w:topLinePunct w:val="0"/>
        <w:bidi w:val="0"/>
        <w:spacing w:line="360" w:lineRule="auto"/>
        <w:ind w:firstLine="476" w:firstLineChars="227"/>
        <w:textAlignment w:val="auto"/>
        <w:outlineLvl w:val="9"/>
        <w:rPr>
          <w:rFonts w:ascii="宋体" w:hAnsi="宋体" w:eastAsia="宋体" w:cs="仿宋"/>
          <w:color w:val="auto"/>
          <w:szCs w:val="21"/>
          <w:highlight w:val="none"/>
        </w:rPr>
      </w:pPr>
      <w:r>
        <w:rPr>
          <w:rFonts w:hint="eastAsia" w:ascii="宋体" w:hAnsi="宋体" w:eastAsia="宋体" w:cs="仿宋"/>
          <w:color w:val="auto"/>
          <w:szCs w:val="21"/>
          <w:highlight w:val="none"/>
          <w:lang w:bidi="ar"/>
        </w:rPr>
        <w:t xml:space="preserve">   </w:t>
      </w:r>
    </w:p>
    <w:p w14:paraId="3533F95E">
      <w:pPr>
        <w:keepNext w:val="0"/>
        <w:keepLines w:val="0"/>
        <w:kinsoku/>
        <w:wordWrap/>
        <w:overflowPunct/>
        <w:topLinePunct w:val="0"/>
        <w:bidi w:val="0"/>
        <w:spacing w:line="360" w:lineRule="auto"/>
        <w:ind w:firstLine="476" w:firstLineChars="227"/>
        <w:textAlignment w:val="auto"/>
        <w:outlineLvl w:val="9"/>
        <w:rPr>
          <w:rFonts w:ascii="宋体" w:hAnsi="宋体" w:eastAsia="宋体" w:cs="仿宋"/>
          <w:color w:val="auto"/>
          <w:szCs w:val="21"/>
          <w:highlight w:val="none"/>
        </w:rPr>
      </w:pPr>
      <w:r>
        <w:rPr>
          <w:rFonts w:hint="eastAsia" w:ascii="宋体" w:hAnsi="宋体" w:eastAsia="宋体" w:cs="宋体"/>
          <w:color w:val="auto"/>
          <w:szCs w:val="21"/>
          <w:highlight w:val="none"/>
          <w:lang w:bidi="ar"/>
        </w:rPr>
        <w:t>签订日期：</w:t>
      </w:r>
    </w:p>
    <w:p w14:paraId="1E3E2D61">
      <w:pPr>
        <w:keepNext w:val="0"/>
        <w:keepLines w:val="0"/>
        <w:kinsoku/>
        <w:wordWrap/>
        <w:overflowPunct/>
        <w:topLinePunct w:val="0"/>
        <w:bidi w:val="0"/>
        <w:spacing w:line="360" w:lineRule="auto"/>
        <w:ind w:firstLine="476" w:firstLineChars="227"/>
        <w:textAlignment w:val="auto"/>
        <w:outlineLvl w:val="9"/>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签订地点：广东省东莞市</w:t>
      </w:r>
    </w:p>
    <w:p w14:paraId="08A3CD09">
      <w:pPr>
        <w:keepNext w:val="0"/>
        <w:keepLines w:val="0"/>
        <w:kinsoku/>
        <w:wordWrap/>
        <w:overflowPunct/>
        <w:topLinePunct w:val="0"/>
        <w:bidi w:val="0"/>
        <w:spacing w:line="360" w:lineRule="auto"/>
        <w:ind w:firstLine="476" w:firstLineChars="227"/>
        <w:textAlignment w:val="auto"/>
        <w:outlineLvl w:val="9"/>
        <w:rPr>
          <w:rFonts w:hint="eastAsia" w:ascii="宋体" w:hAnsi="宋体" w:eastAsia="宋体" w:cs="宋体"/>
          <w:color w:val="auto"/>
          <w:szCs w:val="21"/>
          <w:highlight w:val="none"/>
          <w:lang w:bidi="ar"/>
        </w:rPr>
      </w:pPr>
    </w:p>
    <w:p w14:paraId="553EAA5B">
      <w:pPr>
        <w:keepNext w:val="0"/>
        <w:keepLines w:val="0"/>
        <w:kinsoku/>
        <w:wordWrap/>
        <w:overflowPunct/>
        <w:topLinePunct w:val="0"/>
        <w:autoSpaceDE w:val="0"/>
        <w:autoSpaceDN w:val="0"/>
        <w:bidi w:val="0"/>
        <w:adjustRightInd w:val="0"/>
        <w:spacing w:line="360" w:lineRule="auto"/>
        <w:jc w:val="left"/>
        <w:textAlignment w:val="auto"/>
        <w:outlineLvl w:val="9"/>
        <w:rPr>
          <w:rFonts w:hint="eastAsia" w:ascii="宋体" w:hAnsi="宋体" w:eastAsia="宋体" w:cs="宋体"/>
          <w:color w:val="auto"/>
          <w:kern w:val="0"/>
          <w:szCs w:val="21"/>
          <w:highlight w:val="none"/>
        </w:rPr>
      </w:pPr>
    </w:p>
    <w:p w14:paraId="4F897DD0">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附件4：服务单位履约评价表</w:t>
      </w:r>
    </w:p>
    <w:p w14:paraId="1700BF9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color w:val="auto"/>
          <w:kern w:val="2"/>
          <w:sz w:val="32"/>
          <w:szCs w:val="32"/>
          <w:highlight w:val="none"/>
        </w:rPr>
      </w:pPr>
      <w:r>
        <w:rPr>
          <w:rFonts w:hint="eastAsia" w:ascii="宋体" w:hAnsi="宋体" w:eastAsia="宋体" w:cs="宋体"/>
          <w:b/>
          <w:bCs w:val="0"/>
          <w:color w:val="auto"/>
          <w:kern w:val="2"/>
          <w:sz w:val="32"/>
          <w:szCs w:val="32"/>
          <w:highlight w:val="none"/>
          <w:lang w:val="en-US" w:eastAsia="zh-CN" w:bidi="ar"/>
        </w:rPr>
        <w:t>服务单位履约评价表</w:t>
      </w:r>
    </w:p>
    <w:tbl>
      <w:tblPr>
        <w:tblStyle w:val="37"/>
        <w:tblW w:w="103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12"/>
        <w:gridCol w:w="1284"/>
        <w:gridCol w:w="2134"/>
        <w:gridCol w:w="1522"/>
        <w:gridCol w:w="809"/>
        <w:gridCol w:w="1887"/>
        <w:gridCol w:w="647"/>
        <w:gridCol w:w="647"/>
        <w:gridCol w:w="926"/>
      </w:tblGrid>
      <w:tr w14:paraId="359EF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7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55893F7">
            <w:pPr>
              <w:keepNext w:val="0"/>
              <w:keepLines w:val="0"/>
              <w:widowControl/>
              <w:suppressLineNumbers w:val="0"/>
              <w:autoSpaceDE w:val="0"/>
              <w:autoSpaceDN/>
              <w:snapToGrid w:val="0"/>
              <w:spacing w:before="0" w:beforeAutospacing="0" w:after="0" w:afterAutospacing="0" w:line="360" w:lineRule="auto"/>
              <w:ind w:left="0" w:right="0" w:firstLine="0" w:firstLineChars="0"/>
              <w:jc w:val="center"/>
              <w:rPr>
                <w:rFonts w:hint="eastAsia" w:ascii="宋体" w:hAnsi="宋体" w:eastAsia="宋体" w:cs="宋体"/>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合同名称</w:t>
            </w:r>
          </w:p>
        </w:tc>
        <w:tc>
          <w:tcPr>
            <w:tcW w:w="857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3FC0F32C">
            <w:pPr>
              <w:keepNext w:val="0"/>
              <w:keepLines w:val="0"/>
              <w:widowControl/>
              <w:suppressLineNumbers w:val="0"/>
              <w:autoSpaceDE w:val="0"/>
              <w:autoSpaceDN/>
              <w:snapToGrid w:val="0"/>
              <w:spacing w:before="0" w:beforeAutospacing="0" w:after="0" w:afterAutospacing="0" w:line="360" w:lineRule="auto"/>
              <w:ind w:left="0" w:right="0" w:firstLine="0" w:firstLineChars="0"/>
              <w:jc w:val="both"/>
              <w:rPr>
                <w:rFonts w:hint="eastAsia" w:ascii="宋体" w:hAnsi="宋体" w:eastAsia="宋体" w:cs="宋体"/>
                <w:color w:val="auto"/>
                <w:kern w:val="2"/>
                <w:sz w:val="21"/>
                <w:szCs w:val="21"/>
                <w:highlight w:val="none"/>
              </w:rPr>
            </w:pPr>
          </w:p>
        </w:tc>
      </w:tr>
      <w:tr w14:paraId="331DE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B8D78B4">
            <w:pPr>
              <w:keepNext w:val="0"/>
              <w:keepLines w:val="0"/>
              <w:widowControl/>
              <w:suppressLineNumbers w:val="0"/>
              <w:autoSpaceDE w:val="0"/>
              <w:autoSpaceDN/>
              <w:snapToGrid w:val="0"/>
              <w:spacing w:before="0" w:beforeAutospacing="0" w:after="0" w:afterAutospacing="0" w:line="360" w:lineRule="auto"/>
              <w:ind w:left="0" w:right="0" w:firstLine="0" w:firstLineChars="0"/>
              <w:jc w:val="center"/>
              <w:rPr>
                <w:rFonts w:hint="eastAsia" w:ascii="宋体" w:hAnsi="宋体" w:eastAsia="宋体" w:cs="宋体"/>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合同编号</w:t>
            </w:r>
          </w:p>
        </w:tc>
        <w:tc>
          <w:tcPr>
            <w:tcW w:w="857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50758F0A">
            <w:pPr>
              <w:keepNext w:val="0"/>
              <w:keepLines w:val="0"/>
              <w:widowControl/>
              <w:suppressLineNumbers w:val="0"/>
              <w:autoSpaceDE w:val="0"/>
              <w:autoSpaceDN/>
              <w:snapToGrid w:val="0"/>
              <w:spacing w:before="0" w:beforeAutospacing="0" w:after="0" w:afterAutospacing="0" w:line="360" w:lineRule="auto"/>
              <w:ind w:left="0" w:right="0" w:firstLine="0" w:firstLineChars="0"/>
              <w:jc w:val="both"/>
              <w:rPr>
                <w:rFonts w:hint="eastAsia" w:ascii="宋体" w:hAnsi="宋体" w:eastAsia="宋体" w:cs="宋体"/>
                <w:color w:val="auto"/>
                <w:kern w:val="2"/>
                <w:sz w:val="21"/>
                <w:szCs w:val="21"/>
                <w:highlight w:val="none"/>
              </w:rPr>
            </w:pPr>
          </w:p>
        </w:tc>
      </w:tr>
      <w:tr w14:paraId="6F4C8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2DCCDFE">
            <w:pPr>
              <w:keepNext w:val="0"/>
              <w:keepLines w:val="0"/>
              <w:widowControl/>
              <w:suppressLineNumbers w:val="0"/>
              <w:autoSpaceDE w:val="0"/>
              <w:autoSpaceDN/>
              <w:snapToGrid w:val="0"/>
              <w:spacing w:before="0" w:beforeAutospacing="0" w:after="0" w:afterAutospacing="0" w:line="360" w:lineRule="auto"/>
              <w:ind w:left="0" w:right="0" w:firstLine="0" w:firstLineChars="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甲方名称</w:t>
            </w:r>
          </w:p>
        </w:tc>
        <w:tc>
          <w:tcPr>
            <w:tcW w:w="857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6CE1B57A">
            <w:pPr>
              <w:keepNext w:val="0"/>
              <w:keepLines w:val="0"/>
              <w:widowControl/>
              <w:suppressLineNumbers w:val="0"/>
              <w:autoSpaceDE w:val="0"/>
              <w:autoSpaceDN/>
              <w:snapToGrid w:val="0"/>
              <w:spacing w:before="0" w:beforeAutospacing="0" w:after="0" w:afterAutospacing="0" w:line="360" w:lineRule="auto"/>
              <w:ind w:left="0" w:right="0" w:firstLine="0" w:firstLineChars="0"/>
              <w:jc w:val="both"/>
              <w:rPr>
                <w:rFonts w:hint="eastAsia" w:ascii="宋体" w:hAnsi="宋体" w:eastAsia="宋体" w:cs="宋体"/>
                <w:color w:val="auto"/>
                <w:kern w:val="2"/>
                <w:sz w:val="21"/>
                <w:szCs w:val="21"/>
                <w:highlight w:val="none"/>
              </w:rPr>
            </w:pPr>
          </w:p>
        </w:tc>
      </w:tr>
      <w:tr w14:paraId="2046E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F66CF45">
            <w:pPr>
              <w:keepNext w:val="0"/>
              <w:keepLines w:val="0"/>
              <w:widowControl/>
              <w:suppressLineNumbers w:val="0"/>
              <w:autoSpaceDE w:val="0"/>
              <w:autoSpaceDN/>
              <w:snapToGrid w:val="0"/>
              <w:spacing w:before="0" w:beforeAutospacing="0" w:after="0" w:afterAutospacing="0" w:line="360" w:lineRule="auto"/>
              <w:ind w:left="0" w:right="0" w:firstLine="0" w:firstLineChars="0"/>
              <w:jc w:val="center"/>
              <w:rPr>
                <w:rFonts w:hint="eastAsia" w:ascii="宋体" w:hAnsi="宋体" w:eastAsia="宋体" w:cs="宋体"/>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服务单位</w:t>
            </w:r>
            <w:r>
              <w:rPr>
                <w:rFonts w:hint="eastAsia" w:ascii="宋体" w:hAnsi="宋体" w:eastAsia="宋体" w:cs="宋体"/>
                <w:color w:val="auto"/>
                <w:kern w:val="2"/>
                <w:sz w:val="21"/>
                <w:szCs w:val="21"/>
                <w:highlight w:val="none"/>
                <w:lang w:val="en-US" w:eastAsia="zh-CN" w:bidi="ar"/>
              </w:rPr>
              <w:t>名称</w:t>
            </w:r>
          </w:p>
        </w:tc>
        <w:tc>
          <w:tcPr>
            <w:tcW w:w="857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2D7B2CFE">
            <w:pPr>
              <w:keepNext w:val="0"/>
              <w:keepLines w:val="0"/>
              <w:widowControl/>
              <w:suppressLineNumbers w:val="0"/>
              <w:autoSpaceDE w:val="0"/>
              <w:autoSpaceDN/>
              <w:snapToGrid w:val="0"/>
              <w:spacing w:before="0" w:beforeAutospacing="0" w:after="0" w:afterAutospacing="0" w:line="360" w:lineRule="auto"/>
              <w:ind w:left="0" w:right="0" w:firstLine="0" w:firstLineChars="0"/>
              <w:jc w:val="both"/>
              <w:rPr>
                <w:rFonts w:hint="eastAsia" w:ascii="宋体" w:hAnsi="宋体" w:eastAsia="宋体" w:cs="宋体"/>
                <w:color w:val="auto"/>
                <w:kern w:val="2"/>
                <w:sz w:val="21"/>
                <w:szCs w:val="21"/>
                <w:highlight w:val="none"/>
              </w:rPr>
            </w:pPr>
          </w:p>
        </w:tc>
      </w:tr>
      <w:tr w14:paraId="535A1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dxa"/>
            <w:tcBorders>
              <w:top w:val="single" w:color="auto" w:sz="4" w:space="0"/>
              <w:left w:val="single" w:color="auto" w:sz="4" w:space="0"/>
              <w:bottom w:val="single" w:color="auto" w:sz="4" w:space="0"/>
              <w:right w:val="single" w:color="auto" w:sz="4" w:space="0"/>
            </w:tcBorders>
            <w:shd w:val="clear" w:color="auto" w:fill="auto"/>
            <w:vAlign w:val="center"/>
          </w:tcPr>
          <w:p w14:paraId="3B968984">
            <w:pPr>
              <w:keepNext w:val="0"/>
              <w:keepLines w:val="0"/>
              <w:widowControl/>
              <w:suppressLineNumbers w:val="0"/>
              <w:autoSpaceDE w:val="0"/>
              <w:autoSpaceDN/>
              <w:snapToGrid w:val="0"/>
              <w:spacing w:before="0" w:beforeAutospacing="0" w:after="0" w:afterAutospacing="0" w:line="360" w:lineRule="auto"/>
              <w:ind w:left="0" w:right="0" w:firstLine="0" w:firstLineChars="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序号</w:t>
            </w:r>
          </w:p>
        </w:tc>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14:paraId="4FE32289">
            <w:pPr>
              <w:keepNext w:val="0"/>
              <w:keepLines w:val="0"/>
              <w:widowControl/>
              <w:suppressLineNumbers w:val="0"/>
              <w:autoSpaceDE w:val="0"/>
              <w:autoSpaceDN/>
              <w:snapToGrid w:val="0"/>
              <w:spacing w:before="0" w:beforeAutospacing="0" w:after="0" w:afterAutospacing="0" w:line="360" w:lineRule="auto"/>
              <w:ind w:left="0" w:right="0" w:firstLine="0" w:firstLineChars="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履约评价项目</w:t>
            </w:r>
          </w:p>
        </w:tc>
        <w:tc>
          <w:tcPr>
            <w:tcW w:w="365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11F838D">
            <w:pPr>
              <w:keepNext w:val="0"/>
              <w:keepLines w:val="0"/>
              <w:widowControl/>
              <w:suppressLineNumbers w:val="0"/>
              <w:autoSpaceDE w:val="0"/>
              <w:autoSpaceDN/>
              <w:snapToGrid w:val="0"/>
              <w:spacing w:before="0" w:beforeAutospacing="0" w:after="0" w:afterAutospacing="0" w:line="360" w:lineRule="auto"/>
              <w:ind w:left="0" w:right="0" w:firstLine="0" w:firstLineChars="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评价标准</w:t>
            </w:r>
          </w:p>
        </w:tc>
        <w:tc>
          <w:tcPr>
            <w:tcW w:w="26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246C7D4">
            <w:pPr>
              <w:keepNext w:val="0"/>
              <w:keepLines w:val="0"/>
              <w:widowControl/>
              <w:suppressLineNumbers w:val="0"/>
              <w:autoSpaceDE w:val="0"/>
              <w:autoSpaceDN/>
              <w:snapToGrid w:val="0"/>
              <w:spacing w:before="0" w:beforeAutospacing="0" w:after="0" w:afterAutospacing="0" w:line="360" w:lineRule="auto"/>
              <w:ind w:left="0" w:right="0" w:firstLine="0" w:firstLineChars="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评分说明</w:t>
            </w:r>
          </w:p>
        </w:tc>
        <w:tc>
          <w:tcPr>
            <w:tcW w:w="647" w:type="dxa"/>
            <w:tcBorders>
              <w:top w:val="single" w:color="auto" w:sz="4" w:space="0"/>
              <w:left w:val="single" w:color="auto" w:sz="4" w:space="0"/>
              <w:bottom w:val="single" w:color="auto" w:sz="4" w:space="0"/>
              <w:right w:val="single" w:color="auto" w:sz="4" w:space="0"/>
            </w:tcBorders>
            <w:shd w:val="clear" w:color="auto" w:fill="auto"/>
            <w:vAlign w:val="center"/>
          </w:tcPr>
          <w:p w14:paraId="18231EF4">
            <w:pPr>
              <w:keepNext w:val="0"/>
              <w:keepLines w:val="0"/>
              <w:widowControl/>
              <w:suppressLineNumbers w:val="0"/>
              <w:autoSpaceDE w:val="0"/>
              <w:autoSpaceDN/>
              <w:snapToGrid w:val="0"/>
              <w:spacing w:before="0" w:beforeAutospacing="0" w:after="0" w:afterAutospacing="0" w:line="360" w:lineRule="auto"/>
              <w:ind w:left="0" w:right="0" w:firstLine="0" w:firstLineChars="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分值</w:t>
            </w:r>
          </w:p>
        </w:tc>
        <w:tc>
          <w:tcPr>
            <w:tcW w:w="647" w:type="dxa"/>
            <w:tcBorders>
              <w:top w:val="single" w:color="auto" w:sz="4" w:space="0"/>
              <w:left w:val="single" w:color="auto" w:sz="4" w:space="0"/>
              <w:bottom w:val="single" w:color="auto" w:sz="4" w:space="0"/>
              <w:right w:val="single" w:color="auto" w:sz="4" w:space="0"/>
            </w:tcBorders>
            <w:shd w:val="clear" w:color="auto" w:fill="auto"/>
            <w:vAlign w:val="center"/>
          </w:tcPr>
          <w:p w14:paraId="291B8BED">
            <w:pPr>
              <w:keepNext w:val="0"/>
              <w:keepLines w:val="0"/>
              <w:widowControl/>
              <w:suppressLineNumbers w:val="0"/>
              <w:autoSpaceDE w:val="0"/>
              <w:autoSpaceDN/>
              <w:snapToGrid w:val="0"/>
              <w:spacing w:before="0" w:beforeAutospacing="0" w:after="0" w:afterAutospacing="0" w:line="360" w:lineRule="auto"/>
              <w:ind w:left="0" w:right="0" w:firstLine="0" w:firstLineChars="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实得分</w:t>
            </w:r>
          </w:p>
        </w:tc>
        <w:tc>
          <w:tcPr>
            <w:tcW w:w="926" w:type="dxa"/>
            <w:tcBorders>
              <w:top w:val="single" w:color="auto" w:sz="4" w:space="0"/>
              <w:left w:val="single" w:color="auto" w:sz="4" w:space="0"/>
              <w:bottom w:val="single" w:color="auto" w:sz="4" w:space="0"/>
              <w:right w:val="single" w:color="auto" w:sz="4" w:space="0"/>
            </w:tcBorders>
            <w:shd w:val="clear" w:color="auto" w:fill="auto"/>
            <w:vAlign w:val="center"/>
          </w:tcPr>
          <w:p w14:paraId="6E2ED73D">
            <w:pPr>
              <w:keepNext w:val="0"/>
              <w:keepLines w:val="0"/>
              <w:widowControl/>
              <w:suppressLineNumbers w:val="0"/>
              <w:autoSpaceDE w:val="0"/>
              <w:autoSpaceDN/>
              <w:snapToGrid w:val="0"/>
              <w:spacing w:before="0" w:beforeAutospacing="0" w:after="0" w:afterAutospacing="0" w:line="360" w:lineRule="auto"/>
              <w:ind w:left="0" w:right="0" w:firstLine="0" w:firstLineChars="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扣分情况说明</w:t>
            </w:r>
          </w:p>
        </w:tc>
      </w:tr>
      <w:tr w14:paraId="26CF2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dxa"/>
            <w:tcBorders>
              <w:top w:val="single" w:color="auto" w:sz="4" w:space="0"/>
              <w:left w:val="single" w:color="auto" w:sz="4" w:space="0"/>
              <w:bottom w:val="single" w:color="auto" w:sz="4" w:space="0"/>
              <w:right w:val="single" w:color="auto" w:sz="4" w:space="0"/>
            </w:tcBorders>
            <w:shd w:val="clear" w:color="auto" w:fill="auto"/>
            <w:vAlign w:val="center"/>
          </w:tcPr>
          <w:p w14:paraId="2BB9E1A5">
            <w:pPr>
              <w:keepNext w:val="0"/>
              <w:keepLines w:val="0"/>
              <w:widowControl/>
              <w:suppressLineNumbers w:val="0"/>
              <w:autoSpaceDE w:val="0"/>
              <w:autoSpaceDN/>
              <w:snapToGrid w:val="0"/>
              <w:spacing w:before="0" w:beforeAutospacing="0" w:after="0" w:afterAutospacing="0" w:line="360" w:lineRule="auto"/>
              <w:ind w:left="0" w:right="0" w:firstLine="0" w:firstLineChars="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w:t>
            </w:r>
          </w:p>
        </w:tc>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14:paraId="5A4DDAD1">
            <w:pPr>
              <w:keepNext w:val="0"/>
              <w:keepLines w:val="0"/>
              <w:widowControl/>
              <w:suppressLineNumbers w:val="0"/>
              <w:autoSpaceDE w:val="0"/>
              <w:autoSpaceDN/>
              <w:snapToGrid w:val="0"/>
              <w:spacing w:before="0" w:beforeAutospacing="0" w:after="0" w:afterAutospacing="0" w:line="360" w:lineRule="auto"/>
              <w:ind w:left="0" w:right="0" w:firstLine="0" w:firstLineChars="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污泥处理能力</w:t>
            </w:r>
          </w:p>
        </w:tc>
        <w:tc>
          <w:tcPr>
            <w:tcW w:w="365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33721A6">
            <w:pPr>
              <w:keepNext w:val="0"/>
              <w:keepLines w:val="0"/>
              <w:widowControl/>
              <w:suppressLineNumbers w:val="0"/>
              <w:autoSpaceDE w:val="0"/>
              <w:autoSpaceDN/>
              <w:snapToGrid w:val="0"/>
              <w:spacing w:before="0" w:beforeAutospacing="0" w:after="0" w:afterAutospacing="0" w:line="360" w:lineRule="auto"/>
              <w:ind w:left="0" w:right="0" w:firstLine="0" w:firstLineChars="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污泥处理能力达到合同要求的290吨/日</w:t>
            </w:r>
            <w:r>
              <w:rPr>
                <w:rFonts w:hint="eastAsia" w:ascii="宋体" w:hAnsi="宋体" w:eastAsia="宋体" w:cs="宋体"/>
                <w:color w:val="auto"/>
                <w:kern w:val="2"/>
                <w:sz w:val="21"/>
                <w:szCs w:val="21"/>
                <w:highlight w:val="none"/>
                <w:lang w:val="en-US" w:eastAsia="zh-CN" w:bidi="ar"/>
              </w:rPr>
              <w:t>（按80%含水率折算，50%含水率对应处理能力为116吨/日）</w:t>
            </w:r>
            <w:r>
              <w:rPr>
                <w:rFonts w:hint="eastAsia" w:ascii="宋体" w:hAnsi="宋体" w:eastAsia="宋体" w:cs="宋体"/>
                <w:bCs/>
                <w:color w:val="auto"/>
                <w:kern w:val="2"/>
                <w:sz w:val="21"/>
                <w:szCs w:val="21"/>
                <w:highlight w:val="none"/>
                <w:lang w:val="en-US" w:eastAsia="zh-CN" w:bidi="ar"/>
              </w:rPr>
              <w:t>及以上，且能根据项目实际需求灵活调整，保障樟村水质净化厂生产不受影响。</w:t>
            </w:r>
          </w:p>
        </w:tc>
        <w:tc>
          <w:tcPr>
            <w:tcW w:w="26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F8E6F86">
            <w:pPr>
              <w:keepNext w:val="0"/>
              <w:keepLines w:val="0"/>
              <w:widowControl/>
              <w:suppressLineNumbers w:val="0"/>
              <w:autoSpaceDE w:val="0"/>
              <w:autoSpaceDN/>
              <w:snapToGrid w:val="0"/>
              <w:spacing w:before="0" w:beforeAutospacing="0" w:after="0" w:afterAutospacing="0" w:line="360" w:lineRule="auto"/>
              <w:ind w:left="0" w:right="0" w:firstLine="0" w:firstLineChars="0"/>
              <w:jc w:val="both"/>
              <w:rPr>
                <w:rFonts w:hint="eastAsia" w:ascii="宋体" w:hAnsi="宋体" w:eastAsia="宋体" w:cs="宋体"/>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达到标准的得满分，污泥处理量不足或无法满足需求，每出现一次扣4分，直至扣完。</w:t>
            </w:r>
          </w:p>
        </w:tc>
        <w:tc>
          <w:tcPr>
            <w:tcW w:w="647" w:type="dxa"/>
            <w:tcBorders>
              <w:top w:val="single" w:color="auto" w:sz="4" w:space="0"/>
              <w:left w:val="single" w:color="auto" w:sz="4" w:space="0"/>
              <w:bottom w:val="single" w:color="auto" w:sz="4" w:space="0"/>
              <w:right w:val="single" w:color="auto" w:sz="4" w:space="0"/>
            </w:tcBorders>
            <w:shd w:val="clear" w:color="auto" w:fill="auto"/>
            <w:vAlign w:val="center"/>
          </w:tcPr>
          <w:p w14:paraId="582124B0">
            <w:pPr>
              <w:keepNext w:val="0"/>
              <w:keepLines w:val="0"/>
              <w:widowControl/>
              <w:suppressLineNumbers w:val="0"/>
              <w:autoSpaceDE w:val="0"/>
              <w:autoSpaceDN/>
              <w:snapToGrid w:val="0"/>
              <w:spacing w:before="0" w:beforeAutospacing="0" w:after="0" w:afterAutospacing="0" w:line="360" w:lineRule="auto"/>
              <w:ind w:left="0" w:right="0" w:firstLine="0" w:firstLineChars="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20</w:t>
            </w:r>
          </w:p>
        </w:tc>
        <w:tc>
          <w:tcPr>
            <w:tcW w:w="647" w:type="dxa"/>
            <w:tcBorders>
              <w:top w:val="single" w:color="auto" w:sz="4" w:space="0"/>
              <w:left w:val="single" w:color="auto" w:sz="4" w:space="0"/>
              <w:bottom w:val="single" w:color="auto" w:sz="4" w:space="0"/>
              <w:right w:val="single" w:color="auto" w:sz="4" w:space="0"/>
            </w:tcBorders>
            <w:shd w:val="clear" w:color="auto" w:fill="auto"/>
            <w:vAlign w:val="center"/>
          </w:tcPr>
          <w:p w14:paraId="100F881B">
            <w:pPr>
              <w:keepNext w:val="0"/>
              <w:keepLines w:val="0"/>
              <w:widowControl/>
              <w:suppressLineNumbers w:val="0"/>
              <w:autoSpaceDE w:val="0"/>
              <w:autoSpaceDN/>
              <w:snapToGrid w:val="0"/>
              <w:spacing w:before="0" w:beforeAutospacing="0" w:after="0" w:afterAutospacing="0" w:line="360" w:lineRule="auto"/>
              <w:ind w:left="0" w:right="0" w:firstLine="0" w:firstLineChars="0"/>
              <w:jc w:val="center"/>
              <w:rPr>
                <w:rFonts w:hint="eastAsia" w:ascii="宋体" w:hAnsi="宋体" w:eastAsia="宋体" w:cs="宋体"/>
                <w:bCs/>
                <w:color w:val="auto"/>
                <w:kern w:val="2"/>
                <w:sz w:val="21"/>
                <w:szCs w:val="21"/>
                <w:highlight w:val="none"/>
              </w:rPr>
            </w:pPr>
          </w:p>
        </w:tc>
        <w:tc>
          <w:tcPr>
            <w:tcW w:w="926" w:type="dxa"/>
            <w:tcBorders>
              <w:top w:val="single" w:color="auto" w:sz="4" w:space="0"/>
              <w:left w:val="single" w:color="auto" w:sz="4" w:space="0"/>
              <w:bottom w:val="single" w:color="auto" w:sz="4" w:space="0"/>
              <w:right w:val="single" w:color="auto" w:sz="4" w:space="0"/>
            </w:tcBorders>
            <w:shd w:val="clear" w:color="auto" w:fill="auto"/>
            <w:vAlign w:val="center"/>
          </w:tcPr>
          <w:p w14:paraId="067158E8">
            <w:pPr>
              <w:keepNext w:val="0"/>
              <w:keepLines w:val="0"/>
              <w:widowControl/>
              <w:suppressLineNumbers w:val="0"/>
              <w:autoSpaceDE w:val="0"/>
              <w:autoSpaceDN/>
              <w:snapToGrid w:val="0"/>
              <w:spacing w:before="0" w:beforeAutospacing="0" w:after="0" w:afterAutospacing="0" w:line="360" w:lineRule="auto"/>
              <w:ind w:left="0" w:right="0" w:firstLine="0" w:firstLineChars="0"/>
              <w:jc w:val="center"/>
              <w:rPr>
                <w:rFonts w:hint="eastAsia" w:ascii="宋体" w:hAnsi="宋体" w:eastAsia="宋体" w:cs="宋体"/>
                <w:bCs/>
                <w:color w:val="auto"/>
                <w:kern w:val="2"/>
                <w:sz w:val="21"/>
                <w:szCs w:val="21"/>
                <w:highlight w:val="none"/>
              </w:rPr>
            </w:pPr>
          </w:p>
        </w:tc>
      </w:tr>
      <w:tr w14:paraId="5C1C0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dxa"/>
            <w:tcBorders>
              <w:top w:val="single" w:color="auto" w:sz="4" w:space="0"/>
              <w:left w:val="single" w:color="auto" w:sz="4" w:space="0"/>
              <w:bottom w:val="single" w:color="auto" w:sz="4" w:space="0"/>
              <w:right w:val="single" w:color="auto" w:sz="4" w:space="0"/>
            </w:tcBorders>
            <w:shd w:val="clear" w:color="auto" w:fill="auto"/>
            <w:vAlign w:val="center"/>
          </w:tcPr>
          <w:p w14:paraId="2B111C95">
            <w:pPr>
              <w:keepNext w:val="0"/>
              <w:keepLines w:val="0"/>
              <w:widowControl/>
              <w:suppressLineNumbers w:val="0"/>
              <w:autoSpaceDE w:val="0"/>
              <w:autoSpaceDN/>
              <w:snapToGrid w:val="0"/>
              <w:spacing w:before="0" w:beforeAutospacing="0" w:after="0" w:afterAutospacing="0" w:line="360" w:lineRule="auto"/>
              <w:ind w:left="0" w:right="0" w:firstLine="0" w:firstLineChars="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w:t>
            </w:r>
          </w:p>
        </w:tc>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14:paraId="5A8DF7A2">
            <w:pPr>
              <w:keepNext w:val="0"/>
              <w:keepLines w:val="0"/>
              <w:widowControl/>
              <w:suppressLineNumbers w:val="0"/>
              <w:autoSpaceDE w:val="0"/>
              <w:autoSpaceDN/>
              <w:snapToGrid w:val="0"/>
              <w:spacing w:before="0" w:beforeAutospacing="0" w:after="0" w:afterAutospacing="0" w:line="360" w:lineRule="auto"/>
              <w:ind w:left="0" w:right="0" w:firstLine="0" w:firstLineChars="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污泥处理质量</w:t>
            </w:r>
          </w:p>
        </w:tc>
        <w:tc>
          <w:tcPr>
            <w:tcW w:w="365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078FF8E">
            <w:pPr>
              <w:keepNext w:val="0"/>
              <w:keepLines w:val="0"/>
              <w:widowControl/>
              <w:numPr>
                <w:ilvl w:val="0"/>
                <w:numId w:val="3"/>
              </w:numPr>
              <w:suppressLineNumbers w:val="0"/>
              <w:autoSpaceDE w:val="0"/>
              <w:autoSpaceDN/>
              <w:snapToGrid w:val="0"/>
              <w:spacing w:before="0" w:beforeAutospacing="0" w:after="0" w:afterAutospacing="0" w:line="360" w:lineRule="auto"/>
              <w:ind w:left="0" w:right="0" w:firstLine="0" w:firstLineChars="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处理后的污泥含水率不高于50%。</w:t>
            </w:r>
          </w:p>
          <w:p w14:paraId="3873CDD1">
            <w:pPr>
              <w:keepNext w:val="0"/>
              <w:keepLines w:val="0"/>
              <w:widowControl/>
              <w:numPr>
                <w:ilvl w:val="0"/>
                <w:numId w:val="3"/>
              </w:numPr>
              <w:suppressLineNumbers w:val="0"/>
              <w:autoSpaceDE w:val="0"/>
              <w:autoSpaceDN/>
              <w:snapToGrid w:val="0"/>
              <w:spacing w:before="0" w:beforeAutospacing="0" w:after="0" w:afterAutospacing="0" w:line="360" w:lineRule="auto"/>
              <w:ind w:left="0" w:right="0" w:firstLine="0" w:firstLineChars="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污泥处理过程中未添加石灰以及含石灰的调理剂。</w:t>
            </w:r>
          </w:p>
          <w:p w14:paraId="1200EE82">
            <w:pPr>
              <w:keepNext w:val="0"/>
              <w:keepLines w:val="0"/>
              <w:widowControl/>
              <w:numPr>
                <w:ilvl w:val="0"/>
                <w:numId w:val="3"/>
              </w:numPr>
              <w:suppressLineNumbers w:val="0"/>
              <w:autoSpaceDE w:val="0"/>
              <w:autoSpaceDN/>
              <w:snapToGrid w:val="0"/>
              <w:spacing w:before="0" w:beforeAutospacing="0" w:after="0" w:afterAutospacing="0" w:line="360" w:lineRule="auto"/>
              <w:ind w:left="0" w:right="0" w:firstLine="0" w:firstLineChars="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污泥减量化处理过程中产生的废水达标排放，且未对樟村厂生产造成影响。</w:t>
            </w:r>
          </w:p>
        </w:tc>
        <w:tc>
          <w:tcPr>
            <w:tcW w:w="26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9F020D8">
            <w:pPr>
              <w:keepNext w:val="0"/>
              <w:keepLines w:val="0"/>
              <w:widowControl/>
              <w:suppressLineNumbers w:val="0"/>
              <w:autoSpaceDE w:val="0"/>
              <w:autoSpaceDN/>
              <w:snapToGrid w:val="0"/>
              <w:spacing w:before="0" w:beforeAutospacing="0" w:after="0" w:afterAutospacing="0" w:line="360" w:lineRule="auto"/>
              <w:ind w:left="0" w:right="0" w:firstLine="0" w:firstLineChars="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达到标准的得满分，每出现一次未达到标准的扣4分，直至扣完。</w:t>
            </w:r>
          </w:p>
        </w:tc>
        <w:tc>
          <w:tcPr>
            <w:tcW w:w="647" w:type="dxa"/>
            <w:tcBorders>
              <w:top w:val="single" w:color="auto" w:sz="4" w:space="0"/>
              <w:left w:val="single" w:color="auto" w:sz="4" w:space="0"/>
              <w:bottom w:val="single" w:color="auto" w:sz="4" w:space="0"/>
              <w:right w:val="single" w:color="auto" w:sz="4" w:space="0"/>
            </w:tcBorders>
            <w:shd w:val="clear" w:color="auto" w:fill="auto"/>
            <w:vAlign w:val="center"/>
          </w:tcPr>
          <w:p w14:paraId="0632CA07">
            <w:pPr>
              <w:keepNext w:val="0"/>
              <w:keepLines w:val="0"/>
              <w:widowControl/>
              <w:suppressLineNumbers w:val="0"/>
              <w:autoSpaceDE w:val="0"/>
              <w:autoSpaceDN/>
              <w:snapToGrid w:val="0"/>
              <w:spacing w:before="0" w:beforeAutospacing="0" w:after="0" w:afterAutospacing="0" w:line="360" w:lineRule="auto"/>
              <w:ind w:left="0" w:right="0" w:firstLine="0" w:firstLineChars="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20</w:t>
            </w:r>
          </w:p>
        </w:tc>
        <w:tc>
          <w:tcPr>
            <w:tcW w:w="647" w:type="dxa"/>
            <w:tcBorders>
              <w:top w:val="single" w:color="auto" w:sz="4" w:space="0"/>
              <w:left w:val="single" w:color="auto" w:sz="4" w:space="0"/>
              <w:bottom w:val="single" w:color="auto" w:sz="4" w:space="0"/>
              <w:right w:val="single" w:color="auto" w:sz="4" w:space="0"/>
            </w:tcBorders>
            <w:shd w:val="clear" w:color="auto" w:fill="auto"/>
            <w:vAlign w:val="center"/>
          </w:tcPr>
          <w:p w14:paraId="3C17243A">
            <w:pPr>
              <w:keepNext w:val="0"/>
              <w:keepLines w:val="0"/>
              <w:widowControl/>
              <w:suppressLineNumbers w:val="0"/>
              <w:autoSpaceDE w:val="0"/>
              <w:autoSpaceDN/>
              <w:snapToGrid w:val="0"/>
              <w:spacing w:before="0" w:beforeAutospacing="0" w:after="0" w:afterAutospacing="0" w:line="360" w:lineRule="auto"/>
              <w:ind w:left="0" w:right="0" w:firstLine="0" w:firstLineChars="0"/>
              <w:jc w:val="center"/>
              <w:rPr>
                <w:rFonts w:hint="eastAsia" w:ascii="宋体" w:hAnsi="宋体" w:eastAsia="宋体" w:cs="宋体"/>
                <w:bCs/>
                <w:color w:val="auto"/>
                <w:kern w:val="2"/>
                <w:sz w:val="21"/>
                <w:szCs w:val="21"/>
                <w:highlight w:val="none"/>
              </w:rPr>
            </w:pPr>
          </w:p>
        </w:tc>
        <w:tc>
          <w:tcPr>
            <w:tcW w:w="926" w:type="dxa"/>
            <w:tcBorders>
              <w:top w:val="single" w:color="auto" w:sz="4" w:space="0"/>
              <w:left w:val="single" w:color="auto" w:sz="4" w:space="0"/>
              <w:bottom w:val="single" w:color="auto" w:sz="4" w:space="0"/>
              <w:right w:val="single" w:color="auto" w:sz="4" w:space="0"/>
            </w:tcBorders>
            <w:shd w:val="clear" w:color="auto" w:fill="auto"/>
            <w:vAlign w:val="center"/>
          </w:tcPr>
          <w:p w14:paraId="010784BE">
            <w:pPr>
              <w:keepNext w:val="0"/>
              <w:keepLines w:val="0"/>
              <w:widowControl/>
              <w:suppressLineNumbers w:val="0"/>
              <w:autoSpaceDE w:val="0"/>
              <w:autoSpaceDN/>
              <w:snapToGrid w:val="0"/>
              <w:spacing w:before="0" w:beforeAutospacing="0" w:after="0" w:afterAutospacing="0" w:line="360" w:lineRule="auto"/>
              <w:ind w:left="0" w:right="0" w:firstLine="0" w:firstLineChars="0"/>
              <w:jc w:val="center"/>
              <w:rPr>
                <w:rFonts w:hint="eastAsia" w:ascii="宋体" w:hAnsi="宋体" w:eastAsia="宋体" w:cs="宋体"/>
                <w:bCs/>
                <w:color w:val="auto"/>
                <w:kern w:val="2"/>
                <w:sz w:val="21"/>
                <w:szCs w:val="21"/>
                <w:highlight w:val="none"/>
              </w:rPr>
            </w:pPr>
          </w:p>
        </w:tc>
      </w:tr>
      <w:tr w14:paraId="2D00B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dxa"/>
            <w:tcBorders>
              <w:top w:val="single" w:color="auto" w:sz="4" w:space="0"/>
              <w:left w:val="single" w:color="auto" w:sz="4" w:space="0"/>
              <w:bottom w:val="single" w:color="auto" w:sz="4" w:space="0"/>
              <w:right w:val="single" w:color="auto" w:sz="4" w:space="0"/>
            </w:tcBorders>
            <w:shd w:val="clear" w:color="auto" w:fill="auto"/>
            <w:vAlign w:val="center"/>
          </w:tcPr>
          <w:p w14:paraId="7DB5E945">
            <w:pPr>
              <w:keepNext w:val="0"/>
              <w:keepLines w:val="0"/>
              <w:widowControl/>
              <w:suppressLineNumbers w:val="0"/>
              <w:autoSpaceDE w:val="0"/>
              <w:autoSpaceDN/>
              <w:snapToGrid w:val="0"/>
              <w:spacing w:before="0" w:beforeAutospacing="0" w:after="0" w:afterAutospacing="0" w:line="360" w:lineRule="auto"/>
              <w:ind w:left="0" w:right="0" w:firstLine="0" w:firstLineChars="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3</w:t>
            </w:r>
          </w:p>
        </w:tc>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14:paraId="0822D251">
            <w:pPr>
              <w:keepNext w:val="0"/>
              <w:keepLines w:val="0"/>
              <w:widowControl/>
              <w:suppressLineNumbers w:val="0"/>
              <w:autoSpaceDE w:val="0"/>
              <w:autoSpaceDN/>
              <w:snapToGrid w:val="0"/>
              <w:spacing w:before="0" w:beforeAutospacing="0" w:after="0" w:afterAutospacing="0" w:line="360" w:lineRule="auto"/>
              <w:ind w:left="0" w:leftChars="0" w:right="0" w:firstLine="0" w:firstLineChars="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设备设施管理</w:t>
            </w:r>
          </w:p>
        </w:tc>
        <w:tc>
          <w:tcPr>
            <w:tcW w:w="365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4C931E0">
            <w:pPr>
              <w:keepNext w:val="0"/>
              <w:keepLines w:val="0"/>
              <w:widowControl/>
              <w:suppressLineNumbers w:val="0"/>
              <w:autoSpaceDE w:val="0"/>
              <w:autoSpaceDN/>
              <w:snapToGrid w:val="0"/>
              <w:spacing w:before="0" w:beforeAutospacing="0" w:after="0" w:afterAutospacing="0" w:line="360" w:lineRule="auto"/>
              <w:ind w:left="0" w:right="0" w:firstLine="0" w:firstLineChars="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污泥处理设备设施齐全、运行正常，维护保养及时，更新改造或重置符合项目运营需求，无因设备问题导致的污泥处理延误，影响生产。</w:t>
            </w:r>
          </w:p>
        </w:tc>
        <w:tc>
          <w:tcPr>
            <w:tcW w:w="26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E8ADE07">
            <w:pPr>
              <w:keepNext w:val="0"/>
              <w:keepLines w:val="0"/>
              <w:widowControl/>
              <w:suppressLineNumbers w:val="0"/>
              <w:autoSpaceDE w:val="0"/>
              <w:autoSpaceDN/>
              <w:snapToGrid w:val="0"/>
              <w:spacing w:before="0" w:beforeAutospacing="0" w:after="0" w:afterAutospacing="0" w:line="360" w:lineRule="auto"/>
              <w:ind w:left="0" w:right="0" w:firstLine="0" w:firstLineChars="0"/>
              <w:jc w:val="both"/>
              <w:rPr>
                <w:rFonts w:hint="eastAsia" w:ascii="宋体" w:hAnsi="宋体" w:eastAsia="宋体" w:cs="宋体"/>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达到标准的得满分，每出现一次因设备问题导致的污泥处理延误且影响生产的扣3分，直至扣完。</w:t>
            </w:r>
          </w:p>
        </w:tc>
        <w:tc>
          <w:tcPr>
            <w:tcW w:w="647" w:type="dxa"/>
            <w:tcBorders>
              <w:top w:val="single" w:color="auto" w:sz="4" w:space="0"/>
              <w:left w:val="single" w:color="auto" w:sz="4" w:space="0"/>
              <w:bottom w:val="single" w:color="auto" w:sz="4" w:space="0"/>
              <w:right w:val="single" w:color="auto" w:sz="4" w:space="0"/>
            </w:tcBorders>
            <w:shd w:val="clear" w:color="auto" w:fill="auto"/>
            <w:vAlign w:val="center"/>
          </w:tcPr>
          <w:p w14:paraId="6EB47A43">
            <w:pPr>
              <w:keepNext w:val="0"/>
              <w:keepLines w:val="0"/>
              <w:widowControl/>
              <w:suppressLineNumbers w:val="0"/>
              <w:autoSpaceDE w:val="0"/>
              <w:autoSpaceDN/>
              <w:snapToGrid w:val="0"/>
              <w:spacing w:before="0" w:beforeAutospacing="0" w:after="0" w:afterAutospacing="0" w:line="360" w:lineRule="auto"/>
              <w:ind w:left="0" w:right="0" w:firstLine="0" w:firstLineChars="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15</w:t>
            </w:r>
          </w:p>
        </w:tc>
        <w:tc>
          <w:tcPr>
            <w:tcW w:w="647" w:type="dxa"/>
            <w:tcBorders>
              <w:top w:val="single" w:color="auto" w:sz="4" w:space="0"/>
              <w:left w:val="single" w:color="auto" w:sz="4" w:space="0"/>
              <w:bottom w:val="single" w:color="auto" w:sz="4" w:space="0"/>
              <w:right w:val="single" w:color="auto" w:sz="4" w:space="0"/>
            </w:tcBorders>
            <w:shd w:val="clear" w:color="auto" w:fill="auto"/>
            <w:vAlign w:val="center"/>
          </w:tcPr>
          <w:p w14:paraId="7EB31BF7">
            <w:pPr>
              <w:keepNext w:val="0"/>
              <w:keepLines w:val="0"/>
              <w:widowControl/>
              <w:suppressLineNumbers w:val="0"/>
              <w:autoSpaceDE w:val="0"/>
              <w:autoSpaceDN/>
              <w:snapToGrid w:val="0"/>
              <w:spacing w:before="0" w:beforeAutospacing="0" w:after="0" w:afterAutospacing="0" w:line="360" w:lineRule="auto"/>
              <w:ind w:left="0" w:right="0" w:firstLine="0" w:firstLineChars="0"/>
              <w:jc w:val="center"/>
              <w:rPr>
                <w:rFonts w:hint="eastAsia" w:ascii="宋体" w:hAnsi="宋体" w:eastAsia="宋体" w:cs="宋体"/>
                <w:bCs/>
                <w:color w:val="auto"/>
                <w:kern w:val="2"/>
                <w:sz w:val="21"/>
                <w:szCs w:val="21"/>
                <w:highlight w:val="none"/>
              </w:rPr>
            </w:pPr>
          </w:p>
        </w:tc>
        <w:tc>
          <w:tcPr>
            <w:tcW w:w="926" w:type="dxa"/>
            <w:tcBorders>
              <w:top w:val="single" w:color="auto" w:sz="4" w:space="0"/>
              <w:left w:val="single" w:color="auto" w:sz="4" w:space="0"/>
              <w:bottom w:val="single" w:color="auto" w:sz="4" w:space="0"/>
              <w:right w:val="single" w:color="auto" w:sz="4" w:space="0"/>
            </w:tcBorders>
            <w:shd w:val="clear" w:color="auto" w:fill="auto"/>
            <w:vAlign w:val="center"/>
          </w:tcPr>
          <w:p w14:paraId="0FF7C4F9">
            <w:pPr>
              <w:keepNext w:val="0"/>
              <w:keepLines w:val="0"/>
              <w:widowControl/>
              <w:suppressLineNumbers w:val="0"/>
              <w:autoSpaceDE w:val="0"/>
              <w:autoSpaceDN/>
              <w:snapToGrid w:val="0"/>
              <w:spacing w:before="0" w:beforeAutospacing="0" w:after="0" w:afterAutospacing="0" w:line="360" w:lineRule="auto"/>
              <w:ind w:left="0" w:right="0" w:firstLine="0" w:firstLineChars="0"/>
              <w:jc w:val="center"/>
              <w:rPr>
                <w:rFonts w:hint="eastAsia" w:ascii="宋体" w:hAnsi="宋体" w:eastAsia="宋体" w:cs="宋体"/>
                <w:bCs/>
                <w:color w:val="auto"/>
                <w:kern w:val="2"/>
                <w:sz w:val="21"/>
                <w:szCs w:val="21"/>
                <w:highlight w:val="none"/>
              </w:rPr>
            </w:pPr>
          </w:p>
        </w:tc>
      </w:tr>
      <w:tr w14:paraId="4B502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dxa"/>
            <w:tcBorders>
              <w:top w:val="single" w:color="auto" w:sz="4" w:space="0"/>
              <w:left w:val="single" w:color="auto" w:sz="4" w:space="0"/>
              <w:bottom w:val="single" w:color="auto" w:sz="4" w:space="0"/>
              <w:right w:val="single" w:color="auto" w:sz="4" w:space="0"/>
            </w:tcBorders>
            <w:shd w:val="clear" w:color="auto" w:fill="auto"/>
            <w:vAlign w:val="center"/>
          </w:tcPr>
          <w:p w14:paraId="6DA09494">
            <w:pPr>
              <w:keepNext w:val="0"/>
              <w:keepLines w:val="0"/>
              <w:widowControl/>
              <w:suppressLineNumbers w:val="0"/>
              <w:autoSpaceDE w:val="0"/>
              <w:autoSpaceDN/>
              <w:snapToGrid w:val="0"/>
              <w:spacing w:before="0" w:beforeAutospacing="0" w:after="0" w:afterAutospacing="0" w:line="360" w:lineRule="auto"/>
              <w:ind w:left="0" w:right="0" w:firstLine="0" w:firstLineChars="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4</w:t>
            </w:r>
          </w:p>
        </w:tc>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14:paraId="1E474980">
            <w:pPr>
              <w:keepNext w:val="0"/>
              <w:keepLines w:val="0"/>
              <w:widowControl/>
              <w:suppressLineNumbers w:val="0"/>
              <w:autoSpaceDE w:val="0"/>
              <w:autoSpaceDN/>
              <w:snapToGrid w:val="0"/>
              <w:spacing w:before="0" w:beforeAutospacing="0" w:after="0" w:afterAutospacing="0" w:line="360" w:lineRule="auto"/>
              <w:ind w:left="0" w:leftChars="0" w:right="0" w:firstLine="0" w:firstLineChars="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安全生产管理</w:t>
            </w:r>
          </w:p>
        </w:tc>
        <w:tc>
          <w:tcPr>
            <w:tcW w:w="365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4C11CC4">
            <w:pPr>
              <w:keepNext w:val="0"/>
              <w:keepLines w:val="0"/>
              <w:widowControl/>
              <w:suppressLineNumbers w:val="0"/>
              <w:autoSpaceDE w:val="0"/>
              <w:autoSpaceDN/>
              <w:snapToGrid w:val="0"/>
              <w:spacing w:before="0" w:beforeAutospacing="0" w:after="0" w:afterAutospacing="0" w:line="360" w:lineRule="auto"/>
              <w:ind w:left="0" w:right="0" w:firstLine="0" w:firstLineChars="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（1）建立安全管理制度，安全生产事故报告制度、安全生产应急预防方案；</w:t>
            </w:r>
          </w:p>
          <w:p w14:paraId="26E169F2">
            <w:pPr>
              <w:keepNext w:val="0"/>
              <w:keepLines w:val="0"/>
              <w:widowControl/>
              <w:suppressLineNumbers w:val="0"/>
              <w:autoSpaceDE w:val="0"/>
              <w:autoSpaceDN/>
              <w:snapToGrid w:val="0"/>
              <w:spacing w:before="0" w:beforeAutospacing="0" w:after="0" w:afterAutospacing="0" w:line="360" w:lineRule="auto"/>
              <w:ind w:left="0" w:right="0" w:firstLine="0" w:firstLineChars="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（2）每月定期进行安全隐患排查。</w:t>
            </w:r>
          </w:p>
        </w:tc>
        <w:tc>
          <w:tcPr>
            <w:tcW w:w="26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F9B63BC">
            <w:pPr>
              <w:keepNext w:val="0"/>
              <w:keepLines w:val="0"/>
              <w:widowControl/>
              <w:suppressLineNumbers w:val="0"/>
              <w:autoSpaceDE w:val="0"/>
              <w:autoSpaceDN/>
              <w:snapToGrid w:val="0"/>
              <w:spacing w:before="0" w:beforeAutospacing="0" w:after="0" w:afterAutospacing="0" w:line="360" w:lineRule="auto"/>
              <w:ind w:left="0" w:right="0" w:firstLine="0" w:firstLineChars="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达到标准的得满分，每出现一次未达到标准的扣3分，直至扣完。</w:t>
            </w:r>
          </w:p>
        </w:tc>
        <w:tc>
          <w:tcPr>
            <w:tcW w:w="647" w:type="dxa"/>
            <w:tcBorders>
              <w:top w:val="single" w:color="auto" w:sz="4" w:space="0"/>
              <w:left w:val="single" w:color="auto" w:sz="4" w:space="0"/>
              <w:bottom w:val="single" w:color="auto" w:sz="4" w:space="0"/>
              <w:right w:val="single" w:color="auto" w:sz="4" w:space="0"/>
            </w:tcBorders>
            <w:shd w:val="clear" w:color="auto" w:fill="auto"/>
            <w:vAlign w:val="center"/>
          </w:tcPr>
          <w:p w14:paraId="7312A22F">
            <w:pPr>
              <w:keepNext w:val="0"/>
              <w:keepLines w:val="0"/>
              <w:widowControl/>
              <w:suppressLineNumbers w:val="0"/>
              <w:autoSpaceDE w:val="0"/>
              <w:autoSpaceDN/>
              <w:snapToGrid w:val="0"/>
              <w:spacing w:before="0" w:beforeAutospacing="0" w:after="0" w:afterAutospacing="0" w:line="360" w:lineRule="auto"/>
              <w:ind w:left="0" w:right="0" w:firstLine="0" w:firstLineChars="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15</w:t>
            </w:r>
          </w:p>
        </w:tc>
        <w:tc>
          <w:tcPr>
            <w:tcW w:w="647" w:type="dxa"/>
            <w:tcBorders>
              <w:top w:val="single" w:color="auto" w:sz="4" w:space="0"/>
              <w:left w:val="single" w:color="auto" w:sz="4" w:space="0"/>
              <w:bottom w:val="single" w:color="auto" w:sz="4" w:space="0"/>
              <w:right w:val="single" w:color="auto" w:sz="4" w:space="0"/>
            </w:tcBorders>
            <w:shd w:val="clear" w:color="auto" w:fill="auto"/>
            <w:vAlign w:val="center"/>
          </w:tcPr>
          <w:p w14:paraId="3913DB51">
            <w:pPr>
              <w:keepNext w:val="0"/>
              <w:keepLines w:val="0"/>
              <w:widowControl/>
              <w:suppressLineNumbers w:val="0"/>
              <w:autoSpaceDE w:val="0"/>
              <w:autoSpaceDN/>
              <w:snapToGrid w:val="0"/>
              <w:spacing w:before="0" w:beforeAutospacing="0" w:after="0" w:afterAutospacing="0" w:line="360" w:lineRule="auto"/>
              <w:ind w:left="0" w:right="0" w:firstLine="0" w:firstLineChars="0"/>
              <w:jc w:val="center"/>
              <w:rPr>
                <w:rFonts w:hint="eastAsia" w:ascii="宋体" w:hAnsi="宋体" w:eastAsia="宋体" w:cs="宋体"/>
                <w:bCs/>
                <w:color w:val="auto"/>
                <w:kern w:val="2"/>
                <w:sz w:val="21"/>
                <w:szCs w:val="21"/>
                <w:highlight w:val="none"/>
              </w:rPr>
            </w:pPr>
          </w:p>
        </w:tc>
        <w:tc>
          <w:tcPr>
            <w:tcW w:w="926" w:type="dxa"/>
            <w:tcBorders>
              <w:top w:val="single" w:color="auto" w:sz="4" w:space="0"/>
              <w:left w:val="single" w:color="auto" w:sz="4" w:space="0"/>
              <w:bottom w:val="single" w:color="auto" w:sz="4" w:space="0"/>
              <w:right w:val="single" w:color="auto" w:sz="4" w:space="0"/>
            </w:tcBorders>
            <w:shd w:val="clear" w:color="auto" w:fill="auto"/>
            <w:vAlign w:val="center"/>
          </w:tcPr>
          <w:p w14:paraId="6F6902C9">
            <w:pPr>
              <w:keepNext w:val="0"/>
              <w:keepLines w:val="0"/>
              <w:widowControl/>
              <w:suppressLineNumbers w:val="0"/>
              <w:autoSpaceDE w:val="0"/>
              <w:autoSpaceDN/>
              <w:snapToGrid w:val="0"/>
              <w:spacing w:before="0" w:beforeAutospacing="0" w:after="0" w:afterAutospacing="0" w:line="360" w:lineRule="auto"/>
              <w:ind w:left="0" w:right="0" w:firstLine="0" w:firstLineChars="0"/>
              <w:jc w:val="center"/>
              <w:rPr>
                <w:rFonts w:hint="eastAsia" w:ascii="宋体" w:hAnsi="宋体" w:eastAsia="宋体" w:cs="宋体"/>
                <w:bCs/>
                <w:color w:val="auto"/>
                <w:kern w:val="2"/>
                <w:sz w:val="21"/>
                <w:szCs w:val="21"/>
                <w:highlight w:val="none"/>
              </w:rPr>
            </w:pPr>
          </w:p>
        </w:tc>
      </w:tr>
      <w:tr w14:paraId="18C7B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dxa"/>
            <w:tcBorders>
              <w:top w:val="single" w:color="auto" w:sz="4" w:space="0"/>
              <w:left w:val="single" w:color="auto" w:sz="4" w:space="0"/>
              <w:bottom w:val="single" w:color="auto" w:sz="4" w:space="0"/>
              <w:right w:val="single" w:color="auto" w:sz="4" w:space="0"/>
            </w:tcBorders>
            <w:shd w:val="clear" w:color="auto" w:fill="auto"/>
            <w:vAlign w:val="center"/>
          </w:tcPr>
          <w:p w14:paraId="7F6CDD87">
            <w:pPr>
              <w:keepNext w:val="0"/>
              <w:keepLines w:val="0"/>
              <w:widowControl/>
              <w:suppressLineNumbers w:val="0"/>
              <w:autoSpaceDE w:val="0"/>
              <w:autoSpaceDN/>
              <w:snapToGrid w:val="0"/>
              <w:spacing w:before="0" w:beforeAutospacing="0" w:after="0" w:afterAutospacing="0" w:line="360" w:lineRule="auto"/>
              <w:ind w:left="0" w:right="0" w:firstLine="0" w:firstLineChars="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5</w:t>
            </w:r>
          </w:p>
        </w:tc>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14:paraId="4ABBFC2C">
            <w:pPr>
              <w:keepNext w:val="0"/>
              <w:keepLines w:val="0"/>
              <w:widowControl/>
              <w:suppressLineNumbers w:val="0"/>
              <w:autoSpaceDE w:val="0"/>
              <w:autoSpaceDN/>
              <w:snapToGrid w:val="0"/>
              <w:spacing w:before="0" w:beforeAutospacing="0" w:after="0" w:afterAutospacing="0" w:line="360" w:lineRule="auto"/>
              <w:ind w:left="0" w:right="0" w:firstLine="0" w:firstLineChars="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污泥运输与处置</w:t>
            </w:r>
          </w:p>
        </w:tc>
        <w:tc>
          <w:tcPr>
            <w:tcW w:w="365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B6C8314">
            <w:pPr>
              <w:keepNext w:val="0"/>
              <w:keepLines w:val="0"/>
              <w:widowControl/>
              <w:numPr>
                <w:ilvl w:val="0"/>
                <w:numId w:val="4"/>
              </w:numPr>
              <w:suppressLineNumbers w:val="0"/>
              <w:autoSpaceDE w:val="0"/>
              <w:autoSpaceDN/>
              <w:snapToGrid w:val="0"/>
              <w:spacing w:before="0" w:beforeAutospacing="0" w:after="0" w:afterAutospacing="0" w:line="360" w:lineRule="auto"/>
              <w:ind w:left="0" w:right="0" w:firstLine="0" w:firstLineChars="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污泥运输规范，运输车辆符合要求，无泄漏、超载、按备案路线运输。</w:t>
            </w:r>
          </w:p>
          <w:p w14:paraId="5C68E618">
            <w:pPr>
              <w:keepNext w:val="0"/>
              <w:keepLines w:val="0"/>
              <w:widowControl/>
              <w:numPr>
                <w:ilvl w:val="0"/>
                <w:numId w:val="4"/>
              </w:numPr>
              <w:suppressLineNumbers w:val="0"/>
              <w:autoSpaceDE w:val="0"/>
              <w:autoSpaceDN/>
              <w:snapToGrid w:val="0"/>
              <w:spacing w:before="0" w:beforeAutospacing="0" w:after="0" w:afterAutospacing="0" w:line="360" w:lineRule="auto"/>
              <w:ind w:left="0" w:right="0" w:firstLine="0" w:firstLineChars="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处置合法合规，无中间装卸、中转存放或堆放，无偷倒、丢弃、填埋等违规行为。</w:t>
            </w:r>
          </w:p>
        </w:tc>
        <w:tc>
          <w:tcPr>
            <w:tcW w:w="26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0152B14">
            <w:pPr>
              <w:keepNext w:val="0"/>
              <w:keepLines w:val="0"/>
              <w:widowControl/>
              <w:suppressLineNumbers w:val="0"/>
              <w:autoSpaceDE w:val="0"/>
              <w:autoSpaceDN/>
              <w:snapToGrid w:val="0"/>
              <w:spacing w:before="0" w:beforeAutospacing="0" w:after="0" w:afterAutospacing="0" w:line="360" w:lineRule="auto"/>
              <w:ind w:left="0" w:right="0" w:firstLine="0" w:firstLineChars="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达到标准的得满分，第（1）项每出现一次未达到标准的扣2分，第（2）项每出现一次未达到标准的扣4分，直至扣完。</w:t>
            </w:r>
          </w:p>
        </w:tc>
        <w:tc>
          <w:tcPr>
            <w:tcW w:w="647" w:type="dxa"/>
            <w:tcBorders>
              <w:top w:val="single" w:color="auto" w:sz="4" w:space="0"/>
              <w:left w:val="single" w:color="auto" w:sz="4" w:space="0"/>
              <w:bottom w:val="single" w:color="auto" w:sz="4" w:space="0"/>
              <w:right w:val="single" w:color="auto" w:sz="4" w:space="0"/>
            </w:tcBorders>
            <w:shd w:val="clear" w:color="auto" w:fill="auto"/>
            <w:vAlign w:val="center"/>
          </w:tcPr>
          <w:p w14:paraId="32A4ACFE">
            <w:pPr>
              <w:keepNext w:val="0"/>
              <w:keepLines w:val="0"/>
              <w:widowControl/>
              <w:suppressLineNumbers w:val="0"/>
              <w:autoSpaceDE w:val="0"/>
              <w:autoSpaceDN/>
              <w:snapToGrid w:val="0"/>
              <w:spacing w:before="0" w:beforeAutospacing="0" w:after="0" w:afterAutospacing="0" w:line="360" w:lineRule="auto"/>
              <w:ind w:left="0" w:right="0" w:firstLine="0" w:firstLineChars="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20</w:t>
            </w:r>
          </w:p>
        </w:tc>
        <w:tc>
          <w:tcPr>
            <w:tcW w:w="647" w:type="dxa"/>
            <w:tcBorders>
              <w:top w:val="single" w:color="auto" w:sz="4" w:space="0"/>
              <w:left w:val="single" w:color="auto" w:sz="4" w:space="0"/>
              <w:bottom w:val="single" w:color="auto" w:sz="4" w:space="0"/>
              <w:right w:val="single" w:color="auto" w:sz="4" w:space="0"/>
            </w:tcBorders>
            <w:shd w:val="clear" w:color="auto" w:fill="auto"/>
            <w:vAlign w:val="center"/>
          </w:tcPr>
          <w:p w14:paraId="2ED82676">
            <w:pPr>
              <w:keepNext w:val="0"/>
              <w:keepLines w:val="0"/>
              <w:widowControl/>
              <w:suppressLineNumbers w:val="0"/>
              <w:autoSpaceDE w:val="0"/>
              <w:autoSpaceDN/>
              <w:snapToGrid w:val="0"/>
              <w:spacing w:before="0" w:beforeAutospacing="0" w:after="0" w:afterAutospacing="0" w:line="360" w:lineRule="auto"/>
              <w:ind w:left="0" w:right="0" w:firstLine="0" w:firstLineChars="0"/>
              <w:jc w:val="center"/>
              <w:rPr>
                <w:rFonts w:hint="eastAsia" w:ascii="宋体" w:hAnsi="宋体" w:eastAsia="宋体" w:cs="宋体"/>
                <w:bCs/>
                <w:color w:val="auto"/>
                <w:kern w:val="2"/>
                <w:sz w:val="21"/>
                <w:szCs w:val="21"/>
                <w:highlight w:val="none"/>
              </w:rPr>
            </w:pPr>
          </w:p>
        </w:tc>
        <w:tc>
          <w:tcPr>
            <w:tcW w:w="926" w:type="dxa"/>
            <w:tcBorders>
              <w:top w:val="single" w:color="auto" w:sz="4" w:space="0"/>
              <w:left w:val="single" w:color="auto" w:sz="4" w:space="0"/>
              <w:bottom w:val="single" w:color="auto" w:sz="4" w:space="0"/>
              <w:right w:val="single" w:color="auto" w:sz="4" w:space="0"/>
            </w:tcBorders>
            <w:shd w:val="clear" w:color="auto" w:fill="auto"/>
            <w:vAlign w:val="center"/>
          </w:tcPr>
          <w:p w14:paraId="5FCE40AD">
            <w:pPr>
              <w:keepNext w:val="0"/>
              <w:keepLines w:val="0"/>
              <w:widowControl/>
              <w:suppressLineNumbers w:val="0"/>
              <w:autoSpaceDE w:val="0"/>
              <w:autoSpaceDN/>
              <w:snapToGrid w:val="0"/>
              <w:spacing w:before="0" w:beforeAutospacing="0" w:after="0" w:afterAutospacing="0" w:line="360" w:lineRule="auto"/>
              <w:ind w:left="0" w:right="0" w:firstLine="0" w:firstLineChars="0"/>
              <w:jc w:val="center"/>
              <w:rPr>
                <w:rFonts w:hint="eastAsia" w:ascii="宋体" w:hAnsi="宋体" w:eastAsia="宋体" w:cs="宋体"/>
                <w:bCs/>
                <w:color w:val="auto"/>
                <w:kern w:val="2"/>
                <w:sz w:val="21"/>
                <w:szCs w:val="21"/>
                <w:highlight w:val="none"/>
              </w:rPr>
            </w:pPr>
          </w:p>
        </w:tc>
      </w:tr>
      <w:tr w14:paraId="3CC66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dxa"/>
            <w:tcBorders>
              <w:top w:val="single" w:color="auto" w:sz="4" w:space="0"/>
              <w:left w:val="single" w:color="auto" w:sz="4" w:space="0"/>
              <w:bottom w:val="single" w:color="auto" w:sz="4" w:space="0"/>
              <w:right w:val="single" w:color="auto" w:sz="4" w:space="0"/>
            </w:tcBorders>
            <w:shd w:val="clear" w:color="auto" w:fill="auto"/>
            <w:vAlign w:val="center"/>
          </w:tcPr>
          <w:p w14:paraId="6936C46A">
            <w:pPr>
              <w:keepNext w:val="0"/>
              <w:keepLines w:val="0"/>
              <w:widowControl/>
              <w:suppressLineNumbers w:val="0"/>
              <w:autoSpaceDE w:val="0"/>
              <w:autoSpaceDN/>
              <w:snapToGrid w:val="0"/>
              <w:spacing w:before="0" w:beforeAutospacing="0" w:after="0" w:afterAutospacing="0" w:line="360" w:lineRule="auto"/>
              <w:ind w:left="0" w:right="0" w:firstLine="0" w:firstLineChars="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6</w:t>
            </w:r>
          </w:p>
        </w:tc>
        <w:tc>
          <w:tcPr>
            <w:tcW w:w="1284" w:type="dxa"/>
            <w:tcBorders>
              <w:top w:val="single" w:color="auto" w:sz="4" w:space="0"/>
              <w:left w:val="single" w:color="auto" w:sz="4" w:space="0"/>
              <w:bottom w:val="single" w:color="auto" w:sz="4" w:space="0"/>
              <w:right w:val="single" w:color="auto" w:sz="4" w:space="0"/>
            </w:tcBorders>
            <w:shd w:val="clear" w:color="auto" w:fill="auto"/>
            <w:vAlign w:val="center"/>
          </w:tcPr>
          <w:p w14:paraId="238C44AC">
            <w:pPr>
              <w:keepNext w:val="0"/>
              <w:keepLines w:val="0"/>
              <w:widowControl/>
              <w:suppressLineNumbers w:val="0"/>
              <w:autoSpaceDE w:val="0"/>
              <w:autoSpaceDN/>
              <w:snapToGrid w:val="0"/>
              <w:spacing w:before="0" w:beforeAutospacing="0" w:after="0" w:afterAutospacing="0" w:line="360" w:lineRule="auto"/>
              <w:ind w:left="0" w:right="0" w:firstLine="0" w:firstLineChars="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售后服务</w:t>
            </w:r>
          </w:p>
        </w:tc>
        <w:tc>
          <w:tcPr>
            <w:tcW w:w="365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FD5BB03">
            <w:pPr>
              <w:keepNext w:val="0"/>
              <w:keepLines w:val="0"/>
              <w:widowControl/>
              <w:numPr>
                <w:ilvl w:val="0"/>
                <w:numId w:val="5"/>
              </w:numPr>
              <w:suppressLineNumbers w:val="0"/>
              <w:autoSpaceDE w:val="0"/>
              <w:autoSpaceDN/>
              <w:snapToGrid w:val="0"/>
              <w:spacing w:before="0" w:beforeAutospacing="0" w:after="0" w:afterAutospacing="0" w:line="360" w:lineRule="auto"/>
              <w:ind w:left="0" w:right="0" w:firstLine="0" w:firstLineChars="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污泥台账、每季度检测报告及时提交；</w:t>
            </w:r>
          </w:p>
          <w:p w14:paraId="4865ECB2">
            <w:pPr>
              <w:pStyle w:val="34"/>
              <w:keepNext w:val="0"/>
              <w:keepLines w:val="0"/>
              <w:widowControl w:val="0"/>
              <w:numPr>
                <w:ilvl w:val="0"/>
                <w:numId w:val="5"/>
              </w:numPr>
              <w:suppressLineNumbers w:val="0"/>
              <w:autoSpaceDE w:val="0"/>
              <w:autoSpaceDN w:val="0"/>
              <w:adjustRightInd w:val="0"/>
              <w:spacing w:before="0" w:beforeAutospacing="1" w:after="0" w:afterAutospacing="1"/>
              <w:ind w:left="0" w:leftChars="0" w:right="-26" w:rightChars="0" w:firstLine="0" w:firstLineChars="0"/>
              <w:jc w:val="both"/>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响应及时，能迅速解决污泥处理过程中出现的问题，服务态度良好；</w:t>
            </w:r>
          </w:p>
          <w:p w14:paraId="121EED4D">
            <w:pPr>
              <w:pStyle w:val="34"/>
              <w:keepNext w:val="0"/>
              <w:keepLines w:val="0"/>
              <w:widowControl w:val="0"/>
              <w:suppressLineNumbers w:val="0"/>
              <w:autoSpaceDE w:val="0"/>
              <w:autoSpaceDN w:val="0"/>
              <w:adjustRightInd w:val="0"/>
              <w:spacing w:before="0" w:beforeAutospacing="1" w:after="0" w:afterAutospacing="1"/>
              <w:ind w:left="0" w:leftChars="0" w:right="-26" w:rightChars="0"/>
              <w:jc w:val="both"/>
              <w:rPr>
                <w:rFonts w:hint="eastAsia" w:ascii="宋体" w:hAnsi="宋体" w:eastAsia="宋体" w:cs="宋体"/>
                <w:b/>
                <w:bCs/>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bidi="ar"/>
              </w:rPr>
              <w:t>（3）积极协助甲方接受政府管理部门的检查工作及提供各类资质证明材料；</w:t>
            </w:r>
          </w:p>
        </w:tc>
        <w:tc>
          <w:tcPr>
            <w:tcW w:w="26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64E23E5">
            <w:pPr>
              <w:keepNext w:val="0"/>
              <w:keepLines w:val="0"/>
              <w:widowControl/>
              <w:suppressLineNumbers w:val="0"/>
              <w:autoSpaceDE w:val="0"/>
              <w:autoSpaceDN/>
              <w:snapToGrid w:val="0"/>
              <w:spacing w:before="0" w:beforeAutospacing="0" w:after="0" w:afterAutospacing="0" w:line="360" w:lineRule="auto"/>
              <w:ind w:left="0" w:right="0" w:firstLine="0" w:firstLineChars="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达到标准的得满分，每出现一次未达到标准的扣2分，直至扣完。</w:t>
            </w:r>
          </w:p>
        </w:tc>
        <w:tc>
          <w:tcPr>
            <w:tcW w:w="647" w:type="dxa"/>
            <w:tcBorders>
              <w:top w:val="single" w:color="auto" w:sz="4" w:space="0"/>
              <w:left w:val="single" w:color="auto" w:sz="4" w:space="0"/>
              <w:bottom w:val="single" w:color="auto" w:sz="4" w:space="0"/>
              <w:right w:val="single" w:color="auto" w:sz="4" w:space="0"/>
            </w:tcBorders>
            <w:shd w:val="clear" w:color="auto" w:fill="auto"/>
            <w:vAlign w:val="center"/>
          </w:tcPr>
          <w:p w14:paraId="013DEC0B">
            <w:pPr>
              <w:keepNext w:val="0"/>
              <w:keepLines w:val="0"/>
              <w:widowControl/>
              <w:suppressLineNumbers w:val="0"/>
              <w:autoSpaceDE w:val="0"/>
              <w:autoSpaceDN/>
              <w:snapToGrid w:val="0"/>
              <w:spacing w:before="0" w:beforeAutospacing="0" w:after="0" w:afterAutospacing="0" w:line="360" w:lineRule="auto"/>
              <w:ind w:left="0" w:right="0" w:firstLine="0" w:firstLineChars="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10</w:t>
            </w:r>
          </w:p>
        </w:tc>
        <w:tc>
          <w:tcPr>
            <w:tcW w:w="647" w:type="dxa"/>
            <w:tcBorders>
              <w:top w:val="single" w:color="auto" w:sz="4" w:space="0"/>
              <w:left w:val="single" w:color="auto" w:sz="4" w:space="0"/>
              <w:bottom w:val="single" w:color="auto" w:sz="4" w:space="0"/>
              <w:right w:val="single" w:color="auto" w:sz="4" w:space="0"/>
            </w:tcBorders>
            <w:shd w:val="clear" w:color="auto" w:fill="auto"/>
            <w:vAlign w:val="center"/>
          </w:tcPr>
          <w:p w14:paraId="58009A60">
            <w:pPr>
              <w:keepNext w:val="0"/>
              <w:keepLines w:val="0"/>
              <w:widowControl/>
              <w:suppressLineNumbers w:val="0"/>
              <w:autoSpaceDE w:val="0"/>
              <w:autoSpaceDN/>
              <w:snapToGrid w:val="0"/>
              <w:spacing w:before="0" w:beforeAutospacing="0" w:after="0" w:afterAutospacing="0" w:line="360" w:lineRule="auto"/>
              <w:ind w:left="0" w:right="0" w:firstLine="0" w:firstLineChars="0"/>
              <w:jc w:val="center"/>
              <w:rPr>
                <w:rFonts w:hint="eastAsia" w:ascii="宋体" w:hAnsi="宋体" w:eastAsia="宋体" w:cs="宋体"/>
                <w:bCs/>
                <w:color w:val="auto"/>
                <w:kern w:val="2"/>
                <w:sz w:val="21"/>
                <w:szCs w:val="21"/>
                <w:highlight w:val="none"/>
              </w:rPr>
            </w:pPr>
          </w:p>
        </w:tc>
        <w:tc>
          <w:tcPr>
            <w:tcW w:w="926" w:type="dxa"/>
            <w:tcBorders>
              <w:top w:val="single" w:color="auto" w:sz="4" w:space="0"/>
              <w:left w:val="single" w:color="auto" w:sz="4" w:space="0"/>
              <w:bottom w:val="single" w:color="auto" w:sz="4" w:space="0"/>
              <w:right w:val="single" w:color="auto" w:sz="4" w:space="0"/>
            </w:tcBorders>
            <w:shd w:val="clear" w:color="auto" w:fill="auto"/>
            <w:vAlign w:val="center"/>
          </w:tcPr>
          <w:p w14:paraId="06DD45E3">
            <w:pPr>
              <w:keepNext w:val="0"/>
              <w:keepLines w:val="0"/>
              <w:widowControl/>
              <w:suppressLineNumbers w:val="0"/>
              <w:autoSpaceDE w:val="0"/>
              <w:autoSpaceDN/>
              <w:snapToGrid w:val="0"/>
              <w:spacing w:before="0" w:beforeAutospacing="0" w:after="0" w:afterAutospacing="0" w:line="360" w:lineRule="auto"/>
              <w:ind w:left="0" w:right="0" w:firstLine="0" w:firstLineChars="0"/>
              <w:jc w:val="center"/>
              <w:rPr>
                <w:rFonts w:hint="eastAsia" w:ascii="宋体" w:hAnsi="宋体" w:eastAsia="宋体" w:cs="宋体"/>
                <w:bCs/>
                <w:color w:val="auto"/>
                <w:kern w:val="2"/>
                <w:sz w:val="21"/>
                <w:szCs w:val="21"/>
                <w:highlight w:val="none"/>
              </w:rPr>
            </w:pPr>
          </w:p>
        </w:tc>
      </w:tr>
      <w:tr w14:paraId="0B335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14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2E351239">
            <w:pPr>
              <w:keepNext w:val="0"/>
              <w:keepLines w:val="0"/>
              <w:widowControl/>
              <w:suppressLineNumbers w:val="0"/>
              <w:autoSpaceDE w:val="0"/>
              <w:autoSpaceDN/>
              <w:snapToGrid w:val="0"/>
              <w:spacing w:before="0" w:beforeAutospacing="0" w:after="0" w:afterAutospacing="0" w:line="360" w:lineRule="auto"/>
              <w:ind w:left="0" w:right="0" w:firstLine="0" w:firstLineChars="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合计</w:t>
            </w:r>
          </w:p>
        </w:tc>
        <w:tc>
          <w:tcPr>
            <w:tcW w:w="647" w:type="dxa"/>
            <w:tcBorders>
              <w:top w:val="single" w:color="auto" w:sz="4" w:space="0"/>
              <w:left w:val="single" w:color="auto" w:sz="4" w:space="0"/>
              <w:bottom w:val="single" w:color="auto" w:sz="4" w:space="0"/>
              <w:right w:val="single" w:color="auto" w:sz="4" w:space="0"/>
            </w:tcBorders>
            <w:shd w:val="clear" w:color="auto" w:fill="auto"/>
            <w:vAlign w:val="center"/>
          </w:tcPr>
          <w:p w14:paraId="2A49903B">
            <w:pPr>
              <w:keepNext w:val="0"/>
              <w:keepLines w:val="0"/>
              <w:widowControl/>
              <w:suppressLineNumbers w:val="0"/>
              <w:autoSpaceDE w:val="0"/>
              <w:autoSpaceDN/>
              <w:snapToGrid w:val="0"/>
              <w:spacing w:before="0" w:beforeAutospacing="0" w:after="0" w:afterAutospacing="0" w:line="360" w:lineRule="auto"/>
              <w:ind w:left="0" w:right="0" w:firstLine="0" w:firstLineChars="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100</w:t>
            </w:r>
          </w:p>
        </w:tc>
        <w:tc>
          <w:tcPr>
            <w:tcW w:w="647" w:type="dxa"/>
            <w:tcBorders>
              <w:top w:val="single" w:color="auto" w:sz="4" w:space="0"/>
              <w:left w:val="single" w:color="auto" w:sz="4" w:space="0"/>
              <w:bottom w:val="single" w:color="auto" w:sz="4" w:space="0"/>
              <w:right w:val="single" w:color="auto" w:sz="4" w:space="0"/>
            </w:tcBorders>
            <w:shd w:val="clear" w:color="auto" w:fill="auto"/>
            <w:vAlign w:val="center"/>
          </w:tcPr>
          <w:p w14:paraId="492A1EC3">
            <w:pPr>
              <w:keepNext w:val="0"/>
              <w:keepLines w:val="0"/>
              <w:widowControl/>
              <w:suppressLineNumbers w:val="0"/>
              <w:autoSpaceDE w:val="0"/>
              <w:autoSpaceDN/>
              <w:snapToGrid w:val="0"/>
              <w:spacing w:before="0" w:beforeAutospacing="0" w:after="0" w:afterAutospacing="0" w:line="360" w:lineRule="auto"/>
              <w:ind w:left="0" w:right="0" w:firstLine="0" w:firstLineChars="0"/>
              <w:jc w:val="center"/>
              <w:rPr>
                <w:rFonts w:hint="eastAsia" w:ascii="宋体" w:hAnsi="宋体" w:eastAsia="宋体" w:cs="宋体"/>
                <w:bCs/>
                <w:color w:val="auto"/>
                <w:kern w:val="2"/>
                <w:sz w:val="21"/>
                <w:szCs w:val="21"/>
                <w:highlight w:val="none"/>
              </w:rPr>
            </w:pPr>
          </w:p>
        </w:tc>
        <w:tc>
          <w:tcPr>
            <w:tcW w:w="926" w:type="dxa"/>
            <w:tcBorders>
              <w:top w:val="single" w:color="auto" w:sz="4" w:space="0"/>
              <w:left w:val="single" w:color="auto" w:sz="4" w:space="0"/>
              <w:bottom w:val="single" w:color="auto" w:sz="4" w:space="0"/>
              <w:right w:val="single" w:color="auto" w:sz="4" w:space="0"/>
            </w:tcBorders>
            <w:shd w:val="clear" w:color="auto" w:fill="auto"/>
            <w:vAlign w:val="center"/>
          </w:tcPr>
          <w:p w14:paraId="6CC1CE50">
            <w:pPr>
              <w:keepNext w:val="0"/>
              <w:keepLines w:val="0"/>
              <w:widowControl/>
              <w:suppressLineNumbers w:val="0"/>
              <w:autoSpaceDE w:val="0"/>
              <w:autoSpaceDN/>
              <w:snapToGrid w:val="0"/>
              <w:spacing w:before="0" w:beforeAutospacing="0" w:after="0" w:afterAutospacing="0" w:line="360" w:lineRule="auto"/>
              <w:ind w:left="0" w:right="0" w:firstLine="0" w:firstLineChars="0"/>
              <w:jc w:val="center"/>
              <w:rPr>
                <w:rFonts w:hint="eastAsia" w:ascii="宋体" w:hAnsi="宋体" w:eastAsia="宋体" w:cs="宋体"/>
                <w:bCs/>
                <w:color w:val="auto"/>
                <w:kern w:val="2"/>
                <w:sz w:val="21"/>
                <w:szCs w:val="21"/>
                <w:highlight w:val="none"/>
              </w:rPr>
            </w:pPr>
          </w:p>
        </w:tc>
      </w:tr>
      <w:tr w14:paraId="3850F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39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7444556">
            <w:pPr>
              <w:keepNext w:val="0"/>
              <w:keepLines w:val="0"/>
              <w:widowControl/>
              <w:suppressLineNumbers w:val="0"/>
              <w:autoSpaceDE w:val="0"/>
              <w:autoSpaceDN/>
              <w:snapToGrid w:val="0"/>
              <w:spacing w:before="0" w:beforeAutospacing="0" w:after="0" w:afterAutospacing="0" w:line="360" w:lineRule="auto"/>
              <w:ind w:left="0" w:right="0" w:firstLine="0" w:firstLineChars="0"/>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评审结论</w:t>
            </w:r>
          </w:p>
        </w:tc>
        <w:tc>
          <w:tcPr>
            <w:tcW w:w="6438" w:type="dxa"/>
            <w:gridSpan w:val="6"/>
            <w:tcBorders>
              <w:top w:val="single" w:color="auto" w:sz="4" w:space="0"/>
              <w:left w:val="single" w:color="auto" w:sz="4" w:space="0"/>
              <w:bottom w:val="single" w:color="auto" w:sz="4" w:space="0"/>
              <w:right w:val="single" w:color="auto" w:sz="4" w:space="0"/>
            </w:tcBorders>
            <w:shd w:val="clear" w:color="auto" w:fill="auto"/>
            <w:vAlign w:val="top"/>
          </w:tcPr>
          <w:p w14:paraId="7BF78346">
            <w:pPr>
              <w:keepNext w:val="0"/>
              <w:keepLines w:val="0"/>
              <w:widowControl/>
              <w:suppressLineNumbers w:val="0"/>
              <w:autoSpaceDE w:val="0"/>
              <w:autoSpaceDN/>
              <w:snapToGrid w:val="0"/>
              <w:spacing w:before="0" w:beforeAutospacing="0" w:after="0" w:afterAutospacing="0" w:line="360" w:lineRule="auto"/>
              <w:ind w:left="0" w:right="0" w:firstLine="0" w:firstLineChars="0"/>
              <w:jc w:val="both"/>
              <w:rPr>
                <w:rFonts w:hint="eastAsia" w:ascii="宋体" w:hAnsi="宋体" w:eastAsia="宋体" w:cs="宋体"/>
                <w:bCs/>
                <w:color w:val="auto"/>
                <w:kern w:val="2"/>
                <w:sz w:val="21"/>
                <w:szCs w:val="21"/>
                <w:highlight w:val="none"/>
                <w:u w:val="single"/>
              </w:rPr>
            </w:pPr>
            <w:r>
              <w:rPr>
                <w:rFonts w:hint="eastAsia" w:ascii="宋体" w:hAnsi="宋体" w:eastAsia="宋体" w:cs="宋体"/>
                <w:bCs/>
                <w:color w:val="auto"/>
                <w:kern w:val="2"/>
                <w:sz w:val="21"/>
                <w:szCs w:val="21"/>
                <w:highlight w:val="none"/>
                <w:lang w:val="en-US" w:eastAsia="zh-CN" w:bidi="ar"/>
              </w:rPr>
              <w:t>□合计分值不低于80的，评审结论合格</w:t>
            </w:r>
            <w:r>
              <w:rPr>
                <w:rFonts w:hint="eastAsia" w:ascii="宋体" w:hAnsi="宋体" w:eastAsia="宋体" w:cs="宋体"/>
                <w:bCs/>
                <w:color w:val="auto"/>
                <w:kern w:val="2"/>
                <w:sz w:val="21"/>
                <w:szCs w:val="21"/>
                <w:highlight w:val="none"/>
                <w:lang w:val="en-US" w:eastAsia="zh-CN" w:bidi="ar"/>
              </w:rPr>
              <w:br w:type="textWrapping"/>
            </w:r>
            <w:r>
              <w:rPr>
                <w:rFonts w:hint="eastAsia" w:ascii="宋体" w:hAnsi="宋体" w:eastAsia="宋体" w:cs="宋体"/>
                <w:bCs/>
                <w:color w:val="auto"/>
                <w:kern w:val="2"/>
                <w:sz w:val="21"/>
                <w:szCs w:val="21"/>
                <w:highlight w:val="none"/>
                <w:lang w:val="en-US" w:eastAsia="zh-CN" w:bidi="ar"/>
              </w:rPr>
              <w:t>□评审结论不合格，说明：</w:t>
            </w:r>
            <w:r>
              <w:rPr>
                <w:rFonts w:hint="eastAsia" w:ascii="宋体" w:hAnsi="宋体" w:eastAsia="宋体" w:cs="宋体"/>
                <w:bCs/>
                <w:color w:val="auto"/>
                <w:kern w:val="2"/>
                <w:sz w:val="21"/>
                <w:szCs w:val="21"/>
                <w:highlight w:val="none"/>
                <w:u w:val="single"/>
                <w:lang w:val="en-US" w:eastAsia="zh-CN" w:bidi="ar"/>
              </w:rPr>
              <w:t xml:space="preserve">              </w:t>
            </w:r>
          </w:p>
        </w:tc>
      </w:tr>
      <w:tr w14:paraId="4B225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3930" w:type="dxa"/>
            <w:gridSpan w:val="3"/>
            <w:vMerge w:val="restart"/>
            <w:tcBorders>
              <w:top w:val="nil"/>
              <w:left w:val="single" w:color="auto" w:sz="4" w:space="0"/>
              <w:bottom w:val="single" w:color="auto" w:sz="4" w:space="0"/>
              <w:right w:val="single" w:color="auto" w:sz="4" w:space="0"/>
            </w:tcBorders>
            <w:shd w:val="clear" w:color="auto" w:fill="auto"/>
            <w:vAlign w:val="center"/>
          </w:tcPr>
          <w:p w14:paraId="237F6508">
            <w:pPr>
              <w:keepNext w:val="0"/>
              <w:keepLines w:val="0"/>
              <w:widowControl/>
              <w:suppressLineNumbers w:val="0"/>
              <w:autoSpaceDE w:val="0"/>
              <w:autoSpaceDN/>
              <w:snapToGrid w:val="0"/>
              <w:spacing w:before="0" w:beforeAutospacing="0" w:after="0" w:afterAutospacing="0" w:line="360" w:lineRule="auto"/>
              <w:ind w:left="0" w:right="0" w:firstLine="0" w:firstLineChars="0"/>
              <w:jc w:val="center"/>
              <w:rPr>
                <w:rFonts w:hint="eastAsia" w:ascii="宋体" w:hAnsi="宋体" w:eastAsia="宋体" w:cs="宋体"/>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履约评审运营项目</w:t>
            </w:r>
            <w:r>
              <w:rPr>
                <w:rFonts w:hint="eastAsia" w:ascii="宋体" w:hAnsi="宋体" w:eastAsia="宋体" w:cs="宋体"/>
                <w:color w:val="auto"/>
                <w:kern w:val="2"/>
                <w:sz w:val="21"/>
                <w:szCs w:val="21"/>
                <w:highlight w:val="none"/>
                <w:lang w:val="en-US" w:eastAsia="zh-CN" w:bidi="ar"/>
              </w:rPr>
              <w:t>其他</w:t>
            </w:r>
            <w:r>
              <w:rPr>
                <w:rFonts w:hint="eastAsia" w:ascii="宋体" w:hAnsi="宋体" w:eastAsia="宋体" w:cs="宋体"/>
                <w:bCs/>
                <w:color w:val="auto"/>
                <w:kern w:val="2"/>
                <w:sz w:val="21"/>
                <w:szCs w:val="21"/>
                <w:highlight w:val="none"/>
                <w:lang w:val="en-US" w:eastAsia="zh-CN" w:bidi="ar"/>
              </w:rPr>
              <w:t>意见及签署</w:t>
            </w:r>
          </w:p>
        </w:tc>
        <w:tc>
          <w:tcPr>
            <w:tcW w:w="23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36C15A1">
            <w:pPr>
              <w:keepNext w:val="0"/>
              <w:keepLines w:val="0"/>
              <w:widowControl/>
              <w:suppressLineNumbers w:val="0"/>
              <w:autoSpaceDE w:val="0"/>
              <w:autoSpaceDN/>
              <w:snapToGrid w:val="0"/>
              <w:spacing w:before="0" w:beforeAutospacing="0" w:after="0" w:afterAutospacing="0" w:line="360" w:lineRule="auto"/>
              <w:ind w:left="0" w:right="0" w:firstLine="0" w:firstLineChars="0"/>
              <w:jc w:val="both"/>
              <w:rPr>
                <w:rFonts w:hint="eastAsia" w:ascii="宋体" w:hAnsi="宋体" w:eastAsia="宋体" w:cs="宋体"/>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经办人</w:t>
            </w:r>
          </w:p>
        </w:tc>
        <w:tc>
          <w:tcPr>
            <w:tcW w:w="410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3B2F738">
            <w:pPr>
              <w:keepNext w:val="0"/>
              <w:keepLines w:val="0"/>
              <w:widowControl/>
              <w:suppressLineNumbers w:val="0"/>
              <w:autoSpaceDE w:val="0"/>
              <w:autoSpaceDN/>
              <w:snapToGrid w:val="0"/>
              <w:spacing w:before="0" w:beforeAutospacing="0" w:after="0" w:afterAutospacing="0" w:line="360" w:lineRule="auto"/>
              <w:ind w:left="0" w:right="0" w:firstLine="0" w:firstLineChars="0"/>
              <w:jc w:val="both"/>
              <w:rPr>
                <w:rFonts w:hint="eastAsia" w:ascii="宋体" w:hAnsi="宋体" w:eastAsia="宋体" w:cs="宋体"/>
                <w:bCs/>
                <w:color w:val="auto"/>
                <w:kern w:val="2"/>
                <w:sz w:val="21"/>
                <w:szCs w:val="21"/>
                <w:highlight w:val="none"/>
              </w:rPr>
            </w:pPr>
          </w:p>
        </w:tc>
      </w:tr>
      <w:tr w14:paraId="712FA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3930" w:type="dxa"/>
            <w:gridSpan w:val="3"/>
            <w:vMerge w:val="continue"/>
            <w:tcBorders>
              <w:top w:val="nil"/>
              <w:left w:val="single" w:color="auto" w:sz="4" w:space="0"/>
              <w:bottom w:val="single" w:color="auto" w:sz="4" w:space="0"/>
              <w:right w:val="single" w:color="auto" w:sz="4" w:space="0"/>
            </w:tcBorders>
            <w:shd w:val="clear" w:color="auto" w:fill="auto"/>
            <w:vAlign w:val="center"/>
          </w:tcPr>
          <w:p w14:paraId="0CA5D381">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23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7910CC9">
            <w:pPr>
              <w:keepNext w:val="0"/>
              <w:keepLines w:val="0"/>
              <w:widowControl/>
              <w:suppressLineNumbers w:val="0"/>
              <w:autoSpaceDE w:val="0"/>
              <w:autoSpaceDN/>
              <w:snapToGrid w:val="0"/>
              <w:spacing w:before="0" w:beforeAutospacing="0" w:after="0" w:afterAutospacing="0" w:line="360" w:lineRule="auto"/>
              <w:ind w:left="0" w:right="0" w:firstLine="0" w:firstLineChars="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运营项目负责人</w:t>
            </w:r>
          </w:p>
        </w:tc>
        <w:tc>
          <w:tcPr>
            <w:tcW w:w="410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F5DCD0A">
            <w:pPr>
              <w:keepNext w:val="0"/>
              <w:keepLines w:val="0"/>
              <w:widowControl/>
              <w:suppressLineNumbers w:val="0"/>
              <w:autoSpaceDE w:val="0"/>
              <w:autoSpaceDN/>
              <w:snapToGrid w:val="0"/>
              <w:spacing w:before="0" w:beforeAutospacing="0" w:after="0" w:afterAutospacing="0" w:line="360" w:lineRule="auto"/>
              <w:ind w:left="0" w:right="0" w:firstLine="0" w:firstLineChars="0"/>
              <w:jc w:val="both"/>
              <w:rPr>
                <w:rFonts w:hint="eastAsia" w:ascii="宋体" w:hAnsi="宋体" w:eastAsia="宋体" w:cs="宋体"/>
                <w:bCs/>
                <w:color w:val="auto"/>
                <w:kern w:val="2"/>
                <w:sz w:val="21"/>
                <w:szCs w:val="21"/>
                <w:highlight w:val="none"/>
              </w:rPr>
            </w:pPr>
          </w:p>
        </w:tc>
      </w:tr>
    </w:tbl>
    <w:p w14:paraId="35FB1AE5">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b/>
          <w:bCs w:val="0"/>
          <w:color w:val="auto"/>
          <w:kern w:val="2"/>
          <w:sz w:val="21"/>
          <w:szCs w:val="21"/>
          <w:highlight w:val="none"/>
          <w:lang w:val="en-US" w:eastAsia="zh-CN" w:bidi="ar"/>
        </w:rPr>
      </w:pPr>
    </w:p>
    <w:p w14:paraId="5013E8F3">
      <w:pPr>
        <w:pStyle w:val="19"/>
        <w:keepNext w:val="0"/>
        <w:keepLines w:val="0"/>
        <w:kinsoku/>
        <w:wordWrap/>
        <w:overflowPunct/>
        <w:topLinePunct w:val="0"/>
        <w:bidi w:val="0"/>
        <w:textAlignment w:val="auto"/>
        <w:outlineLvl w:val="9"/>
        <w:rPr>
          <w:rFonts w:ascii="宋体" w:hAnsi="宋体" w:eastAsia="宋体" w:cs="Times New Roman"/>
          <w:color w:val="auto"/>
          <w:kern w:val="0"/>
          <w:szCs w:val="21"/>
          <w:highlight w:val="none"/>
        </w:rPr>
      </w:pPr>
    </w:p>
    <w:p w14:paraId="09236C57">
      <w:pPr>
        <w:pageBreakBefore/>
        <w:spacing w:before="120" w:beforeLines="50" w:after="120" w:afterLines="50" w:line="360" w:lineRule="auto"/>
        <w:ind w:firstLine="640"/>
        <w:jc w:val="center"/>
        <w:outlineLvl w:val="0"/>
        <w:rPr>
          <w:rFonts w:ascii="宋体" w:hAnsi="宋体" w:eastAsia="宋体" w:cs="Times New Roman"/>
          <w:b/>
          <w:bCs/>
          <w:color w:val="auto"/>
          <w:sz w:val="32"/>
          <w:szCs w:val="32"/>
          <w:highlight w:val="none"/>
          <w:lang w:val="zh-CN"/>
        </w:rPr>
      </w:pPr>
      <w:bookmarkStart w:id="743" w:name="_Toc23732"/>
      <w:bookmarkStart w:id="744" w:name="_Toc27499"/>
      <w:bookmarkStart w:id="745" w:name="_Toc13867"/>
      <w:bookmarkStart w:id="746" w:name="_Toc30025"/>
      <w:bookmarkStart w:id="747" w:name="_Toc13443"/>
      <w:bookmarkStart w:id="748" w:name="_Toc447045090"/>
      <w:bookmarkStart w:id="749" w:name="_Toc447044479"/>
      <w:bookmarkStart w:id="750" w:name="_Toc26586"/>
      <w:bookmarkStart w:id="751" w:name="_Toc24427_WPSOffice_Level1"/>
      <w:bookmarkStart w:id="752" w:name="_Toc25564"/>
      <w:bookmarkStart w:id="753" w:name="_Toc142508360"/>
      <w:bookmarkStart w:id="754" w:name="_Toc512353083"/>
      <w:bookmarkStart w:id="755" w:name="_Toc447044603"/>
      <w:bookmarkStart w:id="756" w:name="_Toc9136"/>
      <w:bookmarkStart w:id="757" w:name="_Toc5049"/>
      <w:r>
        <w:rPr>
          <w:rFonts w:hint="eastAsia" w:ascii="宋体" w:hAnsi="宋体" w:eastAsia="宋体" w:cs="Times New Roman"/>
          <w:b/>
          <w:bCs/>
          <w:color w:val="auto"/>
          <w:sz w:val="32"/>
          <w:szCs w:val="32"/>
          <w:highlight w:val="none"/>
          <w:lang w:val="zh-CN"/>
        </w:rPr>
        <w:t>第五篇</w:t>
      </w:r>
      <w:r>
        <w:rPr>
          <w:rFonts w:ascii="宋体" w:hAnsi="宋体" w:eastAsia="宋体" w:cs="Times New Roman"/>
          <w:b/>
          <w:bCs/>
          <w:color w:val="auto"/>
          <w:sz w:val="32"/>
          <w:szCs w:val="32"/>
          <w:highlight w:val="none"/>
          <w:lang w:val="zh-CN"/>
        </w:rPr>
        <w:t xml:space="preserve"> </w:t>
      </w:r>
      <w:r>
        <w:rPr>
          <w:rFonts w:hint="eastAsia" w:ascii="宋体" w:hAnsi="宋体" w:eastAsia="宋体" w:cs="Times New Roman"/>
          <w:b/>
          <w:bCs/>
          <w:color w:val="auto"/>
          <w:sz w:val="32"/>
          <w:szCs w:val="32"/>
          <w:highlight w:val="none"/>
          <w:lang w:val="zh-CN"/>
        </w:rPr>
        <w:t>相关保函格式</w:t>
      </w:r>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Start w:id="758" w:name="_Toc447045091"/>
      <w:bookmarkStart w:id="759" w:name="_Toc447044480"/>
      <w:bookmarkStart w:id="760" w:name="_Toc447044604"/>
    </w:p>
    <w:p w14:paraId="0A78F728">
      <w:pPr>
        <w:autoSpaceDE w:val="0"/>
        <w:autoSpaceDN w:val="0"/>
        <w:adjustRightInd w:val="0"/>
        <w:spacing w:after="120" w:afterLines="50" w:line="360" w:lineRule="auto"/>
        <w:jc w:val="left"/>
        <w:rPr>
          <w:rFonts w:ascii="宋体" w:hAnsi="宋体" w:eastAsia="宋体" w:cs="Times New Roman"/>
          <w:b/>
          <w:color w:val="auto"/>
          <w:kern w:val="0"/>
          <w:sz w:val="28"/>
          <w:szCs w:val="28"/>
          <w:highlight w:val="none"/>
        </w:rPr>
      </w:pPr>
      <w:bookmarkStart w:id="761" w:name="_Toc26521_WPSOffice_Level2"/>
      <w:r>
        <w:rPr>
          <w:rFonts w:hint="eastAsia" w:ascii="宋体" w:hAnsi="宋体" w:eastAsia="宋体" w:cs="Times New Roman"/>
          <w:b/>
          <w:color w:val="auto"/>
          <w:kern w:val="0"/>
          <w:sz w:val="28"/>
          <w:szCs w:val="28"/>
          <w:highlight w:val="none"/>
        </w:rPr>
        <w:t>一、不可撤销银行履约保函格式</w:t>
      </w:r>
      <w:bookmarkEnd w:id="758"/>
      <w:bookmarkEnd w:id="759"/>
      <w:bookmarkEnd w:id="760"/>
      <w:bookmarkEnd w:id="761"/>
    </w:p>
    <w:p w14:paraId="2F7A6612">
      <w:pPr>
        <w:autoSpaceDE w:val="0"/>
        <w:autoSpaceDN w:val="0"/>
        <w:adjustRightInd w:val="0"/>
        <w:jc w:val="center"/>
        <w:rPr>
          <w:rFonts w:ascii="宋体" w:hAnsi="宋体" w:eastAsia="宋体" w:cs="Times New Roman"/>
          <w:b/>
          <w:color w:val="auto"/>
          <w:kern w:val="0"/>
          <w:sz w:val="30"/>
          <w:szCs w:val="30"/>
          <w:highlight w:val="none"/>
        </w:rPr>
      </w:pPr>
      <w:r>
        <w:rPr>
          <w:rFonts w:hint="eastAsia" w:ascii="宋体" w:hAnsi="宋体" w:eastAsia="宋体" w:cs="Times New Roman"/>
          <w:b/>
          <w:color w:val="auto"/>
          <w:kern w:val="0"/>
          <w:sz w:val="30"/>
          <w:szCs w:val="30"/>
          <w:highlight w:val="none"/>
        </w:rPr>
        <w:t>不可撤销银行履约保函</w:t>
      </w:r>
    </w:p>
    <w:p w14:paraId="64FBC4AE">
      <w:pPr>
        <w:widowControl/>
        <w:autoSpaceDE w:val="0"/>
        <w:autoSpaceDN w:val="0"/>
        <w:adjustRightInd w:val="0"/>
        <w:spacing w:line="360" w:lineRule="auto"/>
        <w:jc w:val="left"/>
        <w:rPr>
          <w:rFonts w:ascii="宋体" w:hAnsi="宋体" w:eastAsia="宋体" w:cs="宋体"/>
          <w:color w:val="auto"/>
          <w:kern w:val="0"/>
          <w:szCs w:val="21"/>
          <w:highlight w:val="none"/>
        </w:rPr>
      </w:pPr>
    </w:p>
    <w:p w14:paraId="28A75307">
      <w:pPr>
        <w:autoSpaceDE w:val="0"/>
        <w:autoSpaceDN w:val="0"/>
        <w:adjustRightInd w:val="0"/>
        <w:spacing w:line="360" w:lineRule="auto"/>
        <w:ind w:firstLine="6300"/>
        <w:jc w:val="left"/>
        <w:rPr>
          <w:rFonts w:ascii="宋体" w:hAnsi="宋体" w:eastAsia="宋体" w:cs="Times New Roman"/>
          <w:color w:val="auto"/>
          <w:kern w:val="0"/>
          <w:szCs w:val="21"/>
          <w:highlight w:val="none"/>
          <w:u w:val="single"/>
        </w:rPr>
      </w:pPr>
      <w:r>
        <w:rPr>
          <w:rFonts w:ascii="宋体" w:hAnsi="宋体" w:eastAsia="宋体" w:cs="Times New Roman"/>
          <w:color w:val="auto"/>
          <w:kern w:val="0"/>
          <w:szCs w:val="21"/>
          <w:highlight w:val="none"/>
        </w:rPr>
        <w:t>银行编号：</w:t>
      </w:r>
    </w:p>
    <w:p w14:paraId="17C7A13E">
      <w:pPr>
        <w:widowControl/>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（下称“受益人”）</w:t>
      </w:r>
    </w:p>
    <w:p w14:paraId="19A47BF0">
      <w:pPr>
        <w:widowControl/>
        <w:autoSpaceDE w:val="0"/>
        <w:autoSpaceDN w:val="0"/>
        <w:adjustRightInd w:val="0"/>
        <w:spacing w:line="360" w:lineRule="auto"/>
        <w:ind w:firstLine="567" w:firstLine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鉴于</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rPr>
        <w:t>申请人</w:t>
      </w:r>
      <w:r>
        <w:rPr>
          <w:rFonts w:ascii="宋体" w:hAnsi="宋体" w:eastAsia="宋体" w:cs="宋体"/>
          <w:color w:val="auto"/>
          <w:kern w:val="0"/>
          <w:szCs w:val="21"/>
          <w:highlight w:val="none"/>
          <w:u w:val="single"/>
        </w:rPr>
        <w:t xml:space="preserve">的名称与地址）  </w:t>
      </w:r>
      <w:r>
        <w:rPr>
          <w:rFonts w:hint="eastAsia" w:ascii="宋体" w:hAnsi="宋体" w:eastAsia="宋体" w:cs="宋体"/>
          <w:color w:val="auto"/>
          <w:kern w:val="0"/>
          <w:szCs w:val="21"/>
          <w:highlight w:val="none"/>
        </w:rPr>
        <w:t>（下称“申请人”），已保证按拟签订的</w:t>
      </w:r>
      <w:r>
        <w:rPr>
          <w:rFonts w:ascii="宋体" w:hAnsi="宋体" w:eastAsia="宋体" w:cs="宋体"/>
          <w:color w:val="auto"/>
          <w:kern w:val="0"/>
          <w:szCs w:val="21"/>
          <w:highlight w:val="none"/>
          <w:u w:val="single"/>
        </w:rPr>
        <w:t xml:space="preserve"> 项目名称       （招标编号：         ）</w:t>
      </w:r>
      <w:r>
        <w:rPr>
          <w:rFonts w:hint="eastAsia" w:ascii="宋体" w:hAnsi="宋体" w:eastAsia="宋体" w:cs="宋体"/>
          <w:color w:val="auto"/>
          <w:kern w:val="0"/>
          <w:szCs w:val="21"/>
          <w:highlight w:val="none"/>
        </w:rPr>
        <w:t>合同（招标文件）中规定的义务履行合同。</w:t>
      </w:r>
    </w:p>
    <w:p w14:paraId="4292DE59">
      <w:pPr>
        <w:widowControl/>
        <w:autoSpaceDE w:val="0"/>
        <w:autoSpaceDN w:val="0"/>
        <w:adjustRightInd w:val="0"/>
        <w:spacing w:line="360" w:lineRule="auto"/>
        <w:ind w:firstLine="567" w:firstLine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根据上述合同（招标文件）规定，申请人应向受益人提供一份金额为人民币（大写）</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rPr>
        <w:t>RMB</w:t>
      </w:r>
      <w:r>
        <w:rPr>
          <w:rFonts w:ascii="宋体" w:hAnsi="宋体" w:eastAsia="宋体" w:cs="宋体"/>
          <w:color w:val="auto"/>
          <w:kern w:val="0"/>
          <w:szCs w:val="21"/>
          <w:highlight w:val="none"/>
          <w:u w:val="single"/>
        </w:rPr>
        <w:t>元）</w:t>
      </w:r>
      <w:r>
        <w:rPr>
          <w:rFonts w:hint="eastAsia" w:ascii="宋体" w:hAnsi="宋体" w:eastAsia="宋体" w:cs="宋体"/>
          <w:color w:val="auto"/>
          <w:kern w:val="0"/>
          <w:szCs w:val="21"/>
          <w:highlight w:val="none"/>
        </w:rPr>
        <w:t>的无条件、不可撤销银行履约保函，作为申请人履行上述合同的担保。</w:t>
      </w:r>
    </w:p>
    <w:p w14:paraId="551C5581">
      <w:pPr>
        <w:widowControl/>
        <w:autoSpaceDE w:val="0"/>
        <w:autoSpaceDN w:val="0"/>
        <w:adjustRightInd w:val="0"/>
        <w:spacing w:line="360" w:lineRule="auto"/>
        <w:ind w:firstLine="567" w:firstLine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ascii="宋体" w:hAnsi="宋体" w:eastAsia="宋体" w:cs="宋体"/>
          <w:color w:val="auto"/>
          <w:kern w:val="0"/>
          <w:szCs w:val="21"/>
          <w:highlight w:val="none"/>
          <w:u w:val="single"/>
        </w:rPr>
        <w:t xml:space="preserve">     （银行名称）</w:t>
      </w:r>
      <w:r>
        <w:rPr>
          <w:rFonts w:hint="eastAsia" w:ascii="宋体" w:hAnsi="宋体" w:eastAsia="宋体" w:cs="宋体"/>
          <w:color w:val="auto"/>
          <w:kern w:val="0"/>
          <w:szCs w:val="21"/>
          <w:highlight w:val="none"/>
        </w:rPr>
        <w:t>，受申请人的委托，无条件和不可撤销地在受益人出具本保函原件且提出因申请人没有履行上述合同规定，而要求我方承担保证责任</w:t>
      </w:r>
      <w:r>
        <w:rPr>
          <w:rFonts w:hint="eastAsia" w:ascii="宋体" w:hAnsi="宋体" w:eastAsia="宋体" w:cs="宋体"/>
          <w:color w:val="auto"/>
          <w:kern w:val="0"/>
          <w:szCs w:val="21"/>
          <w:highlight w:val="none"/>
          <w:lang w:val="en-US" w:eastAsia="zh-CN"/>
        </w:rPr>
        <w:t>后，</w:t>
      </w:r>
      <w:r>
        <w:rPr>
          <w:rFonts w:hint="eastAsia" w:ascii="宋体" w:hAnsi="宋体" w:eastAsia="宋体" w:cs="宋体"/>
          <w:color w:val="auto"/>
          <w:kern w:val="0"/>
          <w:szCs w:val="21"/>
          <w:highlight w:val="none"/>
        </w:rPr>
        <w:t>在保函限额内向受益人支付不超过人民币（大写）_________（¥_______元）的款项。</w:t>
      </w:r>
    </w:p>
    <w:p w14:paraId="37DFE1C3">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在向我行提出要求前，我行将不坚持要求受益人首先向申请人提出上述款项的索赔。</w:t>
      </w:r>
    </w:p>
    <w:p w14:paraId="3E67403F">
      <w:pPr>
        <w:widowControl/>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我方还同意，任何受益人与申请人之间可能对合同条款的修改、规范或其他合同文件的变动补充，都不能免除我方按本保函所承担的责任。因此，有关上述变动、补充和修改无须通知或征得我方同意。</w:t>
      </w:r>
    </w:p>
    <w:p w14:paraId="1C11F827">
      <w:pPr>
        <w:widowControl/>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本保函</w:t>
      </w:r>
      <w:r>
        <w:rPr>
          <w:rFonts w:hint="eastAsia" w:ascii="宋体" w:hAnsi="宋体" w:eastAsia="宋体" w:cs="Times New Roman"/>
          <w:color w:val="auto"/>
          <w:kern w:val="0"/>
          <w:szCs w:val="21"/>
          <w:highlight w:val="none"/>
        </w:rPr>
        <w:t>自合同签订之日起至合同期限届满并完成合同及补充协议</w:t>
      </w:r>
      <w:r>
        <w:rPr>
          <w:rFonts w:hint="eastAsia" w:ascii="宋体" w:hAnsi="宋体" w:eastAsia="宋体" w:cs="Times New Roman"/>
          <w:color w:val="auto"/>
          <w:kern w:val="0"/>
          <w:szCs w:val="21"/>
          <w:highlight w:val="none"/>
          <w:lang w:val="en-US" w:eastAsia="zh-CN"/>
        </w:rPr>
        <w:t>项下</w:t>
      </w:r>
      <w:r>
        <w:rPr>
          <w:rFonts w:hint="eastAsia" w:ascii="宋体" w:hAnsi="宋体" w:eastAsia="宋体" w:cs="Times New Roman"/>
          <w:color w:val="auto"/>
          <w:kern w:val="0"/>
          <w:szCs w:val="21"/>
          <w:highlight w:val="none"/>
        </w:rPr>
        <w:t>全部服务义务，</w:t>
      </w:r>
      <w:r>
        <w:rPr>
          <w:rFonts w:hint="eastAsia" w:ascii="宋体" w:hAnsi="宋体" w:eastAsia="宋体" w:cs="Times New Roman"/>
          <w:color w:val="auto"/>
          <w:kern w:val="0"/>
          <w:szCs w:val="21"/>
          <w:highlight w:val="none"/>
          <w:lang w:val="en-US" w:eastAsia="zh-CN"/>
        </w:rPr>
        <w:t>受益人</w:t>
      </w:r>
      <w:r>
        <w:rPr>
          <w:rFonts w:hint="eastAsia" w:ascii="宋体" w:hAnsi="宋体" w:eastAsia="宋体" w:cs="Times New Roman"/>
          <w:color w:val="auto"/>
          <w:kern w:val="0"/>
          <w:szCs w:val="21"/>
          <w:highlight w:val="none"/>
        </w:rPr>
        <w:t>向</w:t>
      </w:r>
      <w:r>
        <w:rPr>
          <w:rFonts w:hint="eastAsia" w:ascii="宋体" w:hAnsi="宋体" w:eastAsia="宋体" w:cs="Times New Roman"/>
          <w:color w:val="auto"/>
          <w:kern w:val="0"/>
          <w:szCs w:val="21"/>
          <w:highlight w:val="none"/>
          <w:lang w:val="en-US" w:eastAsia="zh-CN"/>
        </w:rPr>
        <w:t>申请人</w:t>
      </w:r>
      <w:r>
        <w:rPr>
          <w:rFonts w:hint="eastAsia" w:ascii="宋体" w:hAnsi="宋体" w:eastAsia="宋体" w:cs="Times New Roman"/>
          <w:color w:val="auto"/>
          <w:kern w:val="0"/>
          <w:szCs w:val="21"/>
          <w:highlight w:val="none"/>
        </w:rPr>
        <w:t>支付全部款项后二十八（28）日内保持有效。</w:t>
      </w:r>
    </w:p>
    <w:p w14:paraId="0097B146">
      <w:pPr>
        <w:widowControl/>
        <w:autoSpaceDE w:val="0"/>
        <w:autoSpaceDN w:val="0"/>
        <w:adjustRightInd w:val="0"/>
        <w:spacing w:line="360" w:lineRule="auto"/>
        <w:ind w:firstLine="437"/>
        <w:jc w:val="left"/>
        <w:rPr>
          <w:rFonts w:ascii="宋体" w:hAnsi="宋体" w:eastAsia="宋体" w:cs="宋体"/>
          <w:color w:val="auto"/>
          <w:kern w:val="0"/>
          <w:szCs w:val="21"/>
          <w:highlight w:val="none"/>
        </w:rPr>
      </w:pPr>
    </w:p>
    <w:p w14:paraId="13A207B6">
      <w:pPr>
        <w:widowControl/>
        <w:autoSpaceDE w:val="0"/>
        <w:autoSpaceDN w:val="0"/>
        <w:adjustRightInd w:val="0"/>
        <w:spacing w:line="360" w:lineRule="auto"/>
        <w:ind w:firstLine="2520" w:firstLineChars="1200"/>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担</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保</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银</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行：</w:t>
      </w:r>
      <w:r>
        <w:rPr>
          <w:rFonts w:ascii="宋体" w:hAnsi="宋体" w:eastAsia="宋体" w:cs="宋体"/>
          <w:color w:val="auto"/>
          <w:kern w:val="0"/>
          <w:szCs w:val="21"/>
          <w:highlight w:val="none"/>
          <w:u w:val="single"/>
        </w:rPr>
        <w:t xml:space="preserve">          银行全称          (盖章)   </w:t>
      </w:r>
    </w:p>
    <w:p w14:paraId="6AE13518">
      <w:pPr>
        <w:widowControl/>
        <w:autoSpaceDE w:val="0"/>
        <w:autoSpaceDN w:val="0"/>
        <w:adjustRightInd w:val="0"/>
        <w:spacing w:line="360" w:lineRule="auto"/>
        <w:ind w:firstLine="2520" w:firstLineChars="1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法定代表人或其授权的代表人：</w:t>
      </w:r>
      <w:r>
        <w:rPr>
          <w:rFonts w:ascii="宋体" w:hAnsi="宋体" w:eastAsia="宋体" w:cs="宋体"/>
          <w:color w:val="auto"/>
          <w:kern w:val="0"/>
          <w:szCs w:val="21"/>
          <w:highlight w:val="none"/>
          <w:u w:val="single"/>
        </w:rPr>
        <w:t xml:space="preserve">       (职务)         </w:t>
      </w:r>
    </w:p>
    <w:p w14:paraId="3D85B5F9">
      <w:pPr>
        <w:widowControl/>
        <w:autoSpaceDE w:val="0"/>
        <w:autoSpaceDN w:val="0"/>
        <w:adjustRightInd w:val="0"/>
        <w:spacing w:line="360" w:lineRule="auto"/>
        <w:ind w:firstLine="5502" w:firstLineChars="2620"/>
        <w:jc w:val="left"/>
        <w:rPr>
          <w:rFonts w:ascii="宋体" w:hAnsi="宋体" w:eastAsia="宋体" w:cs="宋体"/>
          <w:color w:val="auto"/>
          <w:kern w:val="0"/>
          <w:szCs w:val="21"/>
          <w:highlight w:val="none"/>
          <w:u w:val="single"/>
        </w:rPr>
      </w:pPr>
      <w:r>
        <w:rPr>
          <w:rFonts w:ascii="宋体" w:hAnsi="宋体" w:eastAsia="宋体" w:cs="宋体"/>
          <w:color w:val="auto"/>
          <w:kern w:val="0"/>
          <w:szCs w:val="21"/>
          <w:highlight w:val="none"/>
          <w:u w:val="single"/>
        </w:rPr>
        <w:t xml:space="preserve">       (姓名)         </w:t>
      </w:r>
    </w:p>
    <w:p w14:paraId="70D8423F">
      <w:pPr>
        <w:widowControl/>
        <w:autoSpaceDE w:val="0"/>
        <w:autoSpaceDN w:val="0"/>
        <w:adjustRightInd w:val="0"/>
        <w:spacing w:line="360" w:lineRule="auto"/>
        <w:ind w:firstLine="5502" w:firstLineChars="2620"/>
        <w:jc w:val="left"/>
        <w:rPr>
          <w:rFonts w:ascii="宋体" w:hAnsi="宋体" w:eastAsia="宋体" w:cs="宋体"/>
          <w:color w:val="auto"/>
          <w:kern w:val="0"/>
          <w:szCs w:val="21"/>
          <w:highlight w:val="none"/>
          <w:u w:val="single"/>
        </w:rPr>
      </w:pPr>
      <w:r>
        <w:rPr>
          <w:rFonts w:ascii="宋体" w:hAnsi="宋体" w:eastAsia="宋体" w:cs="宋体"/>
          <w:color w:val="auto"/>
          <w:kern w:val="0"/>
          <w:szCs w:val="21"/>
          <w:highlight w:val="none"/>
          <w:u w:val="single"/>
        </w:rPr>
        <w:t xml:space="preserve">       (签章)         </w:t>
      </w:r>
    </w:p>
    <w:p w14:paraId="083F7BB1">
      <w:pPr>
        <w:autoSpaceDE w:val="0"/>
        <w:autoSpaceDN w:val="0"/>
        <w:adjustRightInd w:val="0"/>
        <w:spacing w:line="360" w:lineRule="auto"/>
        <w:ind w:left="840" w:firstLine="420" w:firstLineChars="200"/>
        <w:jc w:val="left"/>
        <w:rPr>
          <w:rFonts w:ascii="宋体" w:hAnsi="宋体" w:eastAsia="宋体" w:cs="宋体"/>
          <w:color w:val="auto"/>
          <w:kern w:val="0"/>
          <w:szCs w:val="21"/>
          <w:highlight w:val="none"/>
        </w:rPr>
      </w:pPr>
      <w:r>
        <w:rPr>
          <w:rFonts w:ascii="宋体" w:hAnsi="宋体" w:eastAsia="宋体" w:cs="宋体"/>
          <w:color w:val="auto"/>
          <w:kern w:val="0"/>
          <w:szCs w:val="21"/>
          <w:highlight w:val="none"/>
        </w:rPr>
        <w:t xml:space="preserve">                                        </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14:paraId="4156F805">
      <w:pPr>
        <w:widowControl/>
        <w:autoSpaceDE w:val="0"/>
        <w:autoSpaceDN w:val="0"/>
        <w:adjustRightInd w:val="0"/>
        <w:spacing w:line="360" w:lineRule="auto"/>
        <w:jc w:val="left"/>
        <w:rPr>
          <w:rFonts w:ascii="宋体" w:hAnsi="宋体" w:eastAsia="宋体" w:cs="宋体"/>
          <w:color w:val="auto"/>
          <w:kern w:val="0"/>
          <w:szCs w:val="21"/>
          <w:highlight w:val="none"/>
        </w:rPr>
      </w:pPr>
    </w:p>
    <w:p w14:paraId="16FABA79">
      <w:pPr>
        <w:widowControl/>
        <w:autoSpaceDE w:val="0"/>
        <w:autoSpaceDN w:val="0"/>
        <w:adjustRightInd w:val="0"/>
        <w:spacing w:line="360" w:lineRule="auto"/>
        <w:jc w:val="left"/>
        <w:rPr>
          <w:rFonts w:ascii="宋体" w:hAnsi="宋体" w:eastAsia="宋体" w:cs="宋体"/>
          <w:color w:val="auto"/>
          <w:kern w:val="0"/>
          <w:szCs w:val="21"/>
          <w:highlight w:val="none"/>
        </w:rPr>
      </w:pPr>
    </w:p>
    <w:p w14:paraId="6D41CB58">
      <w:pPr>
        <w:autoSpaceDE w:val="0"/>
        <w:autoSpaceDN w:val="0"/>
        <w:adjustRightInd w:val="0"/>
        <w:spacing w:line="360" w:lineRule="auto"/>
        <w:ind w:right="368" w:rightChars="175"/>
        <w:jc w:val="left"/>
        <w:rPr>
          <w:rFonts w:ascii="宋体" w:hAnsi="宋体" w:eastAsia="宋体" w:cs="Times New Roman"/>
          <w:color w:val="auto"/>
          <w:kern w:val="0"/>
          <w:szCs w:val="21"/>
          <w:highlight w:val="none"/>
        </w:rPr>
        <w:sectPr>
          <w:footerReference r:id="rId4" w:type="first"/>
          <w:footerReference r:id="rId3" w:type="default"/>
          <w:pgSz w:w="12240" w:h="15840"/>
          <w:pgMar w:top="1191" w:right="1043" w:bottom="1191" w:left="1043" w:header="720" w:footer="720" w:gutter="0"/>
          <w:cols w:space="720" w:num="1"/>
          <w:titlePg/>
          <w:docGrid w:linePitch="326" w:charSpace="0"/>
        </w:sectPr>
      </w:pPr>
    </w:p>
    <w:p w14:paraId="7BB0D6D7">
      <w:pPr>
        <w:numPr>
          <w:ilvl w:val="0"/>
          <w:numId w:val="0"/>
        </w:numPr>
        <w:rPr>
          <w:rFonts w:hint="eastAsia" w:ascii="宋体" w:hAnsi="宋体" w:eastAsia="宋体" w:cs="Times New Roman"/>
          <w:b/>
          <w:color w:val="auto"/>
          <w:kern w:val="0"/>
          <w:sz w:val="28"/>
          <w:szCs w:val="28"/>
          <w:highlight w:val="none"/>
          <w:lang w:val="en-US" w:eastAsia="zh-CN"/>
        </w:rPr>
      </w:pPr>
      <w:r>
        <w:rPr>
          <w:rFonts w:hint="eastAsia" w:ascii="宋体" w:hAnsi="宋体" w:eastAsia="宋体" w:cs="Times New Roman"/>
          <w:b/>
          <w:color w:val="auto"/>
          <w:kern w:val="0"/>
          <w:sz w:val="28"/>
          <w:szCs w:val="28"/>
          <w:highlight w:val="none"/>
          <w:lang w:val="en-US" w:eastAsia="zh-CN" w:bidi="ar-SA"/>
        </w:rPr>
        <w:t>二、</w:t>
      </w:r>
      <w:r>
        <w:rPr>
          <w:rFonts w:hint="eastAsia" w:ascii="宋体" w:hAnsi="宋体" w:eastAsia="宋体" w:cs="Times New Roman"/>
          <w:b/>
          <w:color w:val="auto"/>
          <w:kern w:val="0"/>
          <w:sz w:val="28"/>
          <w:szCs w:val="28"/>
          <w:highlight w:val="none"/>
          <w:lang w:val="en-US" w:eastAsia="zh-CN"/>
        </w:rPr>
        <w:t>履约保证保险凭证格式</w:t>
      </w:r>
    </w:p>
    <w:p w14:paraId="233E67DA">
      <w:pPr>
        <w:autoSpaceDE w:val="0"/>
        <w:autoSpaceDN w:val="0"/>
        <w:adjustRightInd w:val="0"/>
        <w:jc w:val="center"/>
        <w:rPr>
          <w:rFonts w:hint="eastAsia" w:ascii="宋体" w:hAnsi="宋体" w:eastAsia="宋体" w:cs="Times New Roman"/>
          <w:b/>
          <w:color w:val="auto"/>
          <w:kern w:val="0"/>
          <w:sz w:val="30"/>
          <w:szCs w:val="30"/>
          <w:highlight w:val="none"/>
          <w:lang w:val="en-US" w:eastAsia="zh-CN"/>
        </w:rPr>
      </w:pPr>
    </w:p>
    <w:p w14:paraId="630129FB">
      <w:pPr>
        <w:autoSpaceDE w:val="0"/>
        <w:autoSpaceDN w:val="0"/>
        <w:adjustRightInd w:val="0"/>
        <w:jc w:val="center"/>
        <w:rPr>
          <w:rFonts w:hint="eastAsia" w:ascii="宋体" w:hAnsi="宋体" w:eastAsia="宋体" w:cs="Times New Roman"/>
          <w:b/>
          <w:color w:val="auto"/>
          <w:kern w:val="0"/>
          <w:sz w:val="30"/>
          <w:szCs w:val="30"/>
          <w:highlight w:val="none"/>
          <w:lang w:val="en-US" w:eastAsia="zh-CN"/>
        </w:rPr>
      </w:pPr>
      <w:r>
        <w:rPr>
          <w:rFonts w:hint="eastAsia" w:ascii="宋体" w:hAnsi="宋体" w:eastAsia="宋体" w:cs="Times New Roman"/>
          <w:b/>
          <w:color w:val="auto"/>
          <w:kern w:val="0"/>
          <w:sz w:val="30"/>
          <w:szCs w:val="30"/>
          <w:highlight w:val="none"/>
          <w:lang w:val="en-US" w:eastAsia="zh-CN"/>
        </w:rPr>
        <w:t>履约保证保险凭证</w:t>
      </w:r>
    </w:p>
    <w:p w14:paraId="333D7B6B">
      <w:pPr>
        <w:autoSpaceDE w:val="0"/>
        <w:autoSpaceDN w:val="0"/>
        <w:adjustRightInd w:val="0"/>
        <w:spacing w:line="360" w:lineRule="auto"/>
        <w:ind w:firstLine="437"/>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xml:space="preserve">                                      </w:t>
      </w:r>
    </w:p>
    <w:p w14:paraId="35664031">
      <w:pPr>
        <w:autoSpaceDE w:val="0"/>
        <w:autoSpaceDN w:val="0"/>
        <w:adjustRightInd w:val="0"/>
        <w:spacing w:line="360" w:lineRule="auto"/>
        <w:ind w:firstLine="437"/>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                               编号：</w:t>
      </w:r>
    </w:p>
    <w:p w14:paraId="6ED65A67">
      <w:pPr>
        <w:autoSpaceDE w:val="0"/>
        <w:autoSpaceDN w:val="0"/>
        <w:adjustRightIn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致：</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lang w:val="en-US" w:eastAsia="zh-CN"/>
        </w:rPr>
        <w:t xml:space="preserve">（下称“受益人”）： </w:t>
      </w:r>
    </w:p>
    <w:p w14:paraId="2CA1B477">
      <w:pPr>
        <w:autoSpaceDE w:val="0"/>
        <w:autoSpaceDN w:val="0"/>
        <w:adjustRightInd w:val="0"/>
        <w:spacing w:line="360" w:lineRule="auto"/>
        <w:ind w:firstLine="437"/>
        <w:jc w:val="left"/>
        <w:rPr>
          <w:rFonts w:hint="eastAsia" w:ascii="宋体" w:hAnsi="宋体" w:eastAsia="宋体" w:cs="宋体"/>
          <w:color w:val="auto"/>
          <w:kern w:val="0"/>
          <w:szCs w:val="21"/>
          <w:highlight w:val="none"/>
          <w:lang w:val="en-US" w:eastAsia="zh-CN"/>
        </w:rPr>
      </w:pPr>
    </w:p>
    <w:p w14:paraId="731DF46F">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鉴于</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lang w:val="en-US" w:eastAsia="zh-CN"/>
        </w:rPr>
        <w:t>（下称“申请人”）已与贵方签订了</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 xml:space="preserve"> </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项目</w:t>
      </w:r>
      <w:r>
        <w:rPr>
          <w:rFonts w:ascii="宋体" w:hAnsi="宋体" w:eastAsia="宋体" w:cs="Times New Roman"/>
          <w:color w:val="auto"/>
          <w:kern w:val="0"/>
          <w:szCs w:val="21"/>
          <w:highlight w:val="none"/>
          <w:u w:val="single"/>
        </w:rPr>
        <w:t>（招标编号：        ）</w:t>
      </w:r>
      <w:r>
        <w:rPr>
          <w:rFonts w:hint="eastAsia" w:ascii="宋体" w:hAnsi="宋体" w:eastAsia="宋体" w:cs="Times New Roman"/>
          <w:color w:val="auto"/>
          <w:kern w:val="0"/>
          <w:szCs w:val="21"/>
          <w:highlight w:val="none"/>
        </w:rPr>
        <w:t>合同</w:t>
      </w:r>
      <w:r>
        <w:rPr>
          <w:rFonts w:hint="eastAsia" w:ascii="宋体" w:hAnsi="宋体" w:eastAsia="宋体" w:cs="宋体"/>
          <w:color w:val="auto"/>
          <w:kern w:val="0"/>
          <w:szCs w:val="21"/>
          <w:highlight w:val="none"/>
          <w:lang w:val="en-US" w:eastAsia="zh-CN"/>
        </w:rPr>
        <w:t>。我方已接受申请人的请求，并出具《履约保证保险》保险单。</w:t>
      </w:r>
      <w:r>
        <w:rPr>
          <w:rFonts w:hint="default" w:ascii="宋体" w:hAnsi="宋体" w:eastAsia="宋体" w:cs="宋体"/>
          <w:color w:val="auto"/>
          <w:kern w:val="0"/>
          <w:szCs w:val="21"/>
          <w:highlight w:val="none"/>
          <w:lang w:val="en-US" w:eastAsia="zh-CN"/>
        </w:rPr>
        <w:t xml:space="preserve"> </w:t>
      </w:r>
    </w:p>
    <w:p w14:paraId="76939E9E">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一、保证保险金额 </w:t>
      </w:r>
    </w:p>
    <w:p w14:paraId="4380A74B">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我方承担的履约保证保险的保险金额（最高限额）为人民币（大写）</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lang w:val="en-US" w:eastAsia="zh-CN"/>
        </w:rPr>
        <w:t>元 （</w:t>
      </w:r>
      <w:r>
        <w:rPr>
          <w:rFonts w:hint="default" w:ascii="宋体" w:hAnsi="宋体" w:eastAsia="宋体" w:cs="宋体"/>
          <w:color w:val="auto"/>
          <w:kern w:val="0"/>
          <w:szCs w:val="21"/>
          <w:highlight w:val="none"/>
          <w:lang w:val="en-US" w:eastAsia="zh-CN"/>
        </w:rPr>
        <w:t>¥</w:t>
      </w:r>
      <w:r>
        <w:rPr>
          <w:rFonts w:hint="eastAsia" w:ascii="宋体" w:hAnsi="宋体" w:eastAsia="宋体" w:cs="宋体"/>
          <w:b/>
          <w:color w:val="auto"/>
          <w:kern w:val="0"/>
          <w:szCs w:val="21"/>
          <w:highlight w:val="none"/>
          <w:u w:val="single"/>
        </w:rPr>
        <w:t xml:space="preserve">               </w:t>
      </w:r>
      <w:r>
        <w:rPr>
          <w:rFonts w:hint="default"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 xml:space="preserve">）。 </w:t>
      </w:r>
    </w:p>
    <w:p w14:paraId="4C9D2DFB">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二、保证保险的责任范围 </w:t>
      </w:r>
    </w:p>
    <w:p w14:paraId="733166EE">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在保险期间内，申请人因自身原因未按照与贵方签订的</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 xml:space="preserve"> </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项目</w:t>
      </w:r>
      <w:r>
        <w:rPr>
          <w:rFonts w:ascii="宋体" w:hAnsi="宋体" w:eastAsia="宋体" w:cs="Times New Roman"/>
          <w:color w:val="auto"/>
          <w:kern w:val="0"/>
          <w:szCs w:val="21"/>
          <w:highlight w:val="none"/>
          <w:u w:val="single"/>
        </w:rPr>
        <w:t>（招标编号：        ）</w:t>
      </w:r>
      <w:r>
        <w:rPr>
          <w:rFonts w:hint="eastAsia" w:ascii="宋体" w:hAnsi="宋体" w:eastAsia="宋体" w:cs="Times New Roman"/>
          <w:color w:val="auto"/>
          <w:kern w:val="0"/>
          <w:szCs w:val="21"/>
          <w:highlight w:val="none"/>
        </w:rPr>
        <w:t>合同</w:t>
      </w:r>
      <w:r>
        <w:rPr>
          <w:rFonts w:hint="eastAsia" w:ascii="宋体" w:hAnsi="宋体" w:eastAsia="宋体" w:cs="宋体"/>
          <w:color w:val="auto"/>
          <w:kern w:val="0"/>
          <w:szCs w:val="21"/>
          <w:highlight w:val="none"/>
          <w:lang w:val="en-US" w:eastAsia="zh-CN"/>
        </w:rPr>
        <w:t xml:space="preserve">履行相关义务，给贵方造成损失的，贵方可向我方提出索赔，我方按照保险合同的约定承担损失赔偿责任。 </w:t>
      </w:r>
    </w:p>
    <w:p w14:paraId="2FC5EFF7">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三、代偿的安排 </w:t>
      </w:r>
    </w:p>
    <w:p w14:paraId="0089EAA5">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贵方要求我方承担保证保险责任的，我方无条件和不可撤销地在贵方出具本履约保证保险原件且提出因申请人没有履行上述合同规定，而要求我方承担保证责任后，在保险限额内向贵方支付不超过人民币（大写）_________（¥_______元）的款项。</w:t>
      </w:r>
    </w:p>
    <w:p w14:paraId="2585DA49">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四、生效时间 </w:t>
      </w:r>
    </w:p>
    <w:p w14:paraId="67F6FBC0">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本保险凭证自我方法定代表人（或其授权代理人）签字并加盖保险承保章之日起生效。 </w:t>
      </w:r>
    </w:p>
    <w:p w14:paraId="031B0786">
      <w:pPr>
        <w:numPr>
          <w:ilvl w:val="0"/>
          <w:numId w:val="0"/>
        </w:numPr>
        <w:autoSpaceDE w:val="0"/>
        <w:autoSpaceDN w:val="0"/>
        <w:adjustRightInd w:val="0"/>
        <w:spacing w:line="360" w:lineRule="auto"/>
        <w:ind w:firstLine="437" w:firstLineChars="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 w:val="21"/>
          <w:szCs w:val="21"/>
          <w:highlight w:val="none"/>
          <w:lang w:val="en-US" w:eastAsia="zh-CN" w:bidi="ar-SA"/>
        </w:rPr>
        <w:t>五、</w:t>
      </w:r>
      <w:r>
        <w:rPr>
          <w:rFonts w:hint="eastAsia" w:ascii="宋体" w:hAnsi="宋体" w:eastAsia="宋体" w:cs="宋体"/>
          <w:color w:val="auto"/>
          <w:kern w:val="0"/>
          <w:szCs w:val="21"/>
          <w:highlight w:val="none"/>
          <w:lang w:val="en-US" w:eastAsia="zh-CN"/>
        </w:rPr>
        <w:t>其他</w:t>
      </w:r>
    </w:p>
    <w:p w14:paraId="7C8A399F">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本</w:t>
      </w:r>
      <w:r>
        <w:rPr>
          <w:rFonts w:hint="eastAsia" w:ascii="宋体" w:hAnsi="宋体" w:eastAsia="宋体" w:cs="宋体"/>
          <w:color w:val="auto"/>
          <w:kern w:val="0"/>
          <w:szCs w:val="21"/>
          <w:highlight w:val="none"/>
          <w:lang w:val="en-US" w:eastAsia="zh-CN"/>
        </w:rPr>
        <w:t>履约保证保险</w:t>
      </w:r>
      <w:r>
        <w:rPr>
          <w:rFonts w:hint="eastAsia" w:ascii="宋体" w:hAnsi="宋体" w:eastAsia="宋体" w:cs="Times New Roman"/>
          <w:color w:val="auto"/>
          <w:kern w:val="0"/>
          <w:szCs w:val="21"/>
          <w:highlight w:val="none"/>
        </w:rPr>
        <w:t>自合同签订之日起至合同期限届满并完成合同及补充协议</w:t>
      </w:r>
      <w:r>
        <w:rPr>
          <w:rFonts w:hint="eastAsia" w:ascii="宋体" w:hAnsi="宋体" w:eastAsia="宋体" w:cs="Times New Roman"/>
          <w:color w:val="auto"/>
          <w:kern w:val="0"/>
          <w:szCs w:val="21"/>
          <w:highlight w:val="none"/>
          <w:lang w:val="en-US" w:eastAsia="zh-CN"/>
        </w:rPr>
        <w:t>项下</w:t>
      </w:r>
      <w:r>
        <w:rPr>
          <w:rFonts w:hint="eastAsia" w:ascii="宋体" w:hAnsi="宋体" w:eastAsia="宋体" w:cs="Times New Roman"/>
          <w:color w:val="auto"/>
          <w:kern w:val="0"/>
          <w:szCs w:val="21"/>
          <w:highlight w:val="none"/>
        </w:rPr>
        <w:t>全部服务义务，</w:t>
      </w:r>
      <w:r>
        <w:rPr>
          <w:rFonts w:hint="eastAsia" w:ascii="宋体" w:hAnsi="宋体" w:eastAsia="宋体" w:cs="Times New Roman"/>
          <w:color w:val="auto"/>
          <w:kern w:val="0"/>
          <w:szCs w:val="21"/>
          <w:highlight w:val="none"/>
          <w:lang w:val="en-US" w:eastAsia="zh-CN"/>
        </w:rPr>
        <w:t>受益人</w:t>
      </w:r>
      <w:r>
        <w:rPr>
          <w:rFonts w:hint="eastAsia" w:ascii="宋体" w:hAnsi="宋体" w:eastAsia="宋体" w:cs="Times New Roman"/>
          <w:color w:val="auto"/>
          <w:kern w:val="0"/>
          <w:szCs w:val="21"/>
          <w:highlight w:val="none"/>
        </w:rPr>
        <w:t>向</w:t>
      </w:r>
      <w:r>
        <w:rPr>
          <w:rFonts w:hint="eastAsia" w:ascii="宋体" w:hAnsi="宋体" w:eastAsia="宋体" w:cs="Times New Roman"/>
          <w:color w:val="auto"/>
          <w:kern w:val="0"/>
          <w:szCs w:val="21"/>
          <w:highlight w:val="none"/>
          <w:lang w:val="en-US" w:eastAsia="zh-CN"/>
        </w:rPr>
        <w:t>申请人</w:t>
      </w:r>
      <w:r>
        <w:rPr>
          <w:rFonts w:hint="eastAsia" w:ascii="宋体" w:hAnsi="宋体" w:eastAsia="宋体" w:cs="Times New Roman"/>
          <w:color w:val="auto"/>
          <w:kern w:val="0"/>
          <w:szCs w:val="21"/>
          <w:highlight w:val="none"/>
        </w:rPr>
        <w:t>支付全部款项后二十八（28）日内保持有效。</w:t>
      </w:r>
    </w:p>
    <w:p w14:paraId="787A3B76">
      <w:pPr>
        <w:spacing w:line="360" w:lineRule="auto"/>
        <w:ind w:firstLine="437"/>
        <w:rPr>
          <w:rFonts w:hint="default"/>
          <w:color w:val="auto"/>
          <w:highlight w:val="none"/>
          <w:lang w:val="en-US" w:eastAsia="zh-CN"/>
        </w:rPr>
      </w:pPr>
    </w:p>
    <w:p w14:paraId="1AD23033">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附：《</w:t>
      </w:r>
      <w:r>
        <w:rPr>
          <w:rFonts w:hint="default" w:ascii="宋体" w:hAnsi="宋体" w:eastAsia="宋体" w:cs="宋体"/>
          <w:color w:val="auto"/>
          <w:kern w:val="0"/>
          <w:szCs w:val="21"/>
          <w:highlight w:val="none"/>
          <w:lang w:val="en-US" w:eastAsia="zh-CN"/>
        </w:rPr>
        <w:t xml:space="preserve">XXX </w:t>
      </w:r>
      <w:r>
        <w:rPr>
          <w:rFonts w:hint="eastAsia" w:ascii="宋体" w:hAnsi="宋体" w:eastAsia="宋体" w:cs="宋体"/>
          <w:color w:val="auto"/>
          <w:kern w:val="0"/>
          <w:szCs w:val="21"/>
          <w:highlight w:val="none"/>
          <w:lang w:val="en-US" w:eastAsia="zh-CN"/>
        </w:rPr>
        <w:t>保险有限公司履约保证保险（</w:t>
      </w:r>
      <w:r>
        <w:rPr>
          <w:rFonts w:hint="default" w:ascii="宋体" w:hAnsi="宋体" w:eastAsia="宋体" w:cs="宋体"/>
          <w:color w:val="auto"/>
          <w:kern w:val="0"/>
          <w:szCs w:val="21"/>
          <w:highlight w:val="none"/>
          <w:lang w:val="en-US" w:eastAsia="zh-CN"/>
        </w:rPr>
        <w:t xml:space="preserve">X </w:t>
      </w:r>
      <w:r>
        <w:rPr>
          <w:rFonts w:hint="eastAsia" w:ascii="宋体" w:hAnsi="宋体" w:eastAsia="宋体" w:cs="宋体"/>
          <w:color w:val="auto"/>
          <w:kern w:val="0"/>
          <w:szCs w:val="21"/>
          <w:highlight w:val="none"/>
          <w:lang w:val="en-US" w:eastAsia="zh-CN"/>
        </w:rPr>
        <w:t xml:space="preserve">款）条款》及保单 </w:t>
      </w:r>
    </w:p>
    <w:p w14:paraId="7406BAEE">
      <w:pPr>
        <w:autoSpaceDE w:val="0"/>
        <w:autoSpaceDN w:val="0"/>
        <w:adjustRightInd w:val="0"/>
        <w:spacing w:line="360" w:lineRule="auto"/>
        <w:ind w:firstLine="437"/>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xml:space="preserve">                                            </w:t>
      </w:r>
    </w:p>
    <w:p w14:paraId="1091B581">
      <w:pPr>
        <w:autoSpaceDE w:val="0"/>
        <w:autoSpaceDN w:val="0"/>
        <w:adjustRightInd w:val="0"/>
        <w:spacing w:line="360" w:lineRule="auto"/>
        <w:ind w:firstLine="437"/>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                                             保险人：（盖章）</w:t>
      </w:r>
    </w:p>
    <w:p w14:paraId="3DBB3550">
      <w:pPr>
        <w:autoSpaceDE w:val="0"/>
        <w:autoSpaceDN w:val="0"/>
        <w:adjustRightInd w:val="0"/>
        <w:spacing w:line="360" w:lineRule="auto"/>
        <w:ind w:firstLine="437"/>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法定代表人或授权代理人：</w:t>
      </w:r>
      <w:r>
        <w:rPr>
          <w:rFonts w:hint="default" w:ascii="宋体" w:hAnsi="宋体" w:eastAsia="宋体" w:cs="宋体"/>
          <w:color w:val="auto"/>
          <w:kern w:val="0"/>
          <w:szCs w:val="21"/>
          <w:highlight w:val="none"/>
          <w:lang w:val="en-US" w:eastAsia="zh-CN"/>
        </w:rPr>
        <w:t xml:space="preserve">________ </w:t>
      </w:r>
    </w:p>
    <w:p w14:paraId="59D4192C">
      <w:pPr>
        <w:autoSpaceDE w:val="0"/>
        <w:autoSpaceDN w:val="0"/>
        <w:adjustRightInd w:val="0"/>
        <w:spacing w:line="360" w:lineRule="auto"/>
        <w:ind w:firstLine="437"/>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年</w:t>
      </w:r>
      <w:r>
        <w:rPr>
          <w:rFonts w:hint="default"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月</w:t>
      </w:r>
      <w:r>
        <w:rPr>
          <w:rFonts w:hint="default"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日</w:t>
      </w:r>
    </w:p>
    <w:p w14:paraId="0E84915B">
      <w:pPr>
        <w:widowControl/>
        <w:autoSpaceDE w:val="0"/>
        <w:autoSpaceDN w:val="0"/>
        <w:adjustRightInd w:val="0"/>
        <w:spacing w:before="100" w:beforeAutospacing="1" w:after="100" w:afterAutospacing="1"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br w:type="page"/>
      </w:r>
    </w:p>
    <w:p w14:paraId="4DF5088D">
      <w:pPr>
        <w:autoSpaceDE w:val="0"/>
        <w:autoSpaceDN w:val="0"/>
        <w:adjustRightInd w:val="0"/>
        <w:spacing w:after="120" w:afterLines="50" w:line="360" w:lineRule="auto"/>
        <w:jc w:val="left"/>
        <w:rPr>
          <w:rFonts w:ascii="宋体" w:hAnsi="宋体" w:eastAsia="宋体" w:cs="Times New Roman"/>
          <w:b/>
          <w:color w:val="auto"/>
          <w:kern w:val="0"/>
          <w:sz w:val="28"/>
          <w:szCs w:val="28"/>
          <w:highlight w:val="none"/>
        </w:rPr>
      </w:pPr>
      <w:r>
        <w:rPr>
          <w:rFonts w:hint="eastAsia" w:ascii="宋体" w:hAnsi="宋体" w:eastAsia="宋体" w:cs="Times New Roman"/>
          <w:b/>
          <w:color w:val="auto"/>
          <w:kern w:val="0"/>
          <w:sz w:val="28"/>
          <w:szCs w:val="28"/>
          <w:highlight w:val="none"/>
          <w:lang w:val="en-US" w:eastAsia="zh-CN"/>
        </w:rPr>
        <w:t>三</w:t>
      </w:r>
      <w:r>
        <w:rPr>
          <w:rFonts w:hint="eastAsia" w:ascii="宋体" w:hAnsi="宋体" w:eastAsia="宋体" w:cs="Times New Roman"/>
          <w:b/>
          <w:color w:val="auto"/>
          <w:kern w:val="0"/>
          <w:sz w:val="28"/>
          <w:szCs w:val="28"/>
          <w:highlight w:val="none"/>
        </w:rPr>
        <w:t>、担保公司履约担保书格式</w:t>
      </w:r>
    </w:p>
    <w:p w14:paraId="3DB33CDB">
      <w:pPr>
        <w:autoSpaceDE w:val="0"/>
        <w:autoSpaceDN w:val="0"/>
        <w:adjustRightInd w:val="0"/>
        <w:jc w:val="center"/>
        <w:rPr>
          <w:rFonts w:ascii="宋体" w:hAnsi="宋体" w:eastAsia="宋体" w:cs="Times New Roman"/>
          <w:b/>
          <w:color w:val="auto"/>
          <w:kern w:val="0"/>
          <w:sz w:val="30"/>
          <w:szCs w:val="30"/>
          <w:highlight w:val="none"/>
        </w:rPr>
      </w:pPr>
      <w:r>
        <w:rPr>
          <w:rFonts w:hint="eastAsia" w:ascii="宋体" w:hAnsi="宋体" w:eastAsia="宋体" w:cs="Times New Roman"/>
          <w:b/>
          <w:color w:val="auto"/>
          <w:kern w:val="0"/>
          <w:sz w:val="30"/>
          <w:szCs w:val="30"/>
          <w:highlight w:val="none"/>
        </w:rPr>
        <w:t>担保公司履约担保书</w:t>
      </w:r>
    </w:p>
    <w:p w14:paraId="1D508950">
      <w:pPr>
        <w:widowControl/>
        <w:autoSpaceDE w:val="0"/>
        <w:autoSpaceDN w:val="0"/>
        <w:adjustRightInd w:val="0"/>
        <w:spacing w:before="100" w:beforeAutospacing="1" w:after="100" w:afterAutospacing="1"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（下称“受益人”）</w:t>
      </w:r>
    </w:p>
    <w:p w14:paraId="6FE87D28">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鉴于</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申请人</w:t>
      </w:r>
      <w:r>
        <w:rPr>
          <w:rFonts w:ascii="宋体" w:hAnsi="宋体" w:eastAsia="宋体" w:cs="Times New Roman"/>
          <w:color w:val="auto"/>
          <w:kern w:val="0"/>
          <w:szCs w:val="21"/>
          <w:highlight w:val="none"/>
          <w:u w:val="single"/>
        </w:rPr>
        <w:t xml:space="preserve">的名称与地址）  </w:t>
      </w:r>
      <w:r>
        <w:rPr>
          <w:rFonts w:ascii="宋体" w:hAnsi="宋体" w:eastAsia="宋体" w:cs="Times New Roman"/>
          <w:color w:val="auto"/>
          <w:kern w:val="0"/>
          <w:szCs w:val="21"/>
          <w:highlight w:val="none"/>
        </w:rPr>
        <w:t>（下称“</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”），已保证按</w:t>
      </w:r>
      <w:r>
        <w:rPr>
          <w:rFonts w:hint="eastAsia" w:ascii="宋体" w:hAnsi="宋体" w:eastAsia="宋体" w:cs="宋体"/>
          <w:color w:val="auto"/>
          <w:kern w:val="0"/>
          <w:szCs w:val="21"/>
          <w:highlight w:val="none"/>
        </w:rPr>
        <w:t>拟签订的</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 xml:space="preserve"> </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项目</w:t>
      </w:r>
      <w:r>
        <w:rPr>
          <w:rFonts w:ascii="宋体" w:hAnsi="宋体" w:eastAsia="宋体" w:cs="Times New Roman"/>
          <w:color w:val="auto"/>
          <w:kern w:val="0"/>
          <w:szCs w:val="21"/>
          <w:highlight w:val="none"/>
          <w:u w:val="single"/>
        </w:rPr>
        <w:t>（招标编号：        ）</w:t>
      </w:r>
      <w:r>
        <w:rPr>
          <w:rFonts w:hint="eastAsia" w:ascii="宋体" w:hAnsi="宋体" w:eastAsia="宋体" w:cs="Times New Roman"/>
          <w:color w:val="auto"/>
          <w:kern w:val="0"/>
          <w:szCs w:val="21"/>
          <w:highlight w:val="none"/>
        </w:rPr>
        <w:t>合同（招标文件）</w:t>
      </w:r>
      <w:r>
        <w:rPr>
          <w:rFonts w:ascii="宋体" w:hAnsi="宋体" w:eastAsia="宋体" w:cs="Times New Roman"/>
          <w:color w:val="auto"/>
          <w:kern w:val="0"/>
          <w:szCs w:val="21"/>
          <w:highlight w:val="none"/>
        </w:rPr>
        <w:t>中规定的义务履行合同。</w:t>
      </w:r>
    </w:p>
    <w:p w14:paraId="3A0AF60C">
      <w:pPr>
        <w:widowControl/>
        <w:autoSpaceDE w:val="0"/>
        <w:autoSpaceDN w:val="0"/>
        <w:adjustRightInd w:val="0"/>
        <w:spacing w:line="360" w:lineRule="auto"/>
        <w:ind w:firstLine="567" w:firstLineChars="270"/>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根据上述合同（招标文件）规定，</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应向受益人提供一份金额为人民币</w:t>
      </w:r>
      <w:r>
        <w:rPr>
          <w:rFonts w:hint="eastAsia" w:ascii="宋体" w:hAnsi="宋体" w:eastAsia="宋体" w:cs="宋体"/>
          <w:color w:val="auto"/>
          <w:kern w:val="0"/>
          <w:szCs w:val="21"/>
          <w:highlight w:val="none"/>
        </w:rPr>
        <w:t>（大写）</w:t>
      </w:r>
      <w:r>
        <w:rPr>
          <w:rFonts w:ascii="宋体" w:hAnsi="宋体" w:eastAsia="宋体" w:cs="Times New Roman"/>
          <w:color w:val="auto"/>
          <w:kern w:val="0"/>
          <w:szCs w:val="21"/>
          <w:highlight w:val="none"/>
          <w:u w:val="single"/>
        </w:rPr>
        <w:t xml:space="preserve">     （RMB元）</w:t>
      </w:r>
      <w:r>
        <w:rPr>
          <w:rFonts w:ascii="宋体" w:hAnsi="宋体" w:eastAsia="宋体" w:cs="Times New Roman"/>
          <w:color w:val="auto"/>
          <w:kern w:val="0"/>
          <w:szCs w:val="21"/>
          <w:highlight w:val="none"/>
        </w:rPr>
        <w:t>的</w:t>
      </w:r>
      <w:r>
        <w:rPr>
          <w:rFonts w:hint="eastAsia" w:ascii="宋体" w:hAnsi="宋体" w:eastAsia="宋体" w:cs="Times New Roman"/>
          <w:color w:val="auto"/>
          <w:kern w:val="0"/>
          <w:szCs w:val="21"/>
          <w:highlight w:val="none"/>
        </w:rPr>
        <w:t>无条件、</w:t>
      </w:r>
      <w:r>
        <w:rPr>
          <w:rFonts w:ascii="宋体" w:hAnsi="宋体" w:eastAsia="宋体" w:cs="Times New Roman"/>
          <w:bCs/>
          <w:color w:val="auto"/>
          <w:kern w:val="0"/>
          <w:szCs w:val="21"/>
          <w:highlight w:val="none"/>
        </w:rPr>
        <w:t>不可撤销</w:t>
      </w:r>
      <w:r>
        <w:rPr>
          <w:rFonts w:ascii="宋体" w:hAnsi="宋体" w:eastAsia="宋体" w:cs="Times New Roman"/>
          <w:color w:val="auto"/>
          <w:kern w:val="0"/>
          <w:szCs w:val="21"/>
          <w:highlight w:val="none"/>
        </w:rPr>
        <w:t>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，作为</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履行上述合同的担保</w:t>
      </w:r>
      <w:r>
        <w:rPr>
          <w:rFonts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Hans"/>
        </w:rPr>
        <w:t>我方</w:t>
      </w:r>
      <w:r>
        <w:rPr>
          <w:rFonts w:ascii="宋体" w:hAnsi="宋体" w:eastAsia="宋体" w:cs="宋体"/>
          <w:color w:val="auto"/>
          <w:kern w:val="0"/>
          <w:szCs w:val="21"/>
          <w:highlight w:val="none"/>
          <w:u w:val="single"/>
        </w:rPr>
        <w:t xml:space="preserve">  </w:t>
      </w:r>
      <w:r>
        <w:rPr>
          <w:rFonts w:ascii="宋体" w:hAnsi="宋体" w:eastAsia="宋体" w:cs="Times New Roman"/>
          <w:color w:val="auto"/>
          <w:kern w:val="0"/>
          <w:szCs w:val="21"/>
          <w:highlight w:val="none"/>
          <w:u w:val="single"/>
        </w:rPr>
        <w:t>（</w:t>
      </w:r>
      <w:r>
        <w:rPr>
          <w:rFonts w:hint="eastAsia" w:ascii="宋体" w:hAnsi="宋体" w:eastAsia="宋体" w:cs="Times New Roman"/>
          <w:color w:val="auto"/>
          <w:kern w:val="0"/>
          <w:szCs w:val="21"/>
          <w:highlight w:val="none"/>
          <w:u w:val="single"/>
        </w:rPr>
        <w:t>担保公司</w:t>
      </w:r>
      <w:r>
        <w:rPr>
          <w:rFonts w:ascii="宋体" w:hAnsi="宋体" w:eastAsia="宋体" w:cs="Times New Roman"/>
          <w:color w:val="auto"/>
          <w:kern w:val="0"/>
          <w:szCs w:val="21"/>
          <w:highlight w:val="none"/>
          <w:u w:val="single"/>
        </w:rPr>
        <w:t>名称）</w:t>
      </w:r>
      <w:r>
        <w:rPr>
          <w:rFonts w:hint="eastAsia" w:ascii="宋体" w:hAnsi="宋体" w:eastAsia="宋体" w:cs="Times New Roman"/>
          <w:color w:val="auto"/>
          <w:kern w:val="0"/>
          <w:szCs w:val="21"/>
          <w:highlight w:val="none"/>
          <w:u w:val="single"/>
        </w:rPr>
        <w:t xml:space="preserve">  </w:t>
      </w: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lang w:eastAsia="zh-Hans"/>
        </w:rPr>
        <w:t>本合同项下的保证责任为连带责任保证</w:t>
      </w:r>
      <w:r>
        <w:rPr>
          <w:rFonts w:hint="eastAsia" w:ascii="宋体" w:hAnsi="宋体" w:eastAsia="宋体" w:cs="宋体"/>
          <w:color w:val="auto"/>
          <w:kern w:val="0"/>
          <w:szCs w:val="21"/>
          <w:highlight w:val="none"/>
        </w:rPr>
        <w:t>。</w:t>
      </w:r>
    </w:p>
    <w:p w14:paraId="632DD8F4">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ascii="宋体" w:hAnsi="宋体" w:eastAsia="宋体" w:cs="Times New Roman"/>
          <w:color w:val="auto"/>
          <w:kern w:val="0"/>
          <w:szCs w:val="21"/>
          <w:highlight w:val="none"/>
        </w:rPr>
        <w:t>我方</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担保公司</w:t>
      </w:r>
      <w:r>
        <w:rPr>
          <w:rFonts w:ascii="宋体" w:hAnsi="宋体" w:eastAsia="宋体" w:cs="Times New Roman"/>
          <w:color w:val="auto"/>
          <w:kern w:val="0"/>
          <w:szCs w:val="21"/>
          <w:highlight w:val="none"/>
          <w:u w:val="single"/>
        </w:rPr>
        <w:t xml:space="preserve">名称）  </w:t>
      </w:r>
      <w:r>
        <w:rPr>
          <w:rFonts w:ascii="宋体" w:hAnsi="宋体" w:eastAsia="宋体" w:cs="Times New Roman"/>
          <w:color w:val="auto"/>
          <w:kern w:val="0"/>
          <w:szCs w:val="21"/>
          <w:highlight w:val="none"/>
        </w:rPr>
        <w:t>，受</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的委托，</w:t>
      </w:r>
      <w:r>
        <w:rPr>
          <w:rFonts w:hint="eastAsia" w:ascii="宋体" w:hAnsi="宋体" w:eastAsia="宋体" w:cs="宋体"/>
          <w:color w:val="auto"/>
          <w:kern w:val="0"/>
          <w:szCs w:val="21"/>
          <w:highlight w:val="none"/>
        </w:rPr>
        <w:t>无条件和不可撤销地在受益人出具本担保书原件且提出因申请人没有履行上述合同规定，在担保书限额内向受益人支付不超过人民币（大写）_________（¥</w:t>
      </w:r>
      <w:r>
        <w:rPr>
          <w:rFonts w:ascii="宋体" w:hAnsi="宋体" w:eastAsia="宋体" w:cs="宋体"/>
          <w:color w:val="auto"/>
          <w:kern w:val="0"/>
          <w:szCs w:val="21"/>
          <w:highlight w:val="none"/>
        </w:rPr>
        <w:t>_______元）</w:t>
      </w:r>
      <w:r>
        <w:rPr>
          <w:rFonts w:hint="eastAsia" w:ascii="宋体" w:hAnsi="宋体" w:eastAsia="宋体" w:cs="宋体"/>
          <w:color w:val="auto"/>
          <w:kern w:val="0"/>
          <w:szCs w:val="21"/>
          <w:highlight w:val="none"/>
        </w:rPr>
        <w:t>的款项。</w:t>
      </w:r>
    </w:p>
    <w:p w14:paraId="678C343E">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我方还同意，任何受益人与</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之间可能对合同条款的修改、规范或其他合同文件的变动补充，都不能免除我方按本</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函所承担的责任。因此，有关上述变动、补充和修改无须通知</w:t>
      </w:r>
      <w:r>
        <w:rPr>
          <w:rFonts w:hint="eastAsia" w:ascii="宋体" w:hAnsi="宋体" w:eastAsia="宋体" w:cs="Times New Roman"/>
          <w:color w:val="auto"/>
          <w:kern w:val="0"/>
          <w:szCs w:val="21"/>
          <w:highlight w:val="none"/>
        </w:rPr>
        <w:t>或征得</w:t>
      </w:r>
      <w:r>
        <w:rPr>
          <w:rFonts w:ascii="宋体" w:hAnsi="宋体" w:eastAsia="宋体" w:cs="Times New Roman"/>
          <w:color w:val="auto"/>
          <w:kern w:val="0"/>
          <w:szCs w:val="21"/>
          <w:highlight w:val="none"/>
        </w:rPr>
        <w:t>我方</w:t>
      </w:r>
      <w:r>
        <w:rPr>
          <w:rFonts w:hint="eastAsia" w:ascii="宋体" w:hAnsi="宋体" w:eastAsia="宋体" w:cs="Times New Roman"/>
          <w:color w:val="auto"/>
          <w:kern w:val="0"/>
          <w:szCs w:val="21"/>
          <w:highlight w:val="none"/>
        </w:rPr>
        <w:t>同意</w:t>
      </w:r>
      <w:r>
        <w:rPr>
          <w:rFonts w:ascii="宋体" w:hAnsi="宋体" w:eastAsia="宋体" w:cs="Times New Roman"/>
          <w:color w:val="auto"/>
          <w:kern w:val="0"/>
          <w:szCs w:val="21"/>
          <w:highlight w:val="none"/>
        </w:rPr>
        <w:t>。</w:t>
      </w:r>
    </w:p>
    <w:p w14:paraId="7D710D5F">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本保函</w:t>
      </w:r>
      <w:r>
        <w:rPr>
          <w:rFonts w:hint="eastAsia" w:ascii="宋体" w:hAnsi="宋体" w:eastAsia="宋体" w:cs="Times New Roman"/>
          <w:color w:val="auto"/>
          <w:kern w:val="0"/>
          <w:szCs w:val="21"/>
          <w:highlight w:val="none"/>
        </w:rPr>
        <w:t>自合同签订之日起至合同期限届满并完成合同及补充协议</w:t>
      </w:r>
      <w:r>
        <w:rPr>
          <w:rFonts w:hint="eastAsia" w:ascii="宋体" w:hAnsi="宋体" w:eastAsia="宋体" w:cs="Times New Roman"/>
          <w:color w:val="auto"/>
          <w:kern w:val="0"/>
          <w:szCs w:val="21"/>
          <w:highlight w:val="none"/>
          <w:lang w:val="en-US" w:eastAsia="zh-CN"/>
        </w:rPr>
        <w:t>项下</w:t>
      </w:r>
      <w:r>
        <w:rPr>
          <w:rFonts w:hint="eastAsia" w:ascii="宋体" w:hAnsi="宋体" w:eastAsia="宋体" w:cs="Times New Roman"/>
          <w:color w:val="auto"/>
          <w:kern w:val="0"/>
          <w:szCs w:val="21"/>
          <w:highlight w:val="none"/>
        </w:rPr>
        <w:t>全部服务义务，</w:t>
      </w:r>
      <w:r>
        <w:rPr>
          <w:rFonts w:hint="eastAsia" w:ascii="宋体" w:hAnsi="宋体" w:eastAsia="宋体" w:cs="Times New Roman"/>
          <w:color w:val="auto"/>
          <w:kern w:val="0"/>
          <w:szCs w:val="21"/>
          <w:highlight w:val="none"/>
          <w:lang w:val="en-US" w:eastAsia="zh-CN"/>
        </w:rPr>
        <w:t>受益人</w:t>
      </w:r>
      <w:r>
        <w:rPr>
          <w:rFonts w:hint="eastAsia" w:ascii="宋体" w:hAnsi="宋体" w:eastAsia="宋体" w:cs="Times New Roman"/>
          <w:color w:val="auto"/>
          <w:kern w:val="0"/>
          <w:szCs w:val="21"/>
          <w:highlight w:val="none"/>
        </w:rPr>
        <w:t>向</w:t>
      </w:r>
      <w:r>
        <w:rPr>
          <w:rFonts w:hint="eastAsia" w:ascii="宋体" w:hAnsi="宋体" w:eastAsia="宋体" w:cs="Times New Roman"/>
          <w:color w:val="auto"/>
          <w:kern w:val="0"/>
          <w:szCs w:val="21"/>
          <w:highlight w:val="none"/>
          <w:lang w:val="en-US" w:eastAsia="zh-CN"/>
        </w:rPr>
        <w:t>申请人</w:t>
      </w:r>
      <w:r>
        <w:rPr>
          <w:rFonts w:hint="eastAsia" w:ascii="宋体" w:hAnsi="宋体" w:eastAsia="宋体" w:cs="Times New Roman"/>
          <w:color w:val="auto"/>
          <w:kern w:val="0"/>
          <w:szCs w:val="21"/>
          <w:highlight w:val="none"/>
        </w:rPr>
        <w:t>支付全部款项后二十八（28）日内保持有效。</w:t>
      </w:r>
    </w:p>
    <w:p w14:paraId="15BA017A">
      <w:pPr>
        <w:autoSpaceDE w:val="0"/>
        <w:autoSpaceDN w:val="0"/>
        <w:adjustRightInd w:val="0"/>
        <w:spacing w:line="360" w:lineRule="auto"/>
        <w:jc w:val="left"/>
        <w:rPr>
          <w:rFonts w:ascii="宋体" w:hAnsi="宋体" w:eastAsia="宋体" w:cs="Times New Roman"/>
          <w:color w:val="auto"/>
          <w:kern w:val="0"/>
          <w:szCs w:val="21"/>
          <w:highlight w:val="none"/>
        </w:rPr>
      </w:pPr>
    </w:p>
    <w:p w14:paraId="6AB35A4E">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法定代表人或其授权的代理人：（签字或盖私章）</w:t>
      </w:r>
    </w:p>
    <w:p w14:paraId="169B7C2E">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担保公司盖章：</w:t>
      </w:r>
    </w:p>
    <w:p w14:paraId="54EC7BEE">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联系电话：</w:t>
      </w:r>
    </w:p>
    <w:p w14:paraId="14D611ED">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地址：</w:t>
      </w:r>
    </w:p>
    <w:p w14:paraId="254E16B5">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日期：    年   月   日</w:t>
      </w:r>
    </w:p>
    <w:p w14:paraId="2F87C87A">
      <w:pPr>
        <w:autoSpaceDE w:val="0"/>
        <w:autoSpaceDN w:val="0"/>
        <w:adjustRightInd w:val="0"/>
        <w:spacing w:line="360" w:lineRule="auto"/>
        <w:ind w:right="368" w:rightChars="175"/>
        <w:jc w:val="left"/>
        <w:rPr>
          <w:rFonts w:ascii="宋体" w:hAnsi="宋体" w:eastAsia="宋体" w:cs="Times New Roman"/>
          <w:color w:val="auto"/>
          <w:kern w:val="0"/>
          <w:szCs w:val="21"/>
          <w:highlight w:val="none"/>
        </w:rPr>
      </w:pPr>
    </w:p>
    <w:p w14:paraId="47B12DB3">
      <w:pPr>
        <w:autoSpaceDE w:val="0"/>
        <w:autoSpaceDN w:val="0"/>
        <w:adjustRightInd w:val="0"/>
        <w:spacing w:line="360" w:lineRule="auto"/>
        <w:jc w:val="left"/>
        <w:rPr>
          <w:rFonts w:ascii="宋体" w:hAnsi="宋体" w:eastAsia="宋体" w:cs="Times New Roman"/>
          <w:color w:val="auto"/>
          <w:kern w:val="0"/>
          <w:szCs w:val="21"/>
          <w:highlight w:val="none"/>
        </w:rPr>
      </w:pPr>
    </w:p>
    <w:p w14:paraId="1A2A6C5F">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0C5FA3F1">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3F024CA8">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52B2547A">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36F236BA">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7F7F6F11">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0DFAD204">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48FF9522">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p>
    <w:p w14:paraId="42EF2DD4">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auto"/>
          <w:kern w:val="44"/>
          <w:sz w:val="32"/>
          <w:szCs w:val="32"/>
          <w:highlight w:val="none"/>
        </w:rPr>
      </w:pPr>
      <w:bookmarkStart w:id="762" w:name="_Toc27923"/>
      <w:bookmarkStart w:id="763" w:name="_Toc14958"/>
      <w:bookmarkStart w:id="764" w:name="_Toc450662895"/>
      <w:bookmarkStart w:id="765" w:name="_Toc26967"/>
      <w:bookmarkStart w:id="766" w:name="_Toc32761_WPSOffice_Level1"/>
      <w:bookmarkStart w:id="767" w:name="_Toc16899"/>
      <w:bookmarkStart w:id="768" w:name="_Toc15817"/>
      <w:bookmarkStart w:id="769" w:name="_Toc9840"/>
      <w:bookmarkStart w:id="770" w:name="_Toc19798"/>
      <w:bookmarkStart w:id="771" w:name="_Toc20724"/>
      <w:bookmarkStart w:id="772" w:name="_Toc486167708"/>
      <w:bookmarkStart w:id="773" w:name="_Toc29780"/>
      <w:bookmarkStart w:id="774" w:name="_Toc142508361"/>
      <w:r>
        <w:rPr>
          <w:rFonts w:hint="eastAsia" w:ascii="宋体" w:hAnsi="宋体" w:eastAsia="宋体" w:cs="宋体"/>
          <w:b/>
          <w:bCs/>
          <w:color w:val="auto"/>
          <w:kern w:val="44"/>
          <w:sz w:val="32"/>
          <w:szCs w:val="32"/>
          <w:highlight w:val="none"/>
          <w:lang w:val="zh-CN"/>
        </w:rPr>
        <w:t>第六篇 投标文件格式</w:t>
      </w:r>
      <w:bookmarkEnd w:id="762"/>
      <w:bookmarkEnd w:id="763"/>
      <w:bookmarkEnd w:id="764"/>
      <w:bookmarkEnd w:id="765"/>
      <w:bookmarkEnd w:id="766"/>
      <w:bookmarkEnd w:id="767"/>
      <w:bookmarkEnd w:id="768"/>
      <w:bookmarkEnd w:id="769"/>
      <w:bookmarkEnd w:id="770"/>
      <w:bookmarkEnd w:id="771"/>
      <w:bookmarkEnd w:id="772"/>
      <w:bookmarkEnd w:id="773"/>
      <w:bookmarkEnd w:id="774"/>
    </w:p>
    <w:p w14:paraId="1AEAB818">
      <w:pPr>
        <w:rPr>
          <w:rFonts w:hint="eastAsia" w:ascii="宋体" w:hAnsi="宋体" w:eastAsia="宋体" w:cs="宋体"/>
          <w:color w:val="auto"/>
          <w:sz w:val="84"/>
          <w:highlight w:val="none"/>
        </w:rPr>
      </w:pPr>
      <w:bookmarkStart w:id="775" w:name="_Toc1977721"/>
      <w:bookmarkStart w:id="776" w:name="_Toc102860411"/>
      <w:bookmarkStart w:id="777" w:name="_Toc94107202"/>
      <w:bookmarkStart w:id="778" w:name="_Toc142508362"/>
      <w:bookmarkStart w:id="779" w:name="_Toc533708121"/>
      <w:bookmarkStart w:id="780" w:name="_Toc486167709"/>
      <w:bookmarkStart w:id="781" w:name="_Toc104991868"/>
      <w:bookmarkStart w:id="782" w:name="_Toc21133_WPSOffice_Level2"/>
      <w:bookmarkStart w:id="783" w:name="_Toc102860067"/>
      <w:bookmarkStart w:id="784" w:name="_Toc140596921"/>
      <w:r>
        <w:rPr>
          <w:rFonts w:hint="eastAsia" w:ascii="宋体" w:hAnsi="宋体" w:eastAsia="宋体" w:cs="宋体"/>
          <w:b/>
          <w:color w:val="auto"/>
          <w:kern w:val="0"/>
          <w:sz w:val="32"/>
          <w:szCs w:val="32"/>
          <w:highlight w:val="none"/>
        </w:rPr>
        <w:br w:type="page"/>
      </w:r>
    </w:p>
    <w:p w14:paraId="76439717">
      <w:pPr>
        <w:pStyle w:val="20"/>
        <w:spacing w:line="360" w:lineRule="auto"/>
        <w:jc w:val="center"/>
        <w:rPr>
          <w:rFonts w:hint="eastAsia" w:ascii="宋体" w:hAnsi="宋体" w:eastAsia="宋体" w:cs="宋体"/>
          <w:color w:val="auto"/>
          <w:sz w:val="84"/>
          <w:highlight w:val="none"/>
        </w:rPr>
      </w:pPr>
    </w:p>
    <w:p w14:paraId="14971DCF">
      <w:pPr>
        <w:pStyle w:val="20"/>
        <w:spacing w:line="360" w:lineRule="auto"/>
        <w:jc w:val="center"/>
        <w:rPr>
          <w:rFonts w:hint="eastAsia" w:ascii="宋体" w:hAnsi="宋体" w:eastAsia="宋体" w:cs="宋体"/>
          <w:color w:val="auto"/>
          <w:sz w:val="84"/>
          <w:highlight w:val="none"/>
        </w:rPr>
      </w:pPr>
    </w:p>
    <w:p w14:paraId="093B07BE">
      <w:pPr>
        <w:pStyle w:val="20"/>
        <w:spacing w:line="360" w:lineRule="auto"/>
        <w:jc w:val="center"/>
        <w:rPr>
          <w:rFonts w:hint="eastAsia" w:ascii="宋体" w:hAnsi="宋体" w:eastAsia="宋体" w:cs="宋体"/>
          <w:color w:val="auto"/>
          <w:sz w:val="84"/>
          <w:highlight w:val="none"/>
        </w:rPr>
      </w:pPr>
      <w:r>
        <w:rPr>
          <w:rFonts w:hint="eastAsia" w:ascii="宋体" w:hAnsi="宋体" w:eastAsia="宋体" w:cs="宋体"/>
          <w:color w:val="auto"/>
          <w:sz w:val="84"/>
          <w:highlight w:val="none"/>
        </w:rPr>
        <w:t>投 标 文 件</w:t>
      </w:r>
    </w:p>
    <w:p w14:paraId="7B5A8B19">
      <w:pPr>
        <w:pStyle w:val="20"/>
        <w:spacing w:line="360" w:lineRule="auto"/>
        <w:rPr>
          <w:rFonts w:hint="eastAsia" w:ascii="宋体" w:hAnsi="宋体" w:eastAsia="宋体" w:cs="宋体"/>
          <w:color w:val="auto"/>
          <w:highlight w:val="none"/>
        </w:rPr>
      </w:pPr>
    </w:p>
    <w:p w14:paraId="3ED75943">
      <w:pPr>
        <w:pStyle w:val="20"/>
        <w:spacing w:line="360" w:lineRule="auto"/>
        <w:rPr>
          <w:rFonts w:hint="eastAsia" w:ascii="宋体" w:hAnsi="宋体" w:eastAsia="宋体" w:cs="宋体"/>
          <w:color w:val="auto"/>
          <w:highlight w:val="none"/>
        </w:rPr>
      </w:pPr>
    </w:p>
    <w:p w14:paraId="1210CE65">
      <w:pPr>
        <w:pStyle w:val="20"/>
        <w:spacing w:line="360" w:lineRule="auto"/>
        <w:rPr>
          <w:rFonts w:hint="eastAsia" w:ascii="宋体" w:hAnsi="宋体" w:eastAsia="宋体" w:cs="宋体"/>
          <w:color w:val="auto"/>
          <w:highlight w:val="none"/>
        </w:rPr>
      </w:pPr>
    </w:p>
    <w:p w14:paraId="018CBCEE">
      <w:pPr>
        <w:pStyle w:val="20"/>
        <w:spacing w:line="360" w:lineRule="auto"/>
        <w:rPr>
          <w:rFonts w:hint="eastAsia" w:ascii="宋体" w:hAnsi="宋体" w:eastAsia="宋体" w:cs="宋体"/>
          <w:color w:val="auto"/>
          <w:highlight w:val="none"/>
        </w:rPr>
      </w:pPr>
    </w:p>
    <w:p w14:paraId="2D047977">
      <w:pPr>
        <w:pStyle w:val="20"/>
        <w:spacing w:line="360" w:lineRule="auto"/>
        <w:rPr>
          <w:rFonts w:hint="eastAsia" w:ascii="宋体" w:hAnsi="宋体" w:eastAsia="宋体" w:cs="宋体"/>
          <w:color w:val="auto"/>
          <w:highlight w:val="none"/>
        </w:rPr>
      </w:pPr>
    </w:p>
    <w:p w14:paraId="51B4FDBA">
      <w:pPr>
        <w:pStyle w:val="20"/>
        <w:spacing w:line="360" w:lineRule="auto"/>
        <w:rPr>
          <w:rFonts w:hint="eastAsia" w:ascii="宋体" w:hAnsi="宋体" w:eastAsia="宋体" w:cs="宋体"/>
          <w:color w:val="auto"/>
          <w:highlight w:val="none"/>
        </w:rPr>
      </w:pPr>
    </w:p>
    <w:p w14:paraId="47D51307">
      <w:pPr>
        <w:pStyle w:val="20"/>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招标编号：</w:t>
      </w:r>
      <w:r>
        <w:rPr>
          <w:rFonts w:hint="eastAsia" w:ascii="宋体" w:hAnsi="宋体" w:eastAsia="宋体" w:cs="宋体"/>
          <w:color w:val="auto"/>
          <w:sz w:val="30"/>
          <w:highlight w:val="none"/>
          <w:u w:val="single"/>
        </w:rPr>
        <w:t xml:space="preserve">                      </w:t>
      </w:r>
    </w:p>
    <w:p w14:paraId="7BC841BE">
      <w:pPr>
        <w:pStyle w:val="20"/>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项目名称：</w:t>
      </w:r>
      <w:r>
        <w:rPr>
          <w:rFonts w:hint="eastAsia" w:ascii="宋体" w:hAnsi="宋体" w:eastAsia="宋体" w:cs="宋体"/>
          <w:color w:val="auto"/>
          <w:sz w:val="30"/>
          <w:highlight w:val="none"/>
          <w:u w:val="single"/>
        </w:rPr>
        <w:t xml:space="preserve">                      </w:t>
      </w:r>
    </w:p>
    <w:p w14:paraId="1CAB714D">
      <w:pPr>
        <w:pStyle w:val="20"/>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投标文件内容：</w:t>
      </w:r>
      <w:r>
        <w:rPr>
          <w:rFonts w:hint="eastAsia" w:ascii="宋体" w:hAnsi="宋体" w:eastAsia="宋体" w:cs="宋体"/>
          <w:color w:val="auto"/>
          <w:sz w:val="30"/>
          <w:highlight w:val="none"/>
          <w:u w:val="single"/>
        </w:rPr>
        <w:t xml:space="preserve"> 投标文件商务部分 </w:t>
      </w:r>
    </w:p>
    <w:p w14:paraId="0CCBB3BB">
      <w:pPr>
        <w:pStyle w:val="20"/>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招标人：</w:t>
      </w:r>
      <w:r>
        <w:rPr>
          <w:rFonts w:hint="eastAsia" w:ascii="宋体" w:hAnsi="宋体" w:eastAsia="宋体" w:cs="宋体"/>
          <w:color w:val="auto"/>
          <w:sz w:val="30"/>
          <w:highlight w:val="none"/>
          <w:u w:val="single"/>
        </w:rPr>
        <w:t xml:space="preserve">                        </w:t>
      </w:r>
    </w:p>
    <w:p w14:paraId="0D8B1713">
      <w:pPr>
        <w:pStyle w:val="20"/>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投标人：</w:t>
      </w:r>
      <w:r>
        <w:rPr>
          <w:rFonts w:hint="eastAsia" w:ascii="宋体" w:hAnsi="宋体" w:eastAsia="宋体" w:cs="宋体"/>
          <w:color w:val="auto"/>
          <w:sz w:val="30"/>
          <w:highlight w:val="none"/>
          <w:u w:val="single"/>
        </w:rPr>
        <w:t xml:space="preserve">                        </w:t>
      </w:r>
    </w:p>
    <w:p w14:paraId="0F43C3EE">
      <w:pPr>
        <w:pStyle w:val="20"/>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日  期：</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年</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月</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日</w:t>
      </w:r>
    </w:p>
    <w:p w14:paraId="03444E0D">
      <w:pPr>
        <w:pStyle w:val="20"/>
        <w:spacing w:line="360" w:lineRule="auto"/>
        <w:rPr>
          <w:rFonts w:hint="eastAsia" w:ascii="宋体" w:hAnsi="宋体" w:eastAsia="宋体" w:cs="宋体"/>
          <w:color w:val="auto"/>
          <w:highlight w:val="none"/>
        </w:rPr>
      </w:pPr>
    </w:p>
    <w:p w14:paraId="4C6631C9">
      <w:pPr>
        <w:pStyle w:val="2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EE35286">
      <w:pPr>
        <w:pStyle w:val="20"/>
        <w:spacing w:line="360" w:lineRule="auto"/>
        <w:rPr>
          <w:rFonts w:hint="eastAsia" w:ascii="宋体" w:hAnsi="宋体" w:eastAsia="宋体" w:cs="宋体"/>
          <w:color w:val="auto"/>
          <w:highlight w:val="none"/>
        </w:rPr>
      </w:pPr>
    </w:p>
    <w:p w14:paraId="7DDCA069">
      <w:pPr>
        <w:pBdr>
          <w:bottom w:val="single" w:color="auto" w:sz="6" w:space="0"/>
        </w:pBdr>
        <w:spacing w:line="480" w:lineRule="auto"/>
        <w:ind w:firstLine="472" w:firstLineChars="224"/>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投标文件商务评审部分索引表</w:t>
      </w:r>
    </w:p>
    <w:tbl>
      <w:tblPr>
        <w:tblStyle w:val="37"/>
        <w:tblW w:w="499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1379"/>
        <w:gridCol w:w="2773"/>
        <w:gridCol w:w="2157"/>
        <w:gridCol w:w="4059"/>
      </w:tblGrid>
      <w:tr w14:paraId="516B93D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665" w:type="pct"/>
            <w:vAlign w:val="center"/>
          </w:tcPr>
          <w:p w14:paraId="2AF4232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1337" w:type="pct"/>
            <w:vAlign w:val="center"/>
          </w:tcPr>
          <w:p w14:paraId="16A4569D">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评标项目</w:t>
            </w:r>
          </w:p>
        </w:tc>
        <w:tc>
          <w:tcPr>
            <w:tcW w:w="1040" w:type="pct"/>
            <w:vAlign w:val="center"/>
          </w:tcPr>
          <w:p w14:paraId="2873CFEB">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招标文件上的满分值</w:t>
            </w:r>
          </w:p>
        </w:tc>
        <w:tc>
          <w:tcPr>
            <w:tcW w:w="1957" w:type="pct"/>
            <w:tcBorders>
              <w:left w:val="single" w:color="auto" w:sz="4" w:space="0"/>
            </w:tcBorders>
            <w:vAlign w:val="center"/>
          </w:tcPr>
          <w:p w14:paraId="69C39F6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页码索引</w:t>
            </w:r>
          </w:p>
        </w:tc>
      </w:tr>
      <w:tr w14:paraId="7F891C0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665" w:type="pct"/>
            <w:vAlign w:val="center"/>
          </w:tcPr>
          <w:p w14:paraId="6211F77B">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1337" w:type="pct"/>
            <w:vAlign w:val="center"/>
          </w:tcPr>
          <w:p w14:paraId="3E9CC43D">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1040" w:type="pct"/>
            <w:vAlign w:val="center"/>
          </w:tcPr>
          <w:p w14:paraId="1C86C602">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1957" w:type="pct"/>
            <w:tcBorders>
              <w:left w:val="single" w:color="auto" w:sz="4" w:space="0"/>
            </w:tcBorders>
            <w:vAlign w:val="center"/>
          </w:tcPr>
          <w:p w14:paraId="7F1C20C6">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bCs/>
                <w:color w:val="auto"/>
                <w:szCs w:val="21"/>
                <w:highlight w:val="none"/>
              </w:rPr>
            </w:pPr>
          </w:p>
        </w:tc>
      </w:tr>
      <w:tr w14:paraId="34E5A3D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665" w:type="pct"/>
            <w:vAlign w:val="center"/>
          </w:tcPr>
          <w:p w14:paraId="4E77A972">
            <w:pPr>
              <w:keepNext w:val="0"/>
              <w:keepLines w:val="0"/>
              <w:suppressLineNumbers w:val="0"/>
              <w:spacing w:before="0" w:beforeAutospacing="0" w:after="0" w:afterAutospacing="0"/>
              <w:ind w:left="0" w:right="0"/>
              <w:rPr>
                <w:rFonts w:hint="eastAsia" w:ascii="宋体" w:hAnsi="宋体" w:eastAsia="宋体" w:cs="宋体"/>
                <w:bCs/>
                <w:color w:val="auto"/>
                <w:szCs w:val="21"/>
                <w:highlight w:val="none"/>
              </w:rPr>
            </w:pPr>
          </w:p>
        </w:tc>
        <w:tc>
          <w:tcPr>
            <w:tcW w:w="1337" w:type="pct"/>
            <w:vAlign w:val="center"/>
          </w:tcPr>
          <w:p w14:paraId="486DFB8E">
            <w:pPr>
              <w:keepNext w:val="0"/>
              <w:keepLines w:val="0"/>
              <w:suppressLineNumbers w:val="0"/>
              <w:spacing w:before="0" w:beforeAutospacing="0" w:after="0" w:afterAutospacing="0"/>
              <w:ind w:left="0" w:right="0"/>
              <w:rPr>
                <w:rFonts w:hint="eastAsia" w:ascii="宋体" w:hAnsi="宋体" w:eastAsia="宋体" w:cs="宋体"/>
                <w:bCs/>
                <w:color w:val="auto"/>
                <w:szCs w:val="21"/>
                <w:highlight w:val="none"/>
              </w:rPr>
            </w:pPr>
          </w:p>
        </w:tc>
        <w:tc>
          <w:tcPr>
            <w:tcW w:w="1040" w:type="pct"/>
            <w:vAlign w:val="center"/>
          </w:tcPr>
          <w:p w14:paraId="3E720B5E">
            <w:pPr>
              <w:keepNext w:val="0"/>
              <w:keepLines w:val="0"/>
              <w:suppressLineNumbers w:val="0"/>
              <w:spacing w:before="0" w:beforeAutospacing="0" w:after="0" w:afterAutospacing="0"/>
              <w:ind w:left="0" w:right="0"/>
              <w:rPr>
                <w:rFonts w:hint="eastAsia" w:ascii="宋体" w:hAnsi="宋体" w:eastAsia="宋体" w:cs="宋体"/>
                <w:bCs/>
                <w:color w:val="auto"/>
                <w:szCs w:val="21"/>
                <w:highlight w:val="none"/>
              </w:rPr>
            </w:pPr>
          </w:p>
        </w:tc>
        <w:tc>
          <w:tcPr>
            <w:tcW w:w="1957" w:type="pct"/>
            <w:tcBorders>
              <w:left w:val="single" w:color="auto" w:sz="4" w:space="0"/>
            </w:tcBorders>
            <w:vAlign w:val="center"/>
          </w:tcPr>
          <w:p w14:paraId="20954FCC">
            <w:pPr>
              <w:keepNext w:val="0"/>
              <w:keepLines w:val="0"/>
              <w:suppressLineNumbers w:val="0"/>
              <w:adjustRightInd w:val="0"/>
              <w:snapToGrid w:val="0"/>
              <w:spacing w:before="0" w:beforeAutospacing="0" w:after="0" w:afterAutospacing="0" w:line="360" w:lineRule="auto"/>
              <w:ind w:left="0" w:right="0" w:firstLine="105" w:firstLineChars="50"/>
              <w:rPr>
                <w:rFonts w:hint="eastAsia" w:ascii="宋体" w:hAnsi="宋体" w:eastAsia="宋体" w:cs="宋体"/>
                <w:bCs/>
                <w:color w:val="auto"/>
                <w:szCs w:val="21"/>
                <w:highlight w:val="none"/>
              </w:rPr>
            </w:pPr>
          </w:p>
        </w:tc>
      </w:tr>
      <w:tr w14:paraId="61D2D43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665" w:type="pct"/>
            <w:vAlign w:val="center"/>
          </w:tcPr>
          <w:p w14:paraId="36E69876">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1337" w:type="pct"/>
            <w:vAlign w:val="center"/>
          </w:tcPr>
          <w:p w14:paraId="3D9BD177">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bCs/>
                <w:color w:val="auto"/>
                <w:szCs w:val="21"/>
                <w:highlight w:val="none"/>
              </w:rPr>
            </w:pPr>
          </w:p>
        </w:tc>
        <w:tc>
          <w:tcPr>
            <w:tcW w:w="1040" w:type="pct"/>
            <w:vAlign w:val="center"/>
          </w:tcPr>
          <w:p w14:paraId="4717B341">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1957" w:type="pct"/>
            <w:tcBorders>
              <w:left w:val="single" w:color="auto" w:sz="4" w:space="0"/>
            </w:tcBorders>
            <w:vAlign w:val="center"/>
          </w:tcPr>
          <w:p w14:paraId="644DEB90">
            <w:pPr>
              <w:keepNext w:val="0"/>
              <w:keepLines w:val="0"/>
              <w:suppressLineNumbers w:val="0"/>
              <w:spacing w:before="0" w:beforeAutospacing="0" w:after="0" w:afterAutospacing="0" w:line="360" w:lineRule="auto"/>
              <w:ind w:left="0" w:right="0" w:firstLine="8" w:firstLineChars="4"/>
              <w:rPr>
                <w:rFonts w:hint="eastAsia" w:ascii="宋体" w:hAnsi="宋体" w:eastAsia="宋体" w:cs="宋体"/>
                <w:bCs/>
                <w:color w:val="auto"/>
                <w:szCs w:val="21"/>
                <w:highlight w:val="none"/>
              </w:rPr>
            </w:pPr>
          </w:p>
        </w:tc>
      </w:tr>
      <w:tr w14:paraId="36893A7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665" w:type="pct"/>
            <w:tcBorders>
              <w:top w:val="single" w:color="auto" w:sz="6" w:space="0"/>
              <w:left w:val="single" w:color="auto" w:sz="4" w:space="0"/>
              <w:bottom w:val="outset" w:color="808080" w:sz="6" w:space="0"/>
              <w:right w:val="single" w:color="auto" w:sz="6" w:space="0"/>
            </w:tcBorders>
            <w:vAlign w:val="center"/>
          </w:tcPr>
          <w:p w14:paraId="2F92A25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1337" w:type="pct"/>
            <w:tcBorders>
              <w:top w:val="single" w:color="auto" w:sz="6" w:space="0"/>
              <w:left w:val="single" w:color="auto" w:sz="6" w:space="0"/>
              <w:bottom w:val="outset" w:color="808080" w:sz="6" w:space="0"/>
              <w:right w:val="single" w:color="auto" w:sz="6" w:space="0"/>
            </w:tcBorders>
            <w:vAlign w:val="center"/>
          </w:tcPr>
          <w:p w14:paraId="26F9E296">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bCs/>
                <w:color w:val="auto"/>
                <w:szCs w:val="21"/>
                <w:highlight w:val="none"/>
              </w:rPr>
            </w:pPr>
          </w:p>
        </w:tc>
        <w:tc>
          <w:tcPr>
            <w:tcW w:w="1040" w:type="pct"/>
            <w:tcBorders>
              <w:top w:val="single" w:color="auto" w:sz="6" w:space="0"/>
              <w:left w:val="single" w:color="auto" w:sz="6" w:space="0"/>
              <w:bottom w:val="outset" w:color="808080" w:sz="6" w:space="0"/>
              <w:right w:val="single" w:color="auto" w:sz="6" w:space="0"/>
            </w:tcBorders>
            <w:vAlign w:val="center"/>
          </w:tcPr>
          <w:p w14:paraId="0EB40346">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1957" w:type="pct"/>
            <w:tcBorders>
              <w:top w:val="single" w:color="auto" w:sz="6" w:space="0"/>
              <w:left w:val="single" w:color="auto" w:sz="4" w:space="0"/>
              <w:bottom w:val="outset" w:color="808080" w:sz="6" w:space="0"/>
              <w:right w:val="single" w:color="auto" w:sz="6" w:space="0"/>
            </w:tcBorders>
            <w:vAlign w:val="center"/>
          </w:tcPr>
          <w:p w14:paraId="2D2D8FAA">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bCs/>
                <w:color w:val="auto"/>
                <w:szCs w:val="21"/>
                <w:highlight w:val="none"/>
              </w:rPr>
            </w:pPr>
          </w:p>
        </w:tc>
      </w:tr>
      <w:tr w14:paraId="6CE363E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2002" w:type="pct"/>
            <w:gridSpan w:val="2"/>
            <w:tcBorders>
              <w:bottom w:val="single" w:color="auto" w:sz="4" w:space="0"/>
            </w:tcBorders>
            <w:vAlign w:val="center"/>
          </w:tcPr>
          <w:p w14:paraId="1316640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合计</w:t>
            </w:r>
          </w:p>
        </w:tc>
        <w:tc>
          <w:tcPr>
            <w:tcW w:w="1040" w:type="pct"/>
            <w:tcBorders>
              <w:bottom w:val="single" w:color="auto" w:sz="4" w:space="0"/>
            </w:tcBorders>
            <w:vAlign w:val="center"/>
          </w:tcPr>
          <w:p w14:paraId="57985C36">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1957" w:type="pct"/>
            <w:tcBorders>
              <w:left w:val="single" w:color="auto" w:sz="4" w:space="0"/>
              <w:bottom w:val="single" w:color="auto" w:sz="4" w:space="0"/>
            </w:tcBorders>
            <w:vAlign w:val="center"/>
          </w:tcPr>
          <w:p w14:paraId="7BB2DB9D">
            <w:pPr>
              <w:keepNext w:val="0"/>
              <w:keepLines w:val="0"/>
              <w:suppressLineNumbers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r>
    </w:tbl>
    <w:p w14:paraId="33289701">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4FD0EEAC">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pPr>
      <w:bookmarkStart w:id="785" w:name="_Toc29986"/>
      <w:bookmarkStart w:id="786" w:name="_Toc15508"/>
      <w:bookmarkStart w:id="787" w:name="_Toc19005"/>
      <w:bookmarkStart w:id="788" w:name="_Toc23782"/>
      <w:bookmarkStart w:id="789" w:name="_Toc27679"/>
      <w:bookmarkStart w:id="790" w:name="_Toc19086"/>
      <w:bookmarkStart w:id="791" w:name="_Toc1933"/>
      <w:bookmarkStart w:id="792" w:name="_Toc6256"/>
      <w:bookmarkStart w:id="793" w:name="_Toc13281"/>
      <w:r>
        <w:rPr>
          <w:rFonts w:hint="eastAsia" w:ascii="宋体" w:hAnsi="宋体" w:eastAsia="宋体" w:cs="宋体"/>
          <w:b/>
          <w:color w:val="auto"/>
          <w:kern w:val="0"/>
          <w:sz w:val="32"/>
          <w:szCs w:val="32"/>
          <w:highlight w:val="none"/>
        </w:rPr>
        <w:t>一、投标函格式</w:t>
      </w:r>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p>
    <w:p w14:paraId="2C58DC7E">
      <w:pPr>
        <w:autoSpaceDE w:val="0"/>
        <w:autoSpaceDN w:val="0"/>
        <w:adjustRightInd w:val="0"/>
        <w:spacing w:line="360" w:lineRule="auto"/>
        <w:jc w:val="center"/>
        <w:rPr>
          <w:rFonts w:ascii="宋体" w:hAnsi="宋体" w:eastAsia="宋体" w:cs="宋体"/>
          <w:b/>
          <w:bCs/>
          <w:color w:val="auto"/>
          <w:sz w:val="30"/>
          <w:szCs w:val="30"/>
          <w:highlight w:val="none"/>
        </w:rPr>
      </w:pPr>
      <w:bookmarkStart w:id="794" w:name="_Toc16695_WPSOffice_Level3"/>
      <w:r>
        <w:rPr>
          <w:rFonts w:hint="eastAsia" w:ascii="宋体" w:hAnsi="宋体" w:eastAsia="宋体" w:cs="宋体"/>
          <w:b/>
          <w:bCs/>
          <w:color w:val="auto"/>
          <w:sz w:val="30"/>
          <w:szCs w:val="30"/>
          <w:highlight w:val="none"/>
          <w:lang w:val="zh-CN"/>
        </w:rPr>
        <w:t>投 标 函</w:t>
      </w:r>
      <w:bookmarkEnd w:id="794"/>
    </w:p>
    <w:p w14:paraId="7853C2D6">
      <w:pPr>
        <w:autoSpaceDE w:val="0"/>
        <w:autoSpaceDN w:val="0"/>
        <w:adjustRightInd w:val="0"/>
        <w:spacing w:line="360" w:lineRule="auto"/>
        <w:rPr>
          <w:rFonts w:ascii="宋体" w:hAnsi="宋体" w:eastAsia="宋体" w:cs="宋体"/>
          <w:color w:val="auto"/>
          <w:szCs w:val="21"/>
          <w:highlight w:val="none"/>
          <w:lang w:val="zh-CN"/>
        </w:rPr>
      </w:pPr>
    </w:p>
    <w:p w14:paraId="5D0B3D25">
      <w:pPr>
        <w:autoSpaceDE/>
        <w:autoSpaceDN/>
        <w:adjustRightInd/>
        <w:spacing w:line="240" w:lineRule="auto"/>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rPr>
        <w:t>致：</w:t>
      </w:r>
      <w:r>
        <w:rPr>
          <w:rFonts w:hint="eastAsia" w:ascii="宋体" w:hAnsi="宋体" w:eastAsia="宋体" w:cs="Times New Roman"/>
          <w:color w:val="auto"/>
          <w:kern w:val="0"/>
          <w:szCs w:val="21"/>
          <w:highlight w:val="none"/>
          <w:lang w:val="en-US" w:eastAsia="zh-CN"/>
        </w:rPr>
        <w:t>东莞市樟村水质净化有限公司</w:t>
      </w:r>
    </w:p>
    <w:p w14:paraId="171EFF0B">
      <w:pPr>
        <w:autoSpaceDE w:val="0"/>
        <w:autoSpaceDN w:val="0"/>
        <w:adjustRightInd w:val="0"/>
        <w:spacing w:line="360" w:lineRule="auto"/>
        <w:rPr>
          <w:rFonts w:ascii="宋体" w:hAnsi="宋体" w:eastAsia="宋体" w:cs="宋体"/>
          <w:color w:val="auto"/>
          <w:szCs w:val="21"/>
          <w:highlight w:val="none"/>
        </w:rPr>
      </w:pPr>
    </w:p>
    <w:p w14:paraId="37AC2E45">
      <w:pPr>
        <w:wordWrap w:val="0"/>
        <w:autoSpaceDE w:val="0"/>
        <w:autoSpaceDN w:val="0"/>
        <w:adjustRightInd w:val="0"/>
        <w:spacing w:line="360" w:lineRule="auto"/>
        <w:ind w:firstLine="42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根据贵方为</w:t>
      </w:r>
      <w:r>
        <w:rPr>
          <w:rFonts w:hint="eastAsia" w:ascii="宋体" w:hAnsi="宋体" w:eastAsia="宋体" w:cs="宋体"/>
          <w:color w:val="auto"/>
          <w:kern w:val="0"/>
          <w:szCs w:val="21"/>
          <w:highlight w:val="none"/>
          <w:u w:val="single"/>
          <w:lang w:val="en-US" w:eastAsia="zh-CN"/>
        </w:rPr>
        <w:t>东莞市樟村水质净化厂污泥处理处置服务项目（2025-2026年）</w:t>
      </w:r>
      <w:r>
        <w:rPr>
          <w:rFonts w:hint="eastAsia" w:ascii="宋体" w:hAnsi="宋体" w:eastAsia="宋体" w:cs="宋体"/>
          <w:color w:val="auto"/>
          <w:szCs w:val="21"/>
          <w:highlight w:val="none"/>
          <w:lang w:val="zh-CN"/>
        </w:rPr>
        <w:t>(招标编号：</w:t>
      </w:r>
      <w:r>
        <w:rPr>
          <w:rFonts w:hint="eastAsia" w:ascii="宋体" w:hAnsi="宋体" w:eastAsia="宋体" w:cs="宋体"/>
          <w:color w:val="auto"/>
          <w:szCs w:val="21"/>
          <w:highlight w:val="none"/>
          <w:u w:val="single"/>
          <w:lang w:val="zh-CN"/>
        </w:rPr>
        <w:t>DGDS2025-013</w:t>
      </w:r>
      <w:r>
        <w:rPr>
          <w:rFonts w:hint="eastAsia" w:ascii="宋体" w:hAnsi="宋体" w:eastAsia="宋体" w:cs="宋体"/>
          <w:color w:val="auto"/>
          <w:szCs w:val="21"/>
          <w:highlight w:val="none"/>
          <w:lang w:val="zh-CN"/>
        </w:rPr>
        <w:t>)的投标邀请，我方（投标人名称）</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作为投标人正式授权</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授权代表全名，职务）代表我方进行有关本次投标的一切事宜。</w:t>
      </w:r>
    </w:p>
    <w:p w14:paraId="32685270">
      <w:pPr>
        <w:autoSpaceDE w:val="0"/>
        <w:autoSpaceDN w:val="0"/>
        <w:adjustRightInd w:val="0"/>
        <w:spacing w:line="360" w:lineRule="auto"/>
        <w:ind w:firstLine="42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在此提交的投标文件，包括如下等内容，并已单独密封封装：</w:t>
      </w:r>
    </w:p>
    <w:p w14:paraId="701BBFDC">
      <w:pPr>
        <w:autoSpaceDE w:val="0"/>
        <w:autoSpaceDN w:val="0"/>
        <w:adjustRightInd w:val="0"/>
        <w:spacing w:line="360" w:lineRule="auto"/>
        <w:ind w:firstLine="315" w:firstLineChars="15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）唱标信封【</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lang w:val="zh-CN"/>
        </w:rPr>
        <w:t>份】（含投标文件电子文件）；</w:t>
      </w:r>
    </w:p>
    <w:p w14:paraId="1C506784">
      <w:pPr>
        <w:autoSpaceDE w:val="0"/>
        <w:autoSpaceDN w:val="0"/>
        <w:adjustRightInd w:val="0"/>
        <w:spacing w:line="360" w:lineRule="auto"/>
        <w:ind w:firstLine="315" w:firstLineChars="15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（二）投标文件【正本</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lang w:val="zh-CN"/>
        </w:rPr>
        <w:t>份，副本</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lang w:val="zh-CN"/>
        </w:rPr>
        <w:t>份】。</w:t>
      </w:r>
    </w:p>
    <w:p w14:paraId="2975E198">
      <w:pPr>
        <w:autoSpaceDE w:val="0"/>
        <w:autoSpaceDN w:val="0"/>
        <w:adjustRightInd w:val="0"/>
        <w:spacing w:line="360" w:lineRule="auto"/>
        <w:ind w:firstLine="42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我方已完全明白招标文件的所有条款要求，并重申以下几点：</w:t>
      </w:r>
    </w:p>
    <w:p w14:paraId="667EB582">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（—）我方</w:t>
      </w:r>
      <w:r>
        <w:rPr>
          <w:rFonts w:hint="eastAsia" w:ascii="宋体" w:hAnsi="宋体" w:eastAsia="宋体" w:cs="Times New Roman"/>
          <w:color w:val="auto"/>
          <w:szCs w:val="21"/>
          <w:highlight w:val="none"/>
          <w:lang w:val="zh-CN"/>
        </w:rPr>
        <w:t>决定</w:t>
      </w:r>
      <w:r>
        <w:rPr>
          <w:rFonts w:hint="eastAsia" w:ascii="宋体" w:hAnsi="宋体" w:eastAsia="宋体" w:cs="宋体"/>
          <w:color w:val="auto"/>
          <w:szCs w:val="21"/>
          <w:highlight w:val="none"/>
          <w:lang w:val="zh-CN"/>
        </w:rPr>
        <w:t>参加招标编号为</w:t>
      </w:r>
      <w:r>
        <w:rPr>
          <w:rFonts w:hint="eastAsia" w:ascii="宋体" w:hAnsi="宋体" w:eastAsia="宋体" w:cs="宋体"/>
          <w:color w:val="auto"/>
          <w:szCs w:val="21"/>
          <w:highlight w:val="none"/>
          <w:u w:val="single"/>
          <w:lang w:val="zh-CN"/>
        </w:rPr>
        <w:t>DGDS2025-013</w:t>
      </w:r>
      <w:r>
        <w:rPr>
          <w:rFonts w:hint="eastAsia" w:ascii="宋体" w:hAnsi="宋体" w:eastAsia="宋体" w:cs="宋体"/>
          <w:color w:val="auto"/>
          <w:szCs w:val="21"/>
          <w:highlight w:val="none"/>
          <w:lang w:val="zh-CN"/>
        </w:rPr>
        <w:t>的投标；</w:t>
      </w:r>
    </w:p>
    <w:p w14:paraId="484D8E4D">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（二）本投标文件的有效期自递交投标文件截止时间届满后90日有效，如中标，有效期将延至合同终止日为止；</w:t>
      </w:r>
    </w:p>
    <w:p w14:paraId="5C29A5F8">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（三）我方已详细研究了招标文件的所有内容包括修正文（如有）和所有已提供的参考资料以及有关附件并完全明白，我方放弃在此方面提出含糊意见或误解的一切权力；</w:t>
      </w:r>
    </w:p>
    <w:p w14:paraId="0CF1419F">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（四）我方明白并愿意在规定的递交投标文件截止时间和日期之后，投标有效期之内撤回投标，则不予退还我方投标保证金；</w:t>
      </w:r>
    </w:p>
    <w:p w14:paraId="073A9474">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（五）我方同意按照贵方可能提出的要求而提供与投标有关的任何其它数据或信息；</w:t>
      </w:r>
    </w:p>
    <w:p w14:paraId="432641B5">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（六）我方理解贵方不一定接受最低报价或任何贵方可能收到的报价；</w:t>
      </w:r>
    </w:p>
    <w:p w14:paraId="69755070">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（七）我方如果中标，将保证履行招标文件以及招标文件修改书（如有）中的全部责任和义务，按质、按量、按期完成《合同书》中的全部任务；</w:t>
      </w:r>
    </w:p>
    <w:p w14:paraId="61D19D22">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（八）保证投标文件中所有资料均真实有效，否则按无效投标处理或可取消中标资格，并愿意接受按弄虚作假骗取中标的有关规定进行处理，并不予退还我方投标保证金；</w:t>
      </w:r>
    </w:p>
    <w:p w14:paraId="0801A4C1">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（九）若我方中标后，我方一定按照招标文件的要求和投标文件的承诺签订和履行合同，否则贵方可取消我方中标资格，并依法不予退还我方投标保证金或履约担保，我方愿意接受违约处罚；</w:t>
      </w:r>
    </w:p>
    <w:p w14:paraId="0D11ADFD">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（十）若我方中标后，核查出投标文件内容前后不一致，我方愿按最高标准的承诺履约义务；</w:t>
      </w:r>
    </w:p>
    <w:p w14:paraId="593C2ABD">
      <w:pPr>
        <w:autoSpaceDE w:val="0"/>
        <w:autoSpaceDN w:val="0"/>
        <w:adjustRightInd w:val="0"/>
        <w:spacing w:line="360" w:lineRule="auto"/>
        <w:ind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（十一）所有与本投标有关的函件请发往下列地址：</w:t>
      </w:r>
    </w:p>
    <w:p w14:paraId="18ECEDD1">
      <w:pPr>
        <w:autoSpaceDE w:val="0"/>
        <w:autoSpaceDN w:val="0"/>
        <w:adjustRightInd w:val="0"/>
        <w:spacing w:line="360" w:lineRule="auto"/>
        <w:ind w:left="395" w:leftChars="-12" w:hanging="420" w:hangingChars="200"/>
        <w:rPr>
          <w:rFonts w:ascii="宋体" w:hAnsi="宋体" w:eastAsia="宋体" w:cs="宋体"/>
          <w:color w:val="auto"/>
          <w:szCs w:val="21"/>
          <w:highlight w:val="none"/>
          <w:u w:val="single"/>
          <w:lang w:val="zh-CN"/>
        </w:rPr>
      </w:pPr>
    </w:p>
    <w:p w14:paraId="19607A33">
      <w:pPr>
        <w:autoSpaceDE w:val="0"/>
        <w:autoSpaceDN w:val="0"/>
        <w:adjustRightInd w:val="0"/>
        <w:spacing w:line="360" w:lineRule="auto"/>
        <w:ind w:firstLine="420" w:firstLineChars="200"/>
        <w:rPr>
          <w:rFonts w:ascii="宋体" w:hAnsi="宋体" w:eastAsia="宋体" w:cs="宋体"/>
          <w:color w:val="auto"/>
          <w:szCs w:val="21"/>
          <w:highlight w:val="none"/>
          <w:u w:val="single"/>
          <w:lang w:val="zh-CN"/>
        </w:rPr>
      </w:pPr>
      <w:r>
        <w:rPr>
          <w:rFonts w:hint="eastAsia" w:ascii="宋体" w:hAnsi="宋体" w:eastAsia="宋体" w:cs="宋体"/>
          <w:color w:val="auto"/>
          <w:szCs w:val="21"/>
          <w:highlight w:val="none"/>
          <w:lang w:val="zh-CN"/>
        </w:rPr>
        <w:t>地  　址：</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邮政编码：</w:t>
      </w:r>
      <w:r>
        <w:rPr>
          <w:rFonts w:hint="eastAsia" w:ascii="宋体" w:hAnsi="宋体" w:eastAsia="宋体" w:cs="宋体"/>
          <w:color w:val="auto"/>
          <w:szCs w:val="21"/>
          <w:highlight w:val="none"/>
          <w:u w:val="single"/>
          <w:lang w:val="zh-CN"/>
        </w:rPr>
        <w:t xml:space="preserve">　　　　　　　　　　 </w:t>
      </w:r>
    </w:p>
    <w:p w14:paraId="1114852F">
      <w:pPr>
        <w:autoSpaceDE w:val="0"/>
        <w:autoSpaceDN w:val="0"/>
        <w:adjustRightInd w:val="0"/>
        <w:spacing w:line="360"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电　　话：</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代表姓名：</w:t>
      </w:r>
      <w:r>
        <w:rPr>
          <w:rFonts w:hint="eastAsia" w:ascii="宋体" w:hAnsi="宋体" w:eastAsia="宋体" w:cs="宋体"/>
          <w:color w:val="auto"/>
          <w:szCs w:val="21"/>
          <w:highlight w:val="none"/>
          <w:u w:val="single"/>
          <w:lang w:val="zh-CN"/>
        </w:rPr>
        <w:t>　　　　　　　　　　　</w:t>
      </w:r>
    </w:p>
    <w:p w14:paraId="697D108E">
      <w:pPr>
        <w:autoSpaceDE w:val="0"/>
        <w:autoSpaceDN w:val="0"/>
        <w:adjustRightInd w:val="0"/>
        <w:spacing w:line="360"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传　　真：</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 xml:space="preserve">        职　　务：</w:t>
      </w:r>
      <w:r>
        <w:rPr>
          <w:rFonts w:hint="eastAsia" w:ascii="宋体" w:hAnsi="宋体" w:eastAsia="宋体" w:cs="宋体"/>
          <w:color w:val="auto"/>
          <w:szCs w:val="21"/>
          <w:highlight w:val="none"/>
          <w:u w:val="single"/>
          <w:lang w:val="zh-CN"/>
        </w:rPr>
        <w:t xml:space="preserve">　　　　　　　　　　 </w:t>
      </w:r>
    </w:p>
    <w:p w14:paraId="176D7CC5">
      <w:pPr>
        <w:autoSpaceDE w:val="0"/>
        <w:autoSpaceDN w:val="0"/>
        <w:adjustRightInd w:val="0"/>
        <w:spacing w:line="360" w:lineRule="auto"/>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en-US" w:eastAsia="zh-CN"/>
        </w:rPr>
        <w:t>电子邮箱：</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p>
    <w:p w14:paraId="0FDF2D03">
      <w:pPr>
        <w:autoSpaceDE w:val="0"/>
        <w:autoSpaceDN w:val="0"/>
        <w:adjustRightInd w:val="0"/>
        <w:spacing w:line="360" w:lineRule="auto"/>
        <w:ind w:firstLine="4960" w:firstLineChars="2362"/>
        <w:rPr>
          <w:rFonts w:hint="eastAsia" w:ascii="宋体" w:hAnsi="宋体" w:eastAsia="宋体" w:cs="宋体"/>
          <w:color w:val="auto"/>
          <w:szCs w:val="21"/>
          <w:highlight w:val="none"/>
          <w:lang w:val="zh-CN"/>
        </w:rPr>
      </w:pPr>
    </w:p>
    <w:p w14:paraId="1C3BDBE8">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4"/>
          <w:highlight w:val="none"/>
          <w:lang w:val="zh-CN"/>
        </w:rPr>
        <w:t>加盖投标人法人公章</w:t>
      </w:r>
      <w:r>
        <w:rPr>
          <w:rFonts w:hint="eastAsia" w:ascii="宋体" w:hAnsi="宋体" w:eastAsia="宋体" w:cs="宋体"/>
          <w:color w:val="auto"/>
          <w:szCs w:val="21"/>
          <w:highlight w:val="none"/>
          <w:lang w:val="zh-CN"/>
        </w:rPr>
        <w:t>）</w:t>
      </w:r>
    </w:p>
    <w:p w14:paraId="2764449E">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法定代表人或其授权代表签名（或盖私章）：</w:t>
      </w:r>
    </w:p>
    <w:p w14:paraId="088ABE69">
      <w:pPr>
        <w:autoSpaceDE w:val="0"/>
        <w:autoSpaceDN w:val="0"/>
        <w:adjustRightInd w:val="0"/>
        <w:spacing w:line="360" w:lineRule="auto"/>
        <w:ind w:firstLine="4960" w:firstLineChars="2362"/>
        <w:rPr>
          <w:rFonts w:ascii="宋体" w:hAnsi="宋体" w:eastAsia="宋体" w:cs="Times New Roman"/>
          <w:color w:val="auto"/>
          <w:sz w:val="24"/>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5E0C09CE">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pPr>
      <w:r>
        <w:rPr>
          <w:rFonts w:hint="eastAsia" w:ascii="宋体" w:hAnsi="宋体" w:eastAsia="宋体" w:cs="宋体"/>
          <w:color w:val="auto"/>
          <w:kern w:val="0"/>
          <w:sz w:val="24"/>
          <w:szCs w:val="24"/>
          <w:highlight w:val="none"/>
        </w:rPr>
        <w:br w:type="page"/>
      </w:r>
      <w:bookmarkStart w:id="795" w:name="_Toc102860068"/>
      <w:bookmarkStart w:id="796" w:name="_Toc30995"/>
      <w:bookmarkStart w:id="797" w:name="_Toc22970"/>
      <w:bookmarkStart w:id="798" w:name="_Toc140596922"/>
      <w:bookmarkStart w:id="799" w:name="_Toc12417"/>
      <w:bookmarkStart w:id="800" w:name="_Toc12179"/>
      <w:bookmarkStart w:id="801" w:name="_Toc3897"/>
      <w:bookmarkStart w:id="802" w:name="_Toc104991869"/>
      <w:bookmarkStart w:id="803" w:name="_Toc1850"/>
      <w:bookmarkStart w:id="804" w:name="_Toc7856"/>
      <w:bookmarkStart w:id="805" w:name="_Toc102860412"/>
      <w:bookmarkStart w:id="806" w:name="_Toc533708122"/>
      <w:bookmarkStart w:id="807" w:name="_Toc486167710"/>
      <w:bookmarkStart w:id="808" w:name="_Toc94107203"/>
      <w:bookmarkStart w:id="809" w:name="_Toc3104"/>
      <w:bookmarkStart w:id="810" w:name="_Toc142508363"/>
      <w:bookmarkStart w:id="811" w:name="_Toc1977722"/>
      <w:bookmarkStart w:id="812" w:name="_Toc4519"/>
      <w:bookmarkStart w:id="813" w:name="_Toc28613_WPSOffice_Level2"/>
      <w:r>
        <w:rPr>
          <w:rFonts w:hint="eastAsia" w:ascii="宋体" w:hAnsi="宋体" w:eastAsia="宋体" w:cs="宋体"/>
          <w:b/>
          <w:color w:val="auto"/>
          <w:kern w:val="0"/>
          <w:sz w:val="32"/>
          <w:szCs w:val="32"/>
          <w:highlight w:val="none"/>
        </w:rPr>
        <w:t>二、投标承诺书格式</w:t>
      </w:r>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p>
    <w:p w14:paraId="2496FDE2">
      <w:pPr>
        <w:autoSpaceDE w:val="0"/>
        <w:autoSpaceDN w:val="0"/>
        <w:adjustRightInd w:val="0"/>
        <w:spacing w:line="360" w:lineRule="auto"/>
        <w:jc w:val="center"/>
        <w:rPr>
          <w:rFonts w:ascii="宋体" w:hAnsi="宋体" w:eastAsia="宋体" w:cs="Times New Roman"/>
          <w:b/>
          <w:bCs/>
          <w:color w:val="auto"/>
          <w:sz w:val="30"/>
          <w:szCs w:val="30"/>
          <w:highlight w:val="none"/>
          <w:lang w:val="zh-CN"/>
        </w:rPr>
      </w:pPr>
      <w:r>
        <w:rPr>
          <w:rFonts w:hint="eastAsia" w:ascii="宋体" w:hAnsi="宋体" w:eastAsia="宋体" w:cs="Times New Roman"/>
          <w:b/>
          <w:bCs/>
          <w:color w:val="auto"/>
          <w:sz w:val="30"/>
          <w:szCs w:val="30"/>
          <w:highlight w:val="none"/>
          <w:lang w:val="zh-CN"/>
        </w:rPr>
        <w:t>投标承诺书</w:t>
      </w:r>
    </w:p>
    <w:p w14:paraId="50C6CE14">
      <w:pPr>
        <w:widowControl/>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p>
    <w:p w14:paraId="018BB6D2">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Times New Roman"/>
          <w:color w:val="auto"/>
          <w:kern w:val="0"/>
          <w:szCs w:val="21"/>
          <w:highlight w:val="none"/>
        </w:rPr>
        <w:t>我方</w:t>
      </w:r>
      <w:r>
        <w:rPr>
          <w:rFonts w:hint="eastAsia"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rPr>
        <w:t>（投标人名称）已完整阅读了</w:t>
      </w:r>
      <w:r>
        <w:rPr>
          <w:rFonts w:hint="eastAsia" w:ascii="宋体" w:hAnsi="宋体" w:eastAsia="宋体" w:cs="Times New Roman"/>
          <w:color w:val="auto"/>
          <w:szCs w:val="21"/>
          <w:highlight w:val="none"/>
          <w:lang w:val="zh-CN"/>
        </w:rPr>
        <w:t>东莞市樟村水质净化厂污泥处理处置服务项目（2025-2026年）</w:t>
      </w:r>
      <w:r>
        <w:rPr>
          <w:rFonts w:hint="eastAsia" w:ascii="宋体" w:hAnsi="宋体" w:eastAsia="宋体" w:cs="Times New Roman"/>
          <w:color w:val="auto"/>
          <w:kern w:val="0"/>
          <w:szCs w:val="21"/>
          <w:highlight w:val="none"/>
        </w:rPr>
        <w:t>（招标编号：</w:t>
      </w:r>
      <w:r>
        <w:rPr>
          <w:rFonts w:hint="eastAsia" w:ascii="宋体" w:hAnsi="宋体" w:eastAsia="宋体" w:cs="Times New Roman"/>
          <w:color w:val="auto"/>
          <w:kern w:val="0"/>
          <w:szCs w:val="21"/>
          <w:highlight w:val="none"/>
          <w:lang w:eastAsia="zh-CN"/>
        </w:rPr>
        <w:t>DGDS2025-013</w:t>
      </w:r>
      <w:r>
        <w:rPr>
          <w:rFonts w:hint="eastAsia" w:ascii="宋体" w:hAnsi="宋体" w:eastAsia="宋体" w:cs="Times New Roman"/>
          <w:color w:val="auto"/>
          <w:kern w:val="0"/>
          <w:szCs w:val="21"/>
          <w:highlight w:val="none"/>
        </w:rPr>
        <w:t>）招标文件的所有内容（包括澄清，以及所有已提供的参考资料和有关附件），并完全理解上述文件所表达的意思，该项目递交投标文件时间截止后，我方承诺不再对上述文件内容进行询问或</w:t>
      </w:r>
      <w:r>
        <w:rPr>
          <w:rFonts w:hint="eastAsia" w:ascii="宋体" w:hAnsi="宋体" w:eastAsia="宋体" w:cs="Times New Roman"/>
          <w:color w:val="auto"/>
          <w:kern w:val="0"/>
          <w:szCs w:val="21"/>
          <w:highlight w:val="none"/>
          <w:lang w:eastAsia="zh-CN"/>
        </w:rPr>
        <w:t>异议</w:t>
      </w: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cr/>
      </w:r>
      <w:r>
        <w:rPr>
          <w:rFonts w:ascii="宋体" w:hAnsi="宋体" w:eastAsia="宋体" w:cs="Times New Roman"/>
          <w:color w:val="auto"/>
          <w:kern w:val="0"/>
          <w:szCs w:val="21"/>
          <w:highlight w:val="none"/>
        </w:rPr>
        <w:t xml:space="preserve">    </w:t>
      </w:r>
      <w:r>
        <w:rPr>
          <w:rFonts w:hint="eastAsia" w:ascii="宋体" w:hAnsi="宋体" w:eastAsia="宋体" w:cs="Times New Roman"/>
          <w:color w:val="auto"/>
          <w:kern w:val="0"/>
          <w:szCs w:val="21"/>
          <w:highlight w:val="none"/>
        </w:rPr>
        <w:t>我方</w:t>
      </w:r>
      <w:r>
        <w:rPr>
          <w:rFonts w:hint="eastAsia" w:ascii="宋体" w:hAnsi="宋体" w:eastAsia="宋体" w:cs="宋体"/>
          <w:color w:val="auto"/>
          <w:kern w:val="0"/>
          <w:szCs w:val="21"/>
          <w:highlight w:val="none"/>
        </w:rPr>
        <w:t>承诺，若我方存在通过弄虚作假、虚假响应招标文件要求等手段骗取中标的，招标人有权或协助主管部门认定我方严重失信的不良行为，纳入相关</w:t>
      </w:r>
      <w:r>
        <w:rPr>
          <w:rFonts w:ascii="宋体" w:hAnsi="宋体" w:eastAsia="宋体" w:cs="宋体"/>
          <w:color w:val="auto"/>
          <w:kern w:val="0"/>
          <w:szCs w:val="21"/>
          <w:highlight w:val="none"/>
        </w:rPr>
        <w:t>企业信用“黑名单”</w:t>
      </w:r>
      <w:r>
        <w:rPr>
          <w:rFonts w:hint="eastAsia" w:ascii="宋体" w:hAnsi="宋体" w:eastAsia="宋体" w:cs="宋体"/>
          <w:color w:val="auto"/>
          <w:kern w:val="0"/>
          <w:szCs w:val="21"/>
          <w:highlight w:val="none"/>
        </w:rPr>
        <w:t>，限制我方参与依法必须招标项目的投标，并</w:t>
      </w:r>
      <w:r>
        <w:rPr>
          <w:rFonts w:ascii="宋体" w:hAnsi="宋体" w:eastAsia="宋体" w:cs="宋体"/>
          <w:color w:val="auto"/>
          <w:kern w:val="0"/>
          <w:szCs w:val="21"/>
          <w:highlight w:val="none"/>
        </w:rPr>
        <w:t>向</w:t>
      </w:r>
      <w:r>
        <w:rPr>
          <w:rFonts w:hint="eastAsia" w:ascii="宋体" w:hAnsi="宋体" w:eastAsia="宋体" w:cs="宋体"/>
          <w:color w:val="auto"/>
          <w:kern w:val="0"/>
          <w:szCs w:val="21"/>
          <w:highlight w:val="none"/>
        </w:rPr>
        <w:t>行政主管部门报送</w:t>
      </w:r>
      <w:r>
        <w:rPr>
          <w:rFonts w:ascii="宋体" w:hAnsi="宋体" w:eastAsia="宋体" w:cs="宋体"/>
          <w:color w:val="auto"/>
          <w:kern w:val="0"/>
          <w:szCs w:val="21"/>
          <w:highlight w:val="none"/>
        </w:rPr>
        <w:t>结果。</w:t>
      </w:r>
      <w:r>
        <w:rPr>
          <w:rFonts w:hint="eastAsia" w:ascii="宋体" w:hAnsi="宋体" w:eastAsia="宋体" w:cs="宋体"/>
          <w:color w:val="auto"/>
          <w:kern w:val="0"/>
          <w:szCs w:val="21"/>
          <w:highlight w:val="none"/>
        </w:rPr>
        <w:t>同时，招标人有权根据《关于对环境保护领域失信生产经营单位及其有关人员开展联合惩戒的合作备忘录》等规定，通过“信用中国”网站向社会公示我方的失信行为，实现“一处失信、处处受限”。</w:t>
      </w:r>
    </w:p>
    <w:p w14:paraId="21BC4903">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若我方在投标或履行本合同过程中存在提供虚假材料、虚假响应招标文件要求等弄虚作假行为，或未能根据招标文件投标人须知第2</w:t>
      </w:r>
      <w:r>
        <w:rPr>
          <w:rFonts w:ascii="宋体" w:hAnsi="宋体" w:eastAsia="宋体" w:cs="宋体"/>
          <w:color w:val="auto"/>
          <w:kern w:val="0"/>
          <w:szCs w:val="21"/>
          <w:highlight w:val="none"/>
        </w:rPr>
        <w:t>9.2</w:t>
      </w:r>
      <w:r>
        <w:rPr>
          <w:rFonts w:hint="eastAsia" w:ascii="宋体" w:hAnsi="宋体" w:eastAsia="宋体" w:cs="宋体"/>
          <w:color w:val="auto"/>
          <w:kern w:val="0"/>
          <w:szCs w:val="21"/>
          <w:highlight w:val="none"/>
        </w:rPr>
        <w:t>款约定按时提供原件核查的，因此导致我方无法参与东莞市水务集团有限公司相关招标采购活动的，由我方自行承担全部后果。</w:t>
      </w:r>
    </w:p>
    <w:p w14:paraId="4A522E73">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p>
    <w:p w14:paraId="5866DDA3">
      <w:pPr>
        <w:autoSpaceDE w:val="0"/>
        <w:autoSpaceDN w:val="0"/>
        <w:adjustRightInd w:val="0"/>
        <w:spacing w:line="360" w:lineRule="auto"/>
        <w:jc w:val="left"/>
        <w:rPr>
          <w:rFonts w:ascii="宋体" w:hAnsi="宋体" w:eastAsia="宋体" w:cs="Times New Roman"/>
          <w:color w:val="auto"/>
          <w:kern w:val="0"/>
          <w:sz w:val="24"/>
          <w:szCs w:val="24"/>
          <w:highlight w:val="none"/>
        </w:rPr>
      </w:pPr>
    </w:p>
    <w:p w14:paraId="67FE27B9">
      <w:pPr>
        <w:autoSpaceDE w:val="0"/>
        <w:autoSpaceDN w:val="0"/>
        <w:adjustRightInd w:val="0"/>
        <w:spacing w:line="360" w:lineRule="auto"/>
        <w:jc w:val="left"/>
        <w:rPr>
          <w:rFonts w:ascii="宋体" w:hAnsi="宋体" w:eastAsia="宋体" w:cs="Times New Roman"/>
          <w:color w:val="auto"/>
          <w:kern w:val="0"/>
          <w:sz w:val="24"/>
          <w:szCs w:val="24"/>
          <w:highlight w:val="none"/>
        </w:rPr>
      </w:pPr>
    </w:p>
    <w:p w14:paraId="641693F8">
      <w:pPr>
        <w:autoSpaceDE w:val="0"/>
        <w:autoSpaceDN w:val="0"/>
        <w:adjustRightInd w:val="0"/>
        <w:spacing w:line="360" w:lineRule="auto"/>
        <w:ind w:firstLine="5040"/>
        <w:rPr>
          <w:rFonts w:ascii="宋体" w:hAnsi="宋体" w:eastAsia="宋体" w:cs="Times New Roman"/>
          <w:color w:val="auto"/>
          <w:szCs w:val="24"/>
          <w:highlight w:val="none"/>
        </w:rPr>
      </w:pPr>
      <w:r>
        <w:rPr>
          <w:rFonts w:hint="eastAsia" w:ascii="宋体" w:hAnsi="宋体" w:eastAsia="宋体" w:cs="Times New Roman"/>
          <w:color w:val="auto"/>
          <w:szCs w:val="24"/>
          <w:highlight w:val="none"/>
          <w:lang w:val="zh-CN"/>
        </w:rPr>
        <w:t>投标人：（加盖投标人法人公章）</w:t>
      </w:r>
    </w:p>
    <w:p w14:paraId="1DECA66A">
      <w:pPr>
        <w:autoSpaceDE w:val="0"/>
        <w:autoSpaceDN w:val="0"/>
        <w:adjustRightInd w:val="0"/>
        <w:spacing w:line="360" w:lineRule="auto"/>
        <w:ind w:firstLine="504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法定代表人或其授权代表签名（或盖私章）：</w:t>
      </w:r>
    </w:p>
    <w:p w14:paraId="1DE3D01E">
      <w:pPr>
        <w:autoSpaceDE w:val="0"/>
        <w:autoSpaceDN w:val="0"/>
        <w:adjustRightInd w:val="0"/>
        <w:spacing w:line="360" w:lineRule="auto"/>
        <w:ind w:firstLine="5040"/>
        <w:rPr>
          <w:rFonts w:ascii="宋体" w:hAnsi="宋体" w:eastAsia="宋体" w:cs="Times New Roman"/>
          <w:color w:val="auto"/>
          <w:sz w:val="24"/>
          <w:szCs w:val="24"/>
          <w:highlight w:val="none"/>
          <w:lang w:val="zh-CN"/>
        </w:rPr>
      </w:pPr>
      <w:r>
        <w:rPr>
          <w:rFonts w:hint="eastAsia" w:ascii="宋体" w:hAnsi="宋体" w:eastAsia="宋体" w:cs="Times New Roman"/>
          <w:color w:val="auto"/>
          <w:szCs w:val="24"/>
          <w:highlight w:val="none"/>
          <w:lang w:val="zh-CN"/>
        </w:rPr>
        <w:t>日期：   年   月   日</w:t>
      </w:r>
    </w:p>
    <w:p w14:paraId="21306AD6">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p>
    <w:p w14:paraId="0E3113B2">
      <w:pPr>
        <w:autoSpaceDE w:val="0"/>
        <w:autoSpaceDN w:val="0"/>
        <w:adjustRightInd w:val="0"/>
        <w:spacing w:line="360" w:lineRule="auto"/>
        <w:jc w:val="left"/>
        <w:rPr>
          <w:rFonts w:ascii="宋体" w:hAnsi="宋体" w:eastAsia="宋体" w:cs="宋体"/>
          <w:color w:val="auto"/>
          <w:kern w:val="0"/>
          <w:sz w:val="24"/>
          <w:szCs w:val="24"/>
          <w:highlight w:val="none"/>
        </w:rPr>
      </w:pPr>
    </w:p>
    <w:p w14:paraId="599E0BAA">
      <w:pPr>
        <w:autoSpaceDE w:val="0"/>
        <w:autoSpaceDN w:val="0"/>
        <w:adjustRightInd w:val="0"/>
        <w:spacing w:line="360" w:lineRule="auto"/>
        <w:jc w:val="left"/>
        <w:rPr>
          <w:rFonts w:ascii="宋体" w:hAnsi="宋体" w:eastAsia="宋体" w:cs="宋体"/>
          <w:color w:val="auto"/>
          <w:kern w:val="0"/>
          <w:sz w:val="24"/>
          <w:szCs w:val="24"/>
          <w:highlight w:val="none"/>
        </w:rPr>
      </w:pPr>
      <w:bookmarkStart w:id="814" w:name="_Toc316896755"/>
      <w:bookmarkStart w:id="815" w:name="_Toc326768876"/>
      <w:bookmarkStart w:id="816" w:name="_Toc311032584"/>
    </w:p>
    <w:p w14:paraId="3E97708E">
      <w:pPr>
        <w:pageBreakBefore/>
        <w:autoSpaceDE w:val="0"/>
        <w:autoSpaceDN w:val="0"/>
        <w:adjustRightInd w:val="0"/>
        <w:spacing w:line="360" w:lineRule="auto"/>
        <w:jc w:val="left"/>
        <w:outlineLvl w:val="2"/>
        <w:rPr>
          <w:rFonts w:ascii="宋体" w:hAnsi="宋体" w:eastAsia="宋体" w:cs="宋体"/>
          <w:b/>
          <w:color w:val="auto"/>
          <w:kern w:val="44"/>
          <w:sz w:val="32"/>
          <w:szCs w:val="32"/>
          <w:highlight w:val="none"/>
        </w:rPr>
      </w:pPr>
      <w:bookmarkStart w:id="817" w:name="_Toc32221"/>
      <w:bookmarkStart w:id="818" w:name="_Toc3620"/>
      <w:bookmarkStart w:id="819" w:name="_Toc32036"/>
      <w:bookmarkStart w:id="820" w:name="_Toc102860069"/>
      <w:bookmarkStart w:id="821" w:name="_Toc140596923"/>
      <w:bookmarkStart w:id="822" w:name="_Toc82182546"/>
      <w:bookmarkStart w:id="823" w:name="_Toc5075"/>
      <w:bookmarkStart w:id="824" w:name="_Toc22077"/>
      <w:bookmarkStart w:id="825" w:name="_Toc86764083"/>
      <w:bookmarkStart w:id="826" w:name="_Toc142508364"/>
      <w:bookmarkStart w:id="827" w:name="_Toc20990"/>
      <w:bookmarkStart w:id="828" w:name="_Toc5503"/>
      <w:bookmarkStart w:id="829" w:name="_Toc24336"/>
      <w:bookmarkStart w:id="830" w:name="_Toc94107204"/>
      <w:bookmarkStart w:id="831" w:name="_Toc29910"/>
      <w:bookmarkStart w:id="832" w:name="_Toc104991870"/>
      <w:bookmarkStart w:id="833" w:name="_Toc102860413"/>
      <w:bookmarkStart w:id="834" w:name="_Toc533708123"/>
      <w:bookmarkStart w:id="835" w:name="_Toc7024_WPSOffice_Level2"/>
      <w:bookmarkStart w:id="836" w:name="_Toc486167711"/>
      <w:bookmarkStart w:id="837" w:name="_Toc1977723"/>
      <w:r>
        <w:rPr>
          <w:rFonts w:hint="eastAsia" w:ascii="宋体" w:hAnsi="宋体" w:eastAsia="宋体" w:cs="宋体"/>
          <w:b/>
          <w:color w:val="auto"/>
          <w:kern w:val="44"/>
          <w:sz w:val="32"/>
          <w:szCs w:val="32"/>
          <w:highlight w:val="none"/>
        </w:rPr>
        <w:t>三、供货及/或提供服务过程承诺函格式</w:t>
      </w:r>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p>
    <w:p w14:paraId="401D914B">
      <w:pPr>
        <w:autoSpaceDE w:val="0"/>
        <w:autoSpaceDN w:val="0"/>
        <w:adjustRightInd w:val="0"/>
        <w:spacing w:line="360" w:lineRule="auto"/>
        <w:jc w:val="center"/>
        <w:rPr>
          <w:rFonts w:ascii="宋体" w:hAnsi="宋体" w:eastAsia="宋体" w:cs="宋体"/>
          <w:b/>
          <w:color w:val="auto"/>
          <w:kern w:val="44"/>
          <w:sz w:val="30"/>
          <w:szCs w:val="30"/>
          <w:highlight w:val="none"/>
        </w:rPr>
      </w:pPr>
      <w:r>
        <w:rPr>
          <w:rFonts w:hint="eastAsia" w:ascii="宋体" w:hAnsi="宋体" w:eastAsia="宋体" w:cs="宋体"/>
          <w:b/>
          <w:color w:val="auto"/>
          <w:kern w:val="44"/>
          <w:sz w:val="30"/>
          <w:szCs w:val="30"/>
          <w:highlight w:val="none"/>
        </w:rPr>
        <w:t>供货及/或提供服务过程承诺函</w:t>
      </w:r>
    </w:p>
    <w:p w14:paraId="62348161">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Times New Roman"/>
          <w:color w:val="auto"/>
          <w:kern w:val="0"/>
          <w:szCs w:val="21"/>
          <w:highlight w:val="none"/>
          <w:lang w:val="en-US" w:eastAsia="zh-CN"/>
        </w:rPr>
        <w:t>东莞市樟村水质净化有限公司</w:t>
      </w:r>
      <w:r>
        <w:rPr>
          <w:rFonts w:hint="eastAsia" w:ascii="宋体" w:hAnsi="宋体" w:eastAsia="宋体" w:cs="宋体"/>
          <w:color w:val="auto"/>
          <w:kern w:val="0"/>
          <w:szCs w:val="21"/>
          <w:highlight w:val="none"/>
        </w:rPr>
        <w:t>：</w:t>
      </w:r>
    </w:p>
    <w:p w14:paraId="52229889">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（投标人名称）为招标人公开招标的</w:t>
      </w:r>
      <w:r>
        <w:rPr>
          <w:rFonts w:hint="eastAsia" w:ascii="宋体" w:hAnsi="宋体" w:eastAsia="宋体" w:cs="Times New Roman"/>
          <w:color w:val="auto"/>
          <w:szCs w:val="21"/>
          <w:highlight w:val="none"/>
          <w:lang w:val="zh-CN"/>
        </w:rPr>
        <w:t>东莞市樟村水质净化厂污泥处理处置服务项目（2025-2026年）</w:t>
      </w:r>
      <w:r>
        <w:rPr>
          <w:rFonts w:hint="eastAsia" w:ascii="宋体" w:hAnsi="宋体" w:eastAsia="宋体" w:cs="宋体"/>
          <w:color w:val="auto"/>
          <w:kern w:val="0"/>
          <w:szCs w:val="21"/>
          <w:highlight w:val="none"/>
        </w:rPr>
        <w:t>(招标编号：</w:t>
      </w:r>
      <w:r>
        <w:rPr>
          <w:rFonts w:hint="eastAsia" w:ascii="宋体" w:hAnsi="宋体" w:eastAsia="宋体" w:cs="Times New Roman"/>
          <w:color w:val="auto"/>
          <w:szCs w:val="21"/>
          <w:highlight w:val="none"/>
          <w:lang w:val="zh-CN"/>
        </w:rPr>
        <w:t>DGDS2025-013</w:t>
      </w:r>
      <w:r>
        <w:rPr>
          <w:rFonts w:hint="eastAsia" w:ascii="宋体" w:hAnsi="宋体" w:eastAsia="宋体" w:cs="宋体"/>
          <w:color w:val="auto"/>
          <w:kern w:val="0"/>
          <w:szCs w:val="21"/>
          <w:highlight w:val="none"/>
        </w:rPr>
        <w:t>)的投标单位，为确保供货及/或提供服务过程中的人身、财产安全，我方承诺，如我方获得中标资格，将严格按照下列要求开展工作。</w:t>
      </w:r>
    </w:p>
    <w:p w14:paraId="5F56A073">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1、我方承诺将严格遵守国家、地方政府有关安全生产及劳动保护的法律法规、标准、规定，贯彻执行招标人的各项安全管理规章制度。</w:t>
      </w:r>
    </w:p>
    <w:p w14:paraId="6207234F">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2、我方承诺将依法参加工伤保险，为安排至招标人从事本项目的工作人员缴纳保险费，并为从事危险作业的人员办理意外伤害保险。</w:t>
      </w:r>
    </w:p>
    <w:p w14:paraId="55DF2F79">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我方承诺服从招标人的安全管理，保证作业区域的现场文明安全管理达标，现场临时用电、机器设备、安全防护齐全、完好，并接受和配合招标人的安全监督检查，我方提供到招标人现场作业的所有安全装置、防护设施必须依据经招标人审批后的安全技术方案进行搭设、安装，同时我方无条件保证安全防护设施使用的搭设材料的质量安全，在用于安全防护的物资进场前将有关物资的材质证明报招标人，经招标人确认后方可使用。</w:t>
      </w:r>
    </w:p>
    <w:p w14:paraId="6EBB111B">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我方承诺携带进场的机器设备、机具必须是合格产品，并对携带进场的机器设备、机具安全负责管理、维护及检查，对招标人和自查发现的安全隐患落实整改措施。如我方使用不合格机器设备、机具造成事故的，由我方自行承担责任。</w:t>
      </w:r>
    </w:p>
    <w:p w14:paraId="5216A908">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我方人员未经许可不随意到作业区域以外的其它工作场所活动，我方作业人员擅自到作业区域以外的其它工作场所活动，出现人身损害或财产损失的，由我方自行负责一切责任。我方作业人员如需动用或作业涉及到招标人所属设备、电器、管线及其他设施等，承诺事先征得招标人代表的同意，并采取安全防护措施。</w:t>
      </w:r>
    </w:p>
    <w:p w14:paraId="5CD92DBC">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我方承诺在进行卸货等工作时，严格遵守相关劳动安全规定，并按要求佩戴相关安全劳动防护用具。我方承诺做好安全防护措施，在工作过程中出现的安全事故由我方自行处理并承担全部责任。我方承诺我方人员在招标人场所遵守招标人的一切规章制度和安全条例，服从招标人的监督。我方在提供服务过程中，如因违反招标人相关规章制度、安全条例，或因不服从招标人监督而发生安全事故的，其结果与责任均由我方负责，招标人无须承担任何结果与责任。</w:t>
      </w:r>
    </w:p>
    <w:p w14:paraId="01C8E147">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7、我方承诺协助和指导招标人进行货物的储存，对招标人的储存方式、方法、储存数量、仓库的安全设施设备、安全生产规章制度等是否符合国家标准或者国家有关规定提出合理的建议，并进行技术指导。</w:t>
      </w:r>
    </w:p>
    <w:p w14:paraId="35236B60">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8、我方车辆在招标人场所行驶时，将严格遵守厂区道路限行，限速和限重要求，如因我方未遵守前述要求，对厂区/招标人（含其人员）、我方人员、第三方造成损失的，由我方承担赔偿责任。</w:t>
      </w:r>
    </w:p>
    <w:p w14:paraId="36AC9745">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如我方开展服务项目需进行外出调研或现场作业的，由我方派人负责安全保卫工作，按国家有关规定，对作业的现场人员进行安全防护、劳动保护等，并承担相应的费用。若发生工作人员或第三人人身伤害等事故的，由我方全部承担责任。</w:t>
      </w:r>
    </w:p>
    <w:p w14:paraId="0E25B608">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10、因我方原因，造成我方损失，由我方自负，给招标人造成财产损失和人员伤害，我方承担全部责任，并全额赔偿招标人。</w:t>
      </w:r>
    </w:p>
    <w:p w14:paraId="04032A5A">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11、非因招标人原因，造成我方损失的，招标人无需承担任何责任，由我方自行承担全部责任。</w:t>
      </w:r>
    </w:p>
    <w:p w14:paraId="641AC19C">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12、我方承诺严格遵守法律法规以及招标人的安全管理要求，并接受招标人的安全生产工作协调和监督，积极消除安全隐患。安全管理的基本要求包括但不限于以下条款：</w:t>
      </w:r>
    </w:p>
    <w:p w14:paraId="0ECDF2CF">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①禁火区内严禁吸烟、动火。有火灾危险的作业区域，我方承诺配置足够的灭火设施。</w:t>
      </w:r>
    </w:p>
    <w:p w14:paraId="29999D71">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②我方承诺焊接、气割作业时两瓶距离必须达到5M及以上，气瓶距可能产生火花的电器、设备和其它火源的间距必须达到10M及以上。</w:t>
      </w:r>
    </w:p>
    <w:p w14:paraId="7E4F0421">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③我方承诺不在厂内道路、消防通道内搭建临时建筑或堆放物资。</w:t>
      </w:r>
    </w:p>
    <w:p w14:paraId="1EF4F3CE">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④我方承诺电动工具、电焊机等均具有漏电保护器和相应的安全防护装置。</w:t>
      </w:r>
    </w:p>
    <w:p w14:paraId="3AF73E88">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⑤我方承诺用电设施符合要求，杜绝电线乱接、乱拉，刀闸和开关无盖，在电器设施上堆放物品等行为。</w:t>
      </w:r>
    </w:p>
    <w:p w14:paraId="08112524">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⑥我方承诺防雷、防静电设施及用电设施有良好接地。</w:t>
      </w:r>
    </w:p>
    <w:p w14:paraId="5D94336E">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⑦我方承诺为从业人员提供符合国家标准或者行业标准的劳动防护用品，并监督、教育从业人员按照使用规则佩戴、使用，防止工伤事故的发生。我方承诺，如发生各类工伤事故，绝不隐瞒不报。发生重伤及重伤以上事故，应及时组织抢救、保护好现场，并立即报告招标人主管领导。</w:t>
      </w:r>
    </w:p>
    <w:p w14:paraId="55491624">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13、我方承诺接受招标人的检查与监督，并主动配合，做好安全工作，凡有违反上述条款的即视为我方违约，招标人有权视情况从货物/服务价款中扣除</w:t>
      </w:r>
      <w:r>
        <w:rPr>
          <w:rFonts w:hint="eastAsia" w:ascii="宋体" w:hAnsi="宋体" w:eastAsia="宋体" w:cs="宋体"/>
          <w:color w:val="auto"/>
          <w:kern w:val="0"/>
          <w:szCs w:val="21"/>
          <w:highlight w:val="none"/>
          <w:lang w:val="en-US" w:eastAsia="zh-CN"/>
        </w:rPr>
        <w:t>2000</w:t>
      </w:r>
      <w:r>
        <w:rPr>
          <w:rFonts w:hint="eastAsia" w:ascii="宋体" w:hAnsi="宋体" w:eastAsia="宋体" w:cs="宋体"/>
          <w:color w:val="auto"/>
          <w:kern w:val="0"/>
          <w:szCs w:val="21"/>
          <w:highlight w:val="none"/>
        </w:rPr>
        <w:t>元/次作为违约金。</w:t>
      </w:r>
    </w:p>
    <w:p w14:paraId="0A293861">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如因我方违反上述条款造成安全生产事故的，我方将承担由此引发的一切责任与后果，如造成招标人损失的，我方将予以足额赔偿，同时，招标人有权没收我方提交的履约担保。</w:t>
      </w:r>
    </w:p>
    <w:p w14:paraId="5BB081E4">
      <w:pPr>
        <w:autoSpaceDE w:val="0"/>
        <w:autoSpaceDN w:val="0"/>
        <w:adjustRightInd w:val="0"/>
        <w:spacing w:line="360" w:lineRule="auto"/>
        <w:ind w:firstLine="504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p w14:paraId="7B78C1C5">
      <w:pPr>
        <w:autoSpaceDE w:val="0"/>
        <w:autoSpaceDN w:val="0"/>
        <w:adjustRightInd w:val="0"/>
        <w:spacing w:line="360" w:lineRule="auto"/>
        <w:ind w:firstLine="5040"/>
        <w:rPr>
          <w:rFonts w:ascii="宋体" w:hAnsi="宋体" w:eastAsia="宋体" w:cs="宋体"/>
          <w:color w:val="auto"/>
          <w:szCs w:val="24"/>
          <w:highlight w:val="none"/>
        </w:rPr>
      </w:pPr>
      <w:r>
        <w:rPr>
          <w:rFonts w:hint="eastAsia" w:ascii="宋体" w:hAnsi="宋体" w:eastAsia="宋体" w:cs="宋体"/>
          <w:color w:val="auto"/>
          <w:szCs w:val="24"/>
          <w:highlight w:val="none"/>
          <w:lang w:val="zh-CN"/>
        </w:rPr>
        <w:t>投标人：（加盖投标人法人公章）</w:t>
      </w:r>
    </w:p>
    <w:p w14:paraId="2BD2B1DD">
      <w:pPr>
        <w:autoSpaceDE w:val="0"/>
        <w:autoSpaceDN w:val="0"/>
        <w:adjustRightInd w:val="0"/>
        <w:spacing w:line="360" w:lineRule="auto"/>
        <w:ind w:firstLine="504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法定代表人或其授权代表签名（或盖私章）：</w:t>
      </w:r>
    </w:p>
    <w:p w14:paraId="70813A21">
      <w:pPr>
        <w:autoSpaceDE w:val="0"/>
        <w:autoSpaceDN w:val="0"/>
        <w:adjustRightInd w:val="0"/>
        <w:spacing w:line="360" w:lineRule="auto"/>
        <w:ind w:right="420" w:firstLine="5040" w:firstLineChars="2400"/>
        <w:jc w:val="left"/>
        <w:rPr>
          <w:rFonts w:ascii="宋体" w:hAnsi="宋体" w:eastAsia="宋体" w:cs="宋体"/>
          <w:color w:val="auto"/>
          <w:kern w:val="0"/>
          <w:sz w:val="24"/>
          <w:szCs w:val="24"/>
          <w:highlight w:val="none"/>
        </w:rPr>
      </w:pPr>
      <w:r>
        <w:rPr>
          <w:rFonts w:hint="eastAsia" w:ascii="宋体" w:hAnsi="宋体" w:eastAsia="宋体" w:cs="宋体"/>
          <w:color w:val="auto"/>
          <w:szCs w:val="24"/>
          <w:highlight w:val="none"/>
          <w:lang w:val="zh-CN"/>
        </w:rPr>
        <w:t>日期：   年   月   日</w:t>
      </w:r>
    </w:p>
    <w:p w14:paraId="7AB4CEDF">
      <w:pPr>
        <w:pageBreakBefore/>
        <w:autoSpaceDE w:val="0"/>
        <w:autoSpaceDN w:val="0"/>
        <w:adjustRightInd w:val="0"/>
        <w:spacing w:line="360" w:lineRule="auto"/>
        <w:jc w:val="left"/>
        <w:outlineLvl w:val="2"/>
        <w:rPr>
          <w:rFonts w:ascii="宋体" w:hAnsi="宋体" w:eastAsia="宋体" w:cs="宋体"/>
          <w:b/>
          <w:color w:val="auto"/>
          <w:kern w:val="0"/>
          <w:sz w:val="32"/>
          <w:szCs w:val="32"/>
          <w:highlight w:val="none"/>
        </w:rPr>
      </w:pPr>
      <w:bookmarkStart w:id="838" w:name="_Toc994"/>
      <w:bookmarkStart w:id="839" w:name="_Toc18346"/>
      <w:bookmarkStart w:id="840" w:name="_Toc104991872"/>
      <w:bookmarkStart w:id="841" w:name="_Toc13416"/>
      <w:bookmarkStart w:id="842" w:name="_Toc15536"/>
      <w:bookmarkStart w:id="843" w:name="_Toc8518"/>
      <w:bookmarkStart w:id="844" w:name="_Toc102860071"/>
      <w:bookmarkStart w:id="845" w:name="_Toc94107206"/>
      <w:bookmarkStart w:id="846" w:name="_Toc1140"/>
      <w:bookmarkStart w:id="847" w:name="_Toc7155"/>
      <w:bookmarkStart w:id="848" w:name="_Toc140596925"/>
      <w:bookmarkStart w:id="849" w:name="_Toc3550"/>
      <w:bookmarkStart w:id="850" w:name="_Toc9289"/>
      <w:bookmarkStart w:id="851" w:name="_Toc142508366"/>
      <w:bookmarkStart w:id="852" w:name="_Toc102860415"/>
      <w:r>
        <w:rPr>
          <w:rFonts w:hint="eastAsia" w:ascii="宋体" w:hAnsi="宋体" w:eastAsia="宋体" w:cs="宋体"/>
          <w:b/>
          <w:color w:val="auto"/>
          <w:kern w:val="0"/>
          <w:sz w:val="32"/>
          <w:szCs w:val="32"/>
          <w:highlight w:val="none"/>
          <w:lang w:val="en-US" w:eastAsia="zh-CN"/>
        </w:rPr>
        <w:t>四</w:t>
      </w:r>
      <w:r>
        <w:rPr>
          <w:rFonts w:hint="eastAsia" w:ascii="宋体" w:hAnsi="宋体" w:eastAsia="宋体" w:cs="宋体"/>
          <w:b/>
          <w:color w:val="auto"/>
          <w:kern w:val="0"/>
          <w:sz w:val="32"/>
          <w:szCs w:val="32"/>
          <w:highlight w:val="none"/>
        </w:rPr>
        <w:t>、投标报价表格式</w:t>
      </w:r>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p>
    <w:p w14:paraId="51627603">
      <w:pPr>
        <w:tabs>
          <w:tab w:val="left" w:pos="567"/>
        </w:tabs>
        <w:autoSpaceDE w:val="0"/>
        <w:autoSpaceDN w:val="0"/>
        <w:adjustRightInd w:val="0"/>
        <w:spacing w:line="360" w:lineRule="auto"/>
        <w:ind w:left="711" w:hanging="711" w:hangingChars="236"/>
        <w:jc w:val="left"/>
        <w:outlineLvl w:val="2"/>
        <w:rPr>
          <w:rFonts w:ascii="宋体" w:hAnsi="宋体" w:eastAsia="宋体" w:cs="宋体"/>
          <w:b/>
          <w:color w:val="auto"/>
          <w:kern w:val="0"/>
          <w:sz w:val="30"/>
          <w:szCs w:val="30"/>
          <w:highlight w:val="none"/>
        </w:rPr>
      </w:pPr>
      <w:bookmarkStart w:id="853" w:name="_Toc14036"/>
      <w:bookmarkStart w:id="854" w:name="_Toc140596926"/>
      <w:bookmarkStart w:id="855" w:name="_Toc102860416"/>
      <w:bookmarkStart w:id="856" w:name="_Toc2395_WPSOffice_Level3"/>
      <w:bookmarkStart w:id="857" w:name="_Toc104991873"/>
      <w:bookmarkStart w:id="858" w:name="_Toc102860072"/>
      <w:bookmarkStart w:id="859" w:name="_Toc24175"/>
      <w:bookmarkStart w:id="860" w:name="_Toc8689"/>
      <w:bookmarkStart w:id="861" w:name="_Toc94107207"/>
      <w:bookmarkStart w:id="862" w:name="_Toc15156"/>
      <w:bookmarkStart w:id="863" w:name="_Toc13906"/>
      <w:bookmarkStart w:id="864" w:name="_Toc1294"/>
      <w:bookmarkStart w:id="865" w:name="_Toc17886"/>
      <w:bookmarkStart w:id="866" w:name="_Toc21653"/>
      <w:bookmarkStart w:id="867" w:name="_Toc142508367"/>
      <w:bookmarkStart w:id="868" w:name="_Toc15425"/>
      <w:r>
        <w:rPr>
          <w:rFonts w:hint="eastAsia" w:ascii="宋体" w:hAnsi="宋体" w:eastAsia="宋体" w:cs="宋体"/>
          <w:b/>
          <w:color w:val="auto"/>
          <w:kern w:val="0"/>
          <w:sz w:val="30"/>
          <w:szCs w:val="30"/>
          <w:highlight w:val="none"/>
          <w:lang w:val="en-US" w:eastAsia="zh-CN"/>
        </w:rPr>
        <w:t>4</w:t>
      </w:r>
      <w:r>
        <w:rPr>
          <w:rFonts w:ascii="宋体" w:hAnsi="宋体" w:eastAsia="宋体" w:cs="宋体"/>
          <w:b/>
          <w:color w:val="auto"/>
          <w:kern w:val="0"/>
          <w:sz w:val="30"/>
          <w:szCs w:val="30"/>
          <w:highlight w:val="none"/>
        </w:rPr>
        <w:t xml:space="preserve">.1 </w:t>
      </w:r>
      <w:r>
        <w:rPr>
          <w:rFonts w:hint="eastAsia" w:ascii="宋体" w:hAnsi="宋体" w:eastAsia="宋体" w:cs="宋体"/>
          <w:b/>
          <w:color w:val="auto"/>
          <w:kern w:val="0"/>
          <w:sz w:val="30"/>
          <w:szCs w:val="30"/>
          <w:highlight w:val="none"/>
        </w:rPr>
        <w:t>投标报价表</w:t>
      </w:r>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p>
    <w:p w14:paraId="7497662E">
      <w:pPr>
        <w:spacing w:line="360" w:lineRule="auto"/>
        <w:jc w:val="center"/>
        <w:rPr>
          <w:rFonts w:ascii="宋体" w:hAnsi="宋体" w:eastAsia="宋体" w:cs="宋体"/>
          <w:b/>
          <w:bCs/>
          <w:color w:val="auto"/>
          <w:kern w:val="0"/>
          <w:szCs w:val="21"/>
          <w:highlight w:val="none"/>
        </w:rPr>
      </w:pPr>
      <w:r>
        <w:rPr>
          <w:rFonts w:hint="eastAsia" w:ascii="宋体" w:hAnsi="宋体" w:eastAsia="宋体" w:cs="宋体"/>
          <w:b/>
          <w:bCs/>
          <w:color w:val="auto"/>
          <w:sz w:val="30"/>
          <w:szCs w:val="30"/>
          <w:highlight w:val="none"/>
          <w:lang w:val="zh-CN"/>
        </w:rPr>
        <w:t>投标报价表</w:t>
      </w:r>
    </w:p>
    <w:p w14:paraId="4194215E">
      <w:pPr>
        <w:spacing w:line="360" w:lineRule="auto"/>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项目名称：</w:t>
      </w:r>
      <w:r>
        <w:rPr>
          <w:rFonts w:hint="eastAsia" w:ascii="宋体" w:hAnsi="宋体" w:eastAsia="宋体" w:cs="Times New Roman"/>
          <w:color w:val="auto"/>
          <w:szCs w:val="21"/>
          <w:highlight w:val="none"/>
          <w:lang w:val="zh-CN"/>
        </w:rPr>
        <w:t>东莞市樟村水质净化厂污泥处理处置服务项目（2025-2026年）</w:t>
      </w:r>
    </w:p>
    <w:p w14:paraId="7CEE3E77">
      <w:pPr>
        <w:spacing w:line="360" w:lineRule="auto"/>
        <w:rPr>
          <w:rFonts w:hint="eastAsia" w:ascii="宋体" w:hAnsi="宋体" w:eastAsia="宋体" w:cs="宋体"/>
          <w:color w:val="auto"/>
          <w:kern w:val="0"/>
          <w:szCs w:val="21"/>
          <w:highlight w:val="none"/>
          <w:u w:val="single"/>
          <w:lang w:eastAsia="zh-CN"/>
        </w:rPr>
      </w:pPr>
      <w:r>
        <w:rPr>
          <w:rFonts w:hint="eastAsia" w:ascii="宋体" w:hAnsi="宋体" w:eastAsia="宋体" w:cs="宋体"/>
          <w:b/>
          <w:color w:val="auto"/>
          <w:kern w:val="0"/>
          <w:szCs w:val="21"/>
          <w:highlight w:val="none"/>
        </w:rPr>
        <w:t>招标编号：</w:t>
      </w:r>
      <w:r>
        <w:rPr>
          <w:rFonts w:hint="eastAsia" w:ascii="宋体" w:hAnsi="宋体" w:eastAsia="宋体" w:cs="宋体"/>
          <w:color w:val="auto"/>
          <w:kern w:val="0"/>
          <w:szCs w:val="21"/>
          <w:highlight w:val="none"/>
          <w:u w:val="single"/>
          <w:lang w:eastAsia="zh-CN"/>
        </w:rPr>
        <w:t>DGDS2025-013</w:t>
      </w:r>
    </w:p>
    <w:tbl>
      <w:tblPr>
        <w:tblStyle w:val="37"/>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36"/>
        <w:gridCol w:w="4729"/>
        <w:gridCol w:w="3273"/>
        <w:gridCol w:w="1332"/>
      </w:tblGrid>
      <w:tr w14:paraId="16F0A2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500" w:type="pct"/>
            <w:tcBorders>
              <w:top w:val="single" w:color="auto" w:sz="4" w:space="0"/>
              <w:left w:val="single" w:color="auto" w:sz="4" w:space="0"/>
              <w:bottom w:val="single" w:color="auto" w:sz="4" w:space="0"/>
              <w:right w:val="single" w:color="auto" w:sz="4" w:space="0"/>
            </w:tcBorders>
            <w:vAlign w:val="center"/>
          </w:tcPr>
          <w:p w14:paraId="2DAA82C1">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序号</w:t>
            </w:r>
          </w:p>
        </w:tc>
        <w:tc>
          <w:tcPr>
            <w:tcW w:w="2280" w:type="pct"/>
            <w:tcBorders>
              <w:top w:val="single" w:color="auto" w:sz="4" w:space="0"/>
              <w:left w:val="single" w:color="auto" w:sz="4" w:space="0"/>
              <w:bottom w:val="single" w:color="auto" w:sz="4" w:space="0"/>
              <w:right w:val="single" w:color="auto" w:sz="4" w:space="0"/>
            </w:tcBorders>
            <w:vAlign w:val="center"/>
          </w:tcPr>
          <w:p w14:paraId="16CC3241">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名称</w:t>
            </w:r>
          </w:p>
        </w:tc>
        <w:tc>
          <w:tcPr>
            <w:tcW w:w="1578" w:type="pct"/>
            <w:tcBorders>
              <w:top w:val="single" w:color="auto" w:sz="4" w:space="0"/>
              <w:left w:val="single" w:color="auto" w:sz="4" w:space="0"/>
              <w:bottom w:val="single" w:color="auto" w:sz="4" w:space="0"/>
              <w:right w:val="single" w:color="auto" w:sz="4" w:space="0"/>
            </w:tcBorders>
            <w:vAlign w:val="center"/>
          </w:tcPr>
          <w:p w14:paraId="43E02FD6">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投标报价（不含销项税，元</w:t>
            </w:r>
            <w:r>
              <w:rPr>
                <w:rFonts w:hint="eastAsia" w:ascii="宋体" w:hAnsi="宋体" w:eastAsia="宋体" w:cs="Times New Roman"/>
                <w:b/>
                <w:color w:val="auto"/>
                <w:kern w:val="0"/>
                <w:szCs w:val="21"/>
                <w:highlight w:val="none"/>
                <w:lang w:val="en-US" w:eastAsia="zh-CN"/>
              </w:rPr>
              <w:t>/吨</w:t>
            </w:r>
            <w:r>
              <w:rPr>
                <w:rFonts w:hint="eastAsia" w:ascii="宋体" w:hAnsi="宋体" w:eastAsia="宋体" w:cs="Times New Roman"/>
                <w:b/>
                <w:color w:val="auto"/>
                <w:kern w:val="0"/>
                <w:szCs w:val="21"/>
                <w:highlight w:val="none"/>
              </w:rPr>
              <w:t>）</w:t>
            </w:r>
          </w:p>
        </w:tc>
        <w:tc>
          <w:tcPr>
            <w:tcW w:w="642" w:type="pct"/>
            <w:tcBorders>
              <w:top w:val="single" w:color="auto" w:sz="4" w:space="0"/>
              <w:left w:val="single" w:color="auto" w:sz="4" w:space="0"/>
              <w:bottom w:val="single" w:color="auto" w:sz="4" w:space="0"/>
              <w:right w:val="single" w:color="auto" w:sz="4" w:space="0"/>
            </w:tcBorders>
            <w:vAlign w:val="center"/>
          </w:tcPr>
          <w:p w14:paraId="7AE73A22">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备注</w:t>
            </w:r>
          </w:p>
        </w:tc>
      </w:tr>
      <w:tr w14:paraId="3603DE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500" w:type="pct"/>
            <w:tcBorders>
              <w:top w:val="single" w:color="auto" w:sz="4" w:space="0"/>
              <w:left w:val="single" w:color="auto" w:sz="4" w:space="0"/>
              <w:right w:val="single" w:color="auto" w:sz="4" w:space="0"/>
            </w:tcBorders>
            <w:vAlign w:val="center"/>
          </w:tcPr>
          <w:p w14:paraId="651E1834">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p>
        </w:tc>
        <w:tc>
          <w:tcPr>
            <w:tcW w:w="2280" w:type="pct"/>
            <w:tcBorders>
              <w:top w:val="single" w:color="auto" w:sz="4" w:space="0"/>
              <w:left w:val="single" w:color="auto" w:sz="4" w:space="0"/>
              <w:right w:val="single" w:color="auto" w:sz="4" w:space="0"/>
            </w:tcBorders>
            <w:vAlign w:val="center"/>
          </w:tcPr>
          <w:p w14:paraId="5DF639DE">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szCs w:val="21"/>
                <w:highlight w:val="none"/>
                <w:lang w:val="zh-CN"/>
              </w:rPr>
              <w:t>东莞市樟村水质净化厂污泥处理处置服务项目（2025-2026年）</w:t>
            </w:r>
          </w:p>
        </w:tc>
        <w:tc>
          <w:tcPr>
            <w:tcW w:w="1578" w:type="pct"/>
            <w:tcBorders>
              <w:top w:val="single" w:color="auto" w:sz="4" w:space="0"/>
              <w:left w:val="single" w:color="auto" w:sz="4" w:space="0"/>
              <w:right w:val="single" w:color="auto" w:sz="4" w:space="0"/>
            </w:tcBorders>
            <w:vAlign w:val="center"/>
          </w:tcPr>
          <w:p w14:paraId="334D965F">
            <w:pPr>
              <w:keepNext w:val="0"/>
              <w:keepLines w:val="0"/>
              <w:suppressLineNumbers w:val="0"/>
              <w:tabs>
                <w:tab w:val="left" w:pos="8610"/>
              </w:tabs>
              <w:spacing w:before="0" w:beforeAutospacing="0" w:after="0" w:afterAutospacing="0" w:line="360" w:lineRule="auto"/>
              <w:ind w:left="0" w:right="0"/>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小写（人民币）：</w:t>
            </w:r>
            <w:r>
              <w:rPr>
                <w:rFonts w:hint="eastAsia" w:ascii="宋体" w:hAnsi="宋体" w:eastAsia="宋体" w:cs="Times New Roman"/>
                <w:color w:val="auto"/>
                <w:kern w:val="0"/>
                <w:szCs w:val="21"/>
                <w:highlight w:val="none"/>
                <w:u w:val="single"/>
                <w:lang w:val="en-US" w:eastAsia="zh-CN"/>
              </w:rPr>
              <w:t xml:space="preserve">      </w:t>
            </w:r>
            <w:r>
              <w:rPr>
                <w:rFonts w:hint="eastAsia" w:ascii="宋体" w:hAnsi="宋体" w:eastAsia="宋体" w:cs="Times New Roman"/>
                <w:color w:val="auto"/>
                <w:kern w:val="0"/>
                <w:szCs w:val="21"/>
                <w:highlight w:val="none"/>
              </w:rPr>
              <w:t>元/吨</w:t>
            </w:r>
          </w:p>
        </w:tc>
        <w:tc>
          <w:tcPr>
            <w:tcW w:w="642" w:type="pct"/>
            <w:tcBorders>
              <w:top w:val="single" w:color="auto" w:sz="4" w:space="0"/>
              <w:left w:val="single" w:color="auto" w:sz="4" w:space="0"/>
              <w:right w:val="single" w:color="auto" w:sz="4" w:space="0"/>
            </w:tcBorders>
            <w:vAlign w:val="center"/>
          </w:tcPr>
          <w:p w14:paraId="680D7CA1">
            <w:pPr>
              <w:keepNext w:val="0"/>
              <w:keepLines w:val="0"/>
              <w:suppressLineNumbers w:val="0"/>
              <w:tabs>
                <w:tab w:val="left" w:pos="8610"/>
              </w:tabs>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r>
    </w:tbl>
    <w:p w14:paraId="26791B8B">
      <w:pPr>
        <w:rPr>
          <w:rFonts w:ascii="宋体" w:hAnsi="宋体" w:eastAsia="宋体" w:cs="宋体"/>
          <w:color w:val="auto"/>
          <w:kern w:val="0"/>
          <w:sz w:val="20"/>
          <w:szCs w:val="21"/>
          <w:highlight w:val="none"/>
        </w:rPr>
      </w:pPr>
    </w:p>
    <w:p w14:paraId="2AE41443">
      <w:pPr>
        <w:autoSpaceDE w:val="0"/>
        <w:autoSpaceDN w:val="0"/>
        <w:adjustRightIn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p w14:paraId="254CD68F">
      <w:pPr>
        <w:autoSpaceDE w:val="0"/>
        <w:autoSpaceDN w:val="0"/>
        <w:adjustRightInd w:val="0"/>
        <w:snapToGrid w:val="0"/>
        <w:spacing w:line="360" w:lineRule="auto"/>
        <w:ind w:left="605" w:leftChars="18" w:hanging="567" w:hangingChars="270"/>
        <w:jc w:val="left"/>
        <w:rPr>
          <w:rFonts w:ascii="宋体" w:hAnsi="宋体" w:eastAsia="宋体" w:cs="Times New Roman"/>
          <w:b w:val="0"/>
          <w:bCs w:val="0"/>
          <w:color w:val="auto"/>
          <w:kern w:val="0"/>
          <w:szCs w:val="21"/>
          <w:highlight w:val="none"/>
        </w:rPr>
      </w:pPr>
      <w:r>
        <w:rPr>
          <w:rFonts w:hint="eastAsia" w:ascii="宋体" w:hAnsi="宋体" w:eastAsia="宋体" w:cs="Times New Roman"/>
          <w:color w:val="auto"/>
          <w:kern w:val="0"/>
          <w:szCs w:val="21"/>
          <w:highlight w:val="none"/>
        </w:rPr>
        <w:t>（1）</w:t>
      </w:r>
      <w:r>
        <w:rPr>
          <w:rFonts w:hint="eastAsia" w:ascii="宋体" w:hAnsi="宋体" w:eastAsia="宋体" w:cs="Times New Roman"/>
          <w:b/>
          <w:color w:val="auto"/>
          <w:kern w:val="0"/>
          <w:szCs w:val="21"/>
          <w:highlight w:val="none"/>
          <w:u w:val="single"/>
        </w:rPr>
        <w:t>本项目投标报价为不含税价，即为《中华人民共和国增值税暂行条例》（国务院令第6</w:t>
      </w:r>
      <w:r>
        <w:rPr>
          <w:rFonts w:ascii="宋体" w:hAnsi="宋体" w:eastAsia="宋体" w:cs="Times New Roman"/>
          <w:b/>
          <w:color w:val="auto"/>
          <w:kern w:val="0"/>
          <w:szCs w:val="21"/>
          <w:highlight w:val="none"/>
          <w:u w:val="single"/>
        </w:rPr>
        <w:t>91</w:t>
      </w:r>
      <w:r>
        <w:rPr>
          <w:rFonts w:hint="eastAsia" w:ascii="宋体" w:hAnsi="宋体" w:eastAsia="宋体" w:cs="Times New Roman"/>
          <w:b/>
          <w:color w:val="auto"/>
          <w:kern w:val="0"/>
          <w:szCs w:val="21"/>
          <w:highlight w:val="none"/>
          <w:u w:val="single"/>
        </w:rPr>
        <w:t>号修订版）规定的销售额</w:t>
      </w:r>
      <w:r>
        <w:rPr>
          <w:rFonts w:hint="eastAsia" w:ascii="宋体" w:hAnsi="宋体" w:eastAsia="宋体" w:cs="Times New Roman"/>
          <w:color w:val="auto"/>
          <w:kern w:val="0"/>
          <w:szCs w:val="21"/>
          <w:highlight w:val="none"/>
        </w:rPr>
        <w:t>。本招标文件所称的不含税价是指不含本采购项目的投标人销项税额，包含了投标人完成合同义务（含投标人代缴代扣、分包及委外服务、施工、采购货物等所产生的价税）的其他全部费用。</w:t>
      </w:r>
      <w:r>
        <w:rPr>
          <w:rFonts w:hint="eastAsia" w:ascii="宋体" w:hAnsi="宋体" w:eastAsia="宋体" w:cs="Times New Roman"/>
          <w:color w:val="auto"/>
          <w:szCs w:val="21"/>
          <w:highlight w:val="none"/>
          <w:lang w:val="zh-CN"/>
        </w:rPr>
        <w:t>本采</w:t>
      </w:r>
      <w:r>
        <w:rPr>
          <w:rFonts w:hint="eastAsia" w:ascii="宋体" w:hAnsi="宋体" w:eastAsia="宋体" w:cs="Times New Roman"/>
          <w:b w:val="0"/>
          <w:bCs w:val="0"/>
          <w:color w:val="auto"/>
          <w:szCs w:val="21"/>
          <w:highlight w:val="none"/>
          <w:lang w:val="zh-CN"/>
        </w:rPr>
        <w:t>购项目的销项税额由招标人承担</w:t>
      </w:r>
      <w:r>
        <w:rPr>
          <w:rFonts w:hint="eastAsia" w:ascii="宋体" w:hAnsi="宋体" w:eastAsia="宋体" w:cs="Times New Roman"/>
          <w:b w:val="0"/>
          <w:bCs w:val="0"/>
          <w:color w:val="auto"/>
          <w:kern w:val="0"/>
          <w:szCs w:val="21"/>
          <w:highlight w:val="none"/>
        </w:rPr>
        <w:t>，不计入投标报价。</w:t>
      </w:r>
    </w:p>
    <w:p w14:paraId="221F34F8">
      <w:pPr>
        <w:autoSpaceDE w:val="0"/>
        <w:autoSpaceDN w:val="0"/>
        <w:adjustRightInd w:val="0"/>
        <w:snapToGrid w:val="0"/>
        <w:spacing w:line="360" w:lineRule="auto"/>
        <w:ind w:left="607" w:leftChars="18" w:hanging="569" w:hangingChars="270"/>
        <w:jc w:val="left"/>
        <w:rPr>
          <w:rFonts w:ascii="宋体" w:hAnsi="宋体" w:eastAsia="宋体" w:cs="Times New Roman"/>
          <w:b/>
          <w:bCs/>
          <w:color w:val="auto"/>
          <w:kern w:val="0"/>
          <w:szCs w:val="21"/>
          <w:highlight w:val="none"/>
        </w:rPr>
      </w:pPr>
      <w:r>
        <w:rPr>
          <w:rFonts w:hint="eastAsia" w:ascii="宋体" w:hAnsi="宋体" w:eastAsia="宋体" w:cs="Times New Roman"/>
          <w:b/>
          <w:bCs/>
          <w:color w:val="auto"/>
          <w:kern w:val="0"/>
          <w:szCs w:val="21"/>
          <w:highlight w:val="none"/>
        </w:rPr>
        <w:t>（</w:t>
      </w:r>
      <w:r>
        <w:rPr>
          <w:rFonts w:ascii="宋体" w:hAnsi="宋体" w:eastAsia="宋体" w:cs="Times New Roman"/>
          <w:b/>
          <w:bCs/>
          <w:color w:val="auto"/>
          <w:kern w:val="0"/>
          <w:szCs w:val="21"/>
          <w:highlight w:val="none"/>
        </w:rPr>
        <w:t>2</w:t>
      </w:r>
      <w:r>
        <w:rPr>
          <w:rFonts w:hint="eastAsia" w:ascii="宋体" w:hAnsi="宋体" w:eastAsia="宋体" w:cs="Times New Roman"/>
          <w:b/>
          <w:bCs/>
          <w:color w:val="auto"/>
          <w:kern w:val="0"/>
          <w:szCs w:val="21"/>
          <w:highlight w:val="none"/>
        </w:rPr>
        <w:t>）投标人的投标报价高于</w:t>
      </w:r>
      <w:r>
        <w:rPr>
          <w:rFonts w:hint="eastAsia" w:ascii="宋体" w:hAnsi="宋体" w:eastAsia="宋体" w:cs="Times New Roman"/>
          <w:b/>
          <w:bCs/>
          <w:color w:val="auto"/>
          <w:kern w:val="0"/>
          <w:szCs w:val="24"/>
          <w:highlight w:val="none"/>
          <w:u w:val="none"/>
        </w:rPr>
        <w:t>最高</w:t>
      </w:r>
      <w:r>
        <w:rPr>
          <w:rFonts w:hint="eastAsia" w:ascii="宋体" w:hAnsi="宋体" w:eastAsia="宋体" w:cs="Times New Roman"/>
          <w:b/>
          <w:bCs/>
          <w:color w:val="auto"/>
          <w:kern w:val="0"/>
          <w:szCs w:val="24"/>
          <w:highlight w:val="none"/>
          <w:u w:val="none"/>
          <w:lang w:val="en-US" w:eastAsia="zh-CN"/>
        </w:rPr>
        <w:t>投标</w:t>
      </w:r>
      <w:r>
        <w:rPr>
          <w:rFonts w:hint="eastAsia" w:ascii="宋体" w:hAnsi="宋体" w:eastAsia="宋体" w:cs="Times New Roman"/>
          <w:b/>
          <w:bCs/>
          <w:color w:val="auto"/>
          <w:kern w:val="0"/>
          <w:szCs w:val="24"/>
          <w:highlight w:val="none"/>
          <w:u w:val="none"/>
        </w:rPr>
        <w:t>限价</w:t>
      </w:r>
      <w:r>
        <w:rPr>
          <w:rFonts w:hint="eastAsia" w:ascii="宋体" w:hAnsi="宋体" w:eastAsia="宋体" w:cs="Times New Roman"/>
          <w:b/>
          <w:bCs/>
          <w:color w:val="auto"/>
          <w:kern w:val="0"/>
          <w:szCs w:val="21"/>
          <w:highlight w:val="none"/>
        </w:rPr>
        <w:t>的，该投标人的投标文件将被视为无效投标。</w:t>
      </w:r>
    </w:p>
    <w:p w14:paraId="502C6F7F">
      <w:pPr>
        <w:autoSpaceDE w:val="0"/>
        <w:autoSpaceDN w:val="0"/>
        <w:adjustRightInd w:val="0"/>
        <w:snapToGrid w:val="0"/>
        <w:spacing w:line="360" w:lineRule="auto"/>
        <w:ind w:left="607" w:leftChars="18" w:hanging="569" w:hangingChars="270"/>
        <w:jc w:val="left"/>
        <w:rPr>
          <w:rFonts w:ascii="宋体" w:hAnsi="宋体" w:eastAsia="宋体" w:cs="Times New Roman"/>
          <w:b/>
          <w:bCs/>
          <w:color w:val="auto"/>
          <w:kern w:val="0"/>
          <w:szCs w:val="21"/>
          <w:highlight w:val="none"/>
          <w:lang w:val="zh-CN"/>
        </w:rPr>
      </w:pPr>
      <w:r>
        <w:rPr>
          <w:rFonts w:hint="eastAsia" w:ascii="宋体" w:hAnsi="宋体" w:eastAsia="宋体" w:cs="Times New Roman"/>
          <w:b/>
          <w:bCs/>
          <w:color w:val="auto"/>
          <w:kern w:val="0"/>
          <w:szCs w:val="21"/>
          <w:highlight w:val="none"/>
        </w:rPr>
        <w:t>（</w:t>
      </w:r>
      <w:r>
        <w:rPr>
          <w:rFonts w:hint="eastAsia" w:ascii="宋体" w:hAnsi="宋体" w:eastAsia="宋体" w:cs="Times New Roman"/>
          <w:b/>
          <w:bCs/>
          <w:color w:val="auto"/>
          <w:kern w:val="0"/>
          <w:szCs w:val="21"/>
          <w:highlight w:val="none"/>
          <w:lang w:val="en-US" w:eastAsia="zh-CN"/>
        </w:rPr>
        <w:t>3</w:t>
      </w:r>
      <w:r>
        <w:rPr>
          <w:rFonts w:hint="eastAsia" w:ascii="宋体" w:hAnsi="宋体" w:eastAsia="宋体" w:cs="Times New Roman"/>
          <w:b/>
          <w:bCs/>
          <w:color w:val="auto"/>
          <w:kern w:val="0"/>
          <w:szCs w:val="21"/>
          <w:highlight w:val="none"/>
        </w:rPr>
        <w:t>）</w:t>
      </w:r>
      <w:r>
        <w:rPr>
          <w:rFonts w:hint="eastAsia" w:ascii="宋体" w:hAnsi="宋体" w:eastAsia="宋体" w:cs="Times New Roman"/>
          <w:b/>
          <w:bCs/>
          <w:color w:val="auto"/>
          <w:kern w:val="0"/>
          <w:szCs w:val="21"/>
          <w:highlight w:val="none"/>
          <w:u w:val="single"/>
          <w:lang w:val="zh-CN"/>
        </w:rPr>
        <w:t>本表一式二份，一份随唱标信封一起提交，一份编入投标文件商务文件</w:t>
      </w:r>
      <w:r>
        <w:rPr>
          <w:rFonts w:hint="eastAsia" w:ascii="宋体" w:hAnsi="宋体" w:eastAsia="宋体" w:cs="Times New Roman"/>
          <w:b/>
          <w:bCs/>
          <w:color w:val="auto"/>
          <w:kern w:val="0"/>
          <w:szCs w:val="21"/>
          <w:highlight w:val="none"/>
          <w:lang w:val="zh-CN"/>
        </w:rPr>
        <w:t>。</w:t>
      </w:r>
    </w:p>
    <w:p w14:paraId="0D6C6353">
      <w:pPr>
        <w:autoSpaceDE w:val="0"/>
        <w:autoSpaceDN w:val="0"/>
        <w:adjustRightInd w:val="0"/>
        <w:snapToGrid w:val="0"/>
        <w:spacing w:line="360" w:lineRule="auto"/>
        <w:ind w:left="605" w:leftChars="18" w:hanging="567" w:hangingChars="270"/>
        <w:jc w:val="left"/>
        <w:rPr>
          <w:rFonts w:hint="eastAsia" w:ascii="宋体" w:hAnsi="宋体" w:eastAsia="宋体" w:cs="Times New Roman"/>
          <w:color w:val="auto"/>
          <w:kern w:val="0"/>
          <w:szCs w:val="21"/>
          <w:highlight w:val="none"/>
        </w:rPr>
      </w:pPr>
      <w:r>
        <w:rPr>
          <w:rFonts w:hint="eastAsia" w:ascii="宋体" w:hAnsi="宋体" w:eastAsia="宋体" w:cs="Times New Roman"/>
          <w:bCs/>
          <w:color w:val="auto"/>
          <w:kern w:val="0"/>
          <w:szCs w:val="21"/>
          <w:highlight w:val="none"/>
          <w:lang w:val="zh-CN"/>
        </w:rPr>
        <w:t>（</w:t>
      </w:r>
      <w:r>
        <w:rPr>
          <w:rFonts w:hint="eastAsia" w:ascii="宋体" w:hAnsi="宋体" w:eastAsia="宋体" w:cs="Times New Roman"/>
          <w:bCs/>
          <w:color w:val="auto"/>
          <w:kern w:val="0"/>
          <w:szCs w:val="21"/>
          <w:highlight w:val="none"/>
          <w:lang w:val="en-US" w:eastAsia="zh-CN"/>
        </w:rPr>
        <w:t>4</w:t>
      </w:r>
      <w:r>
        <w:rPr>
          <w:rFonts w:hint="eastAsia" w:ascii="宋体" w:hAnsi="宋体" w:eastAsia="宋体" w:cs="Times New Roman"/>
          <w:bCs/>
          <w:color w:val="auto"/>
          <w:kern w:val="0"/>
          <w:szCs w:val="21"/>
          <w:highlight w:val="none"/>
          <w:lang w:val="zh-CN"/>
        </w:rPr>
        <w:t>）</w:t>
      </w:r>
      <w:r>
        <w:rPr>
          <w:rFonts w:hint="eastAsia" w:ascii="宋体" w:hAnsi="宋体" w:eastAsia="宋体" w:cs="宋体"/>
          <w:color w:val="auto"/>
          <w:kern w:val="0"/>
          <w:szCs w:val="21"/>
          <w:highlight w:val="none"/>
          <w:lang w:val="zh-CN"/>
        </w:rPr>
        <w:t>报价</w:t>
      </w:r>
      <w:r>
        <w:rPr>
          <w:rFonts w:hint="eastAsia" w:ascii="宋体" w:hAnsi="宋体" w:eastAsia="宋体" w:cs="宋体"/>
          <w:color w:val="auto"/>
          <w:kern w:val="0"/>
          <w:szCs w:val="21"/>
          <w:highlight w:val="none"/>
          <w:lang w:val="en-US" w:eastAsia="zh-CN"/>
        </w:rPr>
        <w:t>需</w:t>
      </w:r>
      <w:r>
        <w:rPr>
          <w:rFonts w:hint="eastAsia" w:ascii="宋体" w:hAnsi="宋体" w:eastAsia="宋体" w:cs="宋体"/>
          <w:color w:val="auto"/>
          <w:kern w:val="0"/>
          <w:szCs w:val="21"/>
          <w:highlight w:val="none"/>
          <w:lang w:val="zh-CN"/>
        </w:rPr>
        <w:t>保留小数点后两位</w:t>
      </w:r>
      <w:r>
        <w:rPr>
          <w:rFonts w:hint="eastAsia" w:ascii="宋体" w:hAnsi="宋体" w:eastAsia="宋体" w:cs="宋体"/>
          <w:color w:val="auto"/>
          <w:kern w:val="0"/>
          <w:szCs w:val="21"/>
          <w:highlight w:val="none"/>
          <w:lang w:val="zh-CN" w:eastAsia="zh-CN"/>
        </w:rPr>
        <w:t>，</w:t>
      </w:r>
      <w:r>
        <w:rPr>
          <w:rFonts w:hint="eastAsia" w:ascii="宋体" w:hAnsi="宋体" w:eastAsia="宋体" w:cs="宋体"/>
          <w:color w:val="auto"/>
          <w:kern w:val="0"/>
          <w:szCs w:val="21"/>
          <w:highlight w:val="none"/>
          <w:lang w:val="en-US" w:eastAsia="zh-CN"/>
        </w:rPr>
        <w:t>否则</w:t>
      </w:r>
      <w:r>
        <w:rPr>
          <w:rFonts w:hint="eastAsia" w:ascii="宋体" w:hAnsi="宋体" w:eastAsia="宋体" w:cs="宋体"/>
          <w:color w:val="auto"/>
          <w:kern w:val="0"/>
          <w:szCs w:val="21"/>
          <w:highlight w:val="none"/>
          <w:lang w:val="zh-CN"/>
        </w:rPr>
        <w:t>评标委员会按去“尾”或补“零”的方式进行修正为保留小数点后两位，投标人须接受被修正后的报价（例：如投标</w:t>
      </w:r>
      <w:r>
        <w:rPr>
          <w:rFonts w:hint="eastAsia" w:ascii="宋体" w:hAnsi="宋体" w:eastAsia="宋体" w:cs="宋体"/>
          <w:color w:val="auto"/>
          <w:kern w:val="0"/>
          <w:szCs w:val="21"/>
          <w:highlight w:val="none"/>
          <w:lang w:val="en-US" w:eastAsia="zh-CN"/>
        </w:rPr>
        <w:t>报价</w:t>
      </w:r>
      <w:r>
        <w:rPr>
          <w:rFonts w:hint="eastAsia" w:ascii="宋体" w:hAnsi="宋体" w:eastAsia="宋体" w:cs="宋体"/>
          <w:color w:val="auto"/>
          <w:kern w:val="0"/>
          <w:szCs w:val="21"/>
          <w:highlight w:val="none"/>
          <w:lang w:val="zh-CN"/>
        </w:rPr>
        <w:t>为0.789，则被修正为0.78；如投标</w:t>
      </w:r>
      <w:r>
        <w:rPr>
          <w:rFonts w:hint="eastAsia" w:ascii="宋体" w:hAnsi="宋体" w:eastAsia="宋体" w:cs="宋体"/>
          <w:color w:val="auto"/>
          <w:kern w:val="0"/>
          <w:szCs w:val="21"/>
          <w:highlight w:val="none"/>
          <w:lang w:val="en-US" w:eastAsia="zh-CN"/>
        </w:rPr>
        <w:t>报价</w:t>
      </w:r>
      <w:r>
        <w:rPr>
          <w:rFonts w:hint="eastAsia" w:ascii="宋体" w:hAnsi="宋体" w:eastAsia="宋体" w:cs="宋体"/>
          <w:color w:val="auto"/>
          <w:kern w:val="0"/>
          <w:szCs w:val="21"/>
          <w:highlight w:val="none"/>
          <w:lang w:val="zh-CN"/>
        </w:rPr>
        <w:t>为0.7，则被修正为0.70）</w:t>
      </w:r>
      <w:r>
        <w:rPr>
          <w:rFonts w:hint="eastAsia" w:ascii="宋体" w:hAnsi="宋体" w:eastAsia="宋体" w:cs="Times New Roman"/>
          <w:color w:val="auto"/>
          <w:kern w:val="0"/>
          <w:szCs w:val="21"/>
          <w:highlight w:val="none"/>
        </w:rPr>
        <w:t>。</w:t>
      </w:r>
    </w:p>
    <w:p w14:paraId="30A638F9">
      <w:pPr>
        <w:pStyle w:val="18"/>
        <w:rPr>
          <w:color w:val="auto"/>
          <w:highlight w:val="none"/>
          <w:lang w:val="zh-CN"/>
        </w:rPr>
      </w:pPr>
    </w:p>
    <w:p w14:paraId="65F6F356">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4"/>
          <w:highlight w:val="none"/>
          <w:lang w:val="zh-CN"/>
        </w:rPr>
        <w:t>加盖投标人法人公章</w:t>
      </w:r>
      <w:r>
        <w:rPr>
          <w:rFonts w:hint="eastAsia" w:ascii="宋体" w:hAnsi="宋体" w:eastAsia="宋体" w:cs="宋体"/>
          <w:color w:val="auto"/>
          <w:szCs w:val="21"/>
          <w:highlight w:val="none"/>
          <w:lang w:val="zh-CN"/>
        </w:rPr>
        <w:t>）</w:t>
      </w:r>
    </w:p>
    <w:p w14:paraId="1FFDEE7E">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法定代表人或其授权代表签名（或盖私章）：</w:t>
      </w:r>
    </w:p>
    <w:p w14:paraId="1B64E519">
      <w:pPr>
        <w:autoSpaceDE w:val="0"/>
        <w:autoSpaceDN w:val="0"/>
        <w:adjustRightInd w:val="0"/>
        <w:spacing w:line="360" w:lineRule="auto"/>
        <w:ind w:firstLine="4960" w:firstLineChars="2362"/>
        <w:rPr>
          <w:rFonts w:ascii="宋体" w:hAnsi="宋体" w:eastAsia="宋体" w:cs="Times New Roman"/>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18E71787">
      <w:pPr>
        <w:tabs>
          <w:tab w:val="left" w:pos="567"/>
        </w:tabs>
        <w:autoSpaceDE w:val="0"/>
        <w:autoSpaceDN w:val="0"/>
        <w:adjustRightInd w:val="0"/>
        <w:spacing w:line="360" w:lineRule="auto"/>
        <w:jc w:val="left"/>
        <w:outlineLvl w:val="2"/>
        <w:rPr>
          <w:rFonts w:ascii="宋体" w:hAnsi="宋体" w:eastAsia="宋体" w:cs="宋体"/>
          <w:b/>
          <w:color w:val="auto"/>
          <w:kern w:val="0"/>
          <w:sz w:val="32"/>
          <w:szCs w:val="32"/>
          <w:highlight w:val="none"/>
        </w:rPr>
      </w:pPr>
      <w:r>
        <w:rPr>
          <w:rFonts w:ascii="宋体" w:hAnsi="宋体" w:eastAsia="宋体" w:cs="Times New Roman"/>
          <w:color w:val="auto"/>
          <w:szCs w:val="24"/>
          <w:highlight w:val="none"/>
          <w:lang w:val="zh-CN"/>
        </w:rPr>
        <w:br w:type="page"/>
      </w:r>
      <w:bookmarkStart w:id="869" w:name="_Toc1435"/>
      <w:bookmarkStart w:id="870" w:name="_Toc140596928"/>
      <w:bookmarkStart w:id="871" w:name="_Toc24145"/>
      <w:bookmarkStart w:id="872" w:name="_Toc3333"/>
      <w:bookmarkStart w:id="873" w:name="_Toc9875"/>
      <w:bookmarkStart w:id="874" w:name="_Toc104991875"/>
      <w:bookmarkStart w:id="875" w:name="_Toc1977725"/>
      <w:bookmarkStart w:id="876" w:name="_Toc102860074"/>
      <w:bookmarkStart w:id="877" w:name="_Toc15440"/>
      <w:bookmarkStart w:id="878" w:name="_Toc23083"/>
      <w:bookmarkStart w:id="879" w:name="_Toc6190"/>
      <w:bookmarkStart w:id="880" w:name="_Toc142508369"/>
      <w:bookmarkStart w:id="881" w:name="_Toc94107209"/>
      <w:bookmarkStart w:id="882" w:name="_Toc102860418"/>
      <w:bookmarkStart w:id="883" w:name="_Toc26516"/>
      <w:bookmarkStart w:id="884" w:name="_Toc16223"/>
      <w:bookmarkStart w:id="885" w:name="_Toc486167712"/>
      <w:bookmarkStart w:id="886" w:name="_Toc20759_WPSOffice_Level2"/>
      <w:bookmarkStart w:id="887" w:name="_Toc533708124"/>
      <w:r>
        <w:rPr>
          <w:rFonts w:hint="eastAsia" w:ascii="宋体" w:hAnsi="宋体" w:eastAsia="宋体" w:cs="宋体"/>
          <w:b/>
          <w:bCs/>
          <w:color w:val="auto"/>
          <w:sz w:val="30"/>
          <w:szCs w:val="30"/>
          <w:highlight w:val="none"/>
          <w:lang w:val="en-US" w:eastAsia="zh-CN"/>
        </w:rPr>
        <w:t>五</w:t>
      </w:r>
      <w:r>
        <w:rPr>
          <w:rFonts w:hint="eastAsia" w:ascii="宋体" w:hAnsi="宋体" w:eastAsia="宋体" w:cs="宋体"/>
          <w:b/>
          <w:color w:val="auto"/>
          <w:kern w:val="0"/>
          <w:sz w:val="32"/>
          <w:szCs w:val="32"/>
          <w:highlight w:val="none"/>
        </w:rPr>
        <w:t>、投标人资格证明文件</w:t>
      </w:r>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p>
    <w:p w14:paraId="3B37877D">
      <w:pPr>
        <w:tabs>
          <w:tab w:val="left" w:pos="567"/>
        </w:tabs>
        <w:autoSpaceDE w:val="0"/>
        <w:autoSpaceDN w:val="0"/>
        <w:adjustRightInd w:val="0"/>
        <w:spacing w:line="360" w:lineRule="auto"/>
        <w:jc w:val="left"/>
        <w:outlineLvl w:val="2"/>
        <w:rPr>
          <w:rFonts w:ascii="宋体" w:hAnsi="宋体" w:eastAsia="宋体" w:cs="宋体"/>
          <w:b/>
          <w:color w:val="auto"/>
          <w:kern w:val="0"/>
          <w:sz w:val="30"/>
          <w:szCs w:val="30"/>
          <w:highlight w:val="none"/>
        </w:rPr>
      </w:pPr>
      <w:bookmarkStart w:id="888" w:name="_Toc4075"/>
      <w:bookmarkStart w:id="889" w:name="_Toc30346"/>
      <w:bookmarkStart w:id="890" w:name="_Toc17358"/>
      <w:bookmarkStart w:id="891" w:name="_Toc25267"/>
      <w:bookmarkStart w:id="892" w:name="_Toc9912"/>
      <w:bookmarkStart w:id="893" w:name="_Toc142508370"/>
      <w:bookmarkStart w:id="894" w:name="_Toc1003"/>
      <w:bookmarkStart w:id="895" w:name="_Toc29541"/>
      <w:bookmarkStart w:id="896" w:name="_Toc29874"/>
      <w:bookmarkStart w:id="897" w:name="_Toc140596929"/>
      <w:bookmarkStart w:id="898" w:name="_Toc102860075"/>
      <w:bookmarkStart w:id="899" w:name="_Toc9763"/>
      <w:bookmarkStart w:id="900" w:name="_Toc104991876"/>
      <w:bookmarkStart w:id="901" w:name="_Toc94107210"/>
      <w:bookmarkStart w:id="902" w:name="_Toc102860419"/>
      <w:bookmarkStart w:id="903" w:name="_Toc1977726"/>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.1 多证合一营业执照（或事业单位法人证书）复印件</w:t>
      </w:r>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p>
    <w:p w14:paraId="6FAC457F">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265AAD51">
      <w:pPr>
        <w:tabs>
          <w:tab w:val="left" w:pos="567"/>
        </w:tabs>
        <w:autoSpaceDE w:val="0"/>
        <w:autoSpaceDN w:val="0"/>
        <w:adjustRightInd w:val="0"/>
        <w:spacing w:line="360" w:lineRule="auto"/>
        <w:ind w:firstLine="316" w:firstLineChars="150"/>
        <w:jc w:val="left"/>
        <w:outlineLvl w:val="2"/>
        <w:rPr>
          <w:rFonts w:ascii="宋体" w:hAnsi="宋体" w:eastAsia="宋体" w:cs="宋体"/>
          <w:b/>
          <w:color w:val="auto"/>
          <w:kern w:val="0"/>
          <w:szCs w:val="21"/>
          <w:highlight w:val="none"/>
        </w:rPr>
        <w:sectPr>
          <w:pgSz w:w="12240" w:h="15840"/>
          <w:pgMar w:top="1191" w:right="1043" w:bottom="1191" w:left="1043" w:header="720" w:footer="720" w:gutter="0"/>
          <w:cols w:space="720" w:num="1"/>
          <w:titlePg/>
          <w:docGrid w:linePitch="326" w:charSpace="0"/>
        </w:sectPr>
      </w:pPr>
    </w:p>
    <w:p w14:paraId="1568123E">
      <w:pPr>
        <w:tabs>
          <w:tab w:val="left" w:pos="567"/>
        </w:tabs>
        <w:autoSpaceDE w:val="0"/>
        <w:autoSpaceDN w:val="0"/>
        <w:adjustRightInd w:val="0"/>
        <w:spacing w:line="360" w:lineRule="auto"/>
        <w:jc w:val="left"/>
        <w:outlineLvl w:val="2"/>
        <w:rPr>
          <w:rFonts w:ascii="宋体" w:hAnsi="宋体" w:eastAsia="宋体" w:cs="宋体"/>
          <w:b/>
          <w:color w:val="auto"/>
          <w:kern w:val="0"/>
          <w:sz w:val="30"/>
          <w:szCs w:val="30"/>
          <w:highlight w:val="none"/>
        </w:rPr>
      </w:pPr>
      <w:bookmarkStart w:id="904" w:name="_Toc102860420"/>
      <w:bookmarkStart w:id="905" w:name="_Toc7756"/>
      <w:bookmarkStart w:id="906" w:name="_Toc31102"/>
      <w:bookmarkStart w:id="907" w:name="_Toc104991877"/>
      <w:bookmarkStart w:id="908" w:name="_Toc10476"/>
      <w:bookmarkStart w:id="909" w:name="_Toc140596930"/>
      <w:bookmarkStart w:id="910" w:name="_Toc20219"/>
      <w:bookmarkStart w:id="911" w:name="_Toc94107211"/>
      <w:bookmarkStart w:id="912" w:name="_Toc142508371"/>
      <w:bookmarkStart w:id="913" w:name="_Toc4009"/>
      <w:bookmarkStart w:id="914" w:name="_Toc8107"/>
      <w:bookmarkStart w:id="915" w:name="_Toc25013"/>
      <w:bookmarkStart w:id="916" w:name="_Toc102860076"/>
      <w:bookmarkStart w:id="917" w:name="_Toc16150"/>
      <w:bookmarkStart w:id="918" w:name="_Toc27861"/>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.2 开户许可证复印件（基本存款账户），如投标人企业银行账户开户所在地区已取消企业银行账户许可，投标人应提供基本存款账户开户名称、开户银行、账号、编号等信息及相关备案证明（如有）或其他能证明其为基本存款账户的资料复印件</w:t>
      </w:r>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p>
    <w:p w14:paraId="6039A479">
      <w:pPr>
        <w:tabs>
          <w:tab w:val="left" w:pos="567"/>
        </w:tabs>
        <w:autoSpaceDE w:val="0"/>
        <w:autoSpaceDN w:val="0"/>
        <w:adjustRightInd w:val="0"/>
        <w:spacing w:line="360" w:lineRule="auto"/>
        <w:jc w:val="left"/>
        <w:outlineLvl w:val="2"/>
        <w:rPr>
          <w:rFonts w:ascii="宋体" w:hAnsi="宋体" w:eastAsia="宋体" w:cs="宋体"/>
          <w:b/>
          <w:color w:val="auto"/>
          <w:kern w:val="0"/>
          <w:szCs w:val="21"/>
          <w:highlight w:val="none"/>
        </w:rPr>
      </w:pPr>
      <w:r>
        <w:rPr>
          <w:rFonts w:ascii="宋体" w:hAnsi="宋体" w:eastAsia="宋体" w:cs="宋体"/>
          <w:b/>
          <w:color w:val="auto"/>
          <w:kern w:val="0"/>
          <w:sz w:val="30"/>
          <w:szCs w:val="30"/>
          <w:highlight w:val="none"/>
        </w:rPr>
        <w:br w:type="page"/>
      </w:r>
      <w:bookmarkStart w:id="919" w:name="_Toc140596931"/>
      <w:bookmarkStart w:id="920" w:name="_Toc9132"/>
      <w:bookmarkStart w:id="921" w:name="_Toc102860421"/>
      <w:bookmarkStart w:id="922" w:name="_Toc7441"/>
      <w:bookmarkStart w:id="923" w:name="_Toc17062"/>
      <w:bookmarkStart w:id="924" w:name="_Toc102860077"/>
      <w:bookmarkStart w:id="925" w:name="_Toc376"/>
      <w:bookmarkStart w:id="926" w:name="_Toc104991878"/>
      <w:bookmarkStart w:id="927" w:name="_Toc17499"/>
      <w:bookmarkStart w:id="928" w:name="_Toc142508372"/>
      <w:bookmarkStart w:id="929" w:name="_Toc27838"/>
      <w:bookmarkStart w:id="930" w:name="_Toc28081"/>
      <w:bookmarkStart w:id="931" w:name="_Toc94107212"/>
      <w:bookmarkStart w:id="932" w:name="_Toc22344"/>
      <w:bookmarkStart w:id="933" w:name="_Toc27764"/>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.3</w:t>
      </w:r>
      <w:r>
        <w:rPr>
          <w:rFonts w:ascii="宋体" w:hAnsi="宋体" w:eastAsia="宋体" w:cs="宋体"/>
          <w:b/>
          <w:color w:val="auto"/>
          <w:kern w:val="0"/>
          <w:sz w:val="30"/>
          <w:szCs w:val="30"/>
          <w:highlight w:val="none"/>
        </w:rPr>
        <w:t xml:space="preserve"> </w:t>
      </w:r>
      <w:r>
        <w:rPr>
          <w:rFonts w:hint="eastAsia" w:ascii="宋体" w:hAnsi="宋体" w:eastAsia="宋体" w:cs="宋体"/>
          <w:b/>
          <w:color w:val="auto"/>
          <w:kern w:val="0"/>
          <w:sz w:val="30"/>
          <w:szCs w:val="30"/>
          <w:highlight w:val="none"/>
        </w:rPr>
        <w:t>法定代表人身份证明书原件、法定代表人授权书原件格式（法定代表人投标时只需提供法定代表人身份证明书，委托他人为投标代表或签署投标文件时需同时提供法定代表人授权书）</w:t>
      </w:r>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p>
    <w:p w14:paraId="10E4D1EE">
      <w:pPr>
        <w:spacing w:before="120" w:after="120" w:line="360" w:lineRule="auto"/>
        <w:ind w:firstLine="426" w:firstLineChars="202"/>
        <w:rPr>
          <w:rFonts w:ascii="宋体" w:hAnsi="宋体" w:eastAsia="宋体" w:cs="宋体"/>
          <w:b/>
          <w:color w:val="auto"/>
          <w:szCs w:val="24"/>
          <w:highlight w:val="none"/>
        </w:rPr>
      </w:pPr>
      <w:r>
        <w:rPr>
          <w:rFonts w:hint="eastAsia" w:ascii="宋体" w:hAnsi="宋体" w:eastAsia="宋体" w:cs="宋体"/>
          <w:b/>
          <w:color w:val="auto"/>
          <w:szCs w:val="24"/>
          <w:highlight w:val="none"/>
        </w:rPr>
        <w:t>（1）法定代表人身份证明书格式</w:t>
      </w:r>
      <w:bookmarkEnd w:id="885"/>
      <w:bookmarkEnd w:id="886"/>
      <w:bookmarkEnd w:id="887"/>
      <w:bookmarkEnd w:id="903"/>
    </w:p>
    <w:p w14:paraId="0FDEACAB">
      <w:pPr>
        <w:spacing w:before="120" w:after="120" w:line="360" w:lineRule="auto"/>
        <w:ind w:firstLine="608" w:firstLineChars="202"/>
        <w:jc w:val="center"/>
        <w:rPr>
          <w:rFonts w:ascii="宋体" w:hAnsi="宋体" w:eastAsia="宋体" w:cs="宋体"/>
          <w:b/>
          <w:color w:val="auto"/>
          <w:sz w:val="30"/>
          <w:szCs w:val="30"/>
          <w:highlight w:val="none"/>
        </w:rPr>
      </w:pPr>
    </w:p>
    <w:p w14:paraId="4B288AEC">
      <w:pPr>
        <w:spacing w:before="120" w:after="120" w:line="360" w:lineRule="auto"/>
        <w:ind w:firstLine="608" w:firstLineChars="202"/>
        <w:jc w:val="center"/>
        <w:rPr>
          <w:rFonts w:ascii="宋体" w:hAnsi="宋体" w:eastAsia="宋体" w:cs="宋体"/>
          <w:b/>
          <w:bCs/>
          <w:color w:val="auto"/>
          <w:sz w:val="30"/>
          <w:szCs w:val="30"/>
          <w:highlight w:val="none"/>
        </w:rPr>
      </w:pPr>
      <w:bookmarkStart w:id="934" w:name="_Toc11033_WPSOffice_Level3"/>
      <w:r>
        <w:rPr>
          <w:rFonts w:hint="eastAsia" w:ascii="宋体" w:hAnsi="宋体" w:eastAsia="宋体" w:cs="宋体"/>
          <w:b/>
          <w:color w:val="auto"/>
          <w:sz w:val="30"/>
          <w:szCs w:val="30"/>
          <w:highlight w:val="none"/>
        </w:rPr>
        <w:t>法定代</w:t>
      </w:r>
      <w:bookmarkStart w:id="935" w:name="_Toc36971359"/>
      <w:bookmarkStart w:id="936" w:name="_Toc45995270"/>
      <w:r>
        <w:rPr>
          <w:rFonts w:hint="eastAsia" w:ascii="宋体" w:hAnsi="宋体" w:eastAsia="宋体" w:cs="宋体"/>
          <w:b/>
          <w:color w:val="auto"/>
          <w:sz w:val="30"/>
          <w:szCs w:val="30"/>
          <w:highlight w:val="none"/>
        </w:rPr>
        <w:t>表人身份证明书</w:t>
      </w:r>
      <w:bookmarkEnd w:id="934"/>
    </w:p>
    <w:bookmarkEnd w:id="935"/>
    <w:bookmarkEnd w:id="936"/>
    <w:p w14:paraId="13F8B529">
      <w:pPr>
        <w:spacing w:before="120" w:after="120" w:line="360" w:lineRule="auto"/>
        <w:ind w:firstLine="420" w:firstLineChars="200"/>
        <w:rPr>
          <w:rFonts w:ascii="宋体" w:hAnsi="宋体" w:eastAsia="宋体" w:cs="宋体"/>
          <w:color w:val="auto"/>
          <w:szCs w:val="24"/>
          <w:highlight w:val="none"/>
        </w:rPr>
      </w:pP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先生／女士：现任我单位</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职务，为法定代表人，特此证明。</w:t>
      </w:r>
    </w:p>
    <w:p w14:paraId="501407B5">
      <w:pPr>
        <w:spacing w:before="120" w:after="120"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有效日期：</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签发日期：</w:t>
      </w:r>
      <w:r>
        <w:rPr>
          <w:rFonts w:hint="eastAsia" w:ascii="宋体" w:hAnsi="宋体" w:eastAsia="宋体" w:cs="宋体"/>
          <w:color w:val="auto"/>
          <w:szCs w:val="24"/>
          <w:highlight w:val="none"/>
          <w:u w:val="single"/>
        </w:rPr>
        <w:t xml:space="preserve">           </w:t>
      </w:r>
    </w:p>
    <w:p w14:paraId="7ED60813">
      <w:pPr>
        <w:spacing w:before="120" w:after="120" w:line="360" w:lineRule="auto"/>
        <w:ind w:firstLine="424" w:firstLineChars="202"/>
        <w:rPr>
          <w:rFonts w:ascii="宋体" w:hAnsi="宋体" w:eastAsia="宋体" w:cs="宋体"/>
          <w:color w:val="auto"/>
          <w:szCs w:val="24"/>
          <w:highlight w:val="none"/>
          <w:u w:val="single"/>
        </w:rPr>
      </w:pPr>
      <w:r>
        <w:rPr>
          <w:rFonts w:hint="eastAsia" w:ascii="宋体" w:hAnsi="宋体" w:eastAsia="宋体" w:cs="宋体"/>
          <w:color w:val="auto"/>
          <w:szCs w:val="24"/>
          <w:highlight w:val="none"/>
        </w:rPr>
        <w:t>附：代表人性别：</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 年龄：</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身份证号码：</w:t>
      </w:r>
      <w:r>
        <w:rPr>
          <w:rFonts w:hint="eastAsia" w:ascii="宋体" w:hAnsi="宋体" w:eastAsia="宋体" w:cs="宋体"/>
          <w:color w:val="auto"/>
          <w:szCs w:val="24"/>
          <w:highlight w:val="none"/>
          <w:u w:val="single"/>
        </w:rPr>
        <w:t xml:space="preserve">            </w:t>
      </w:r>
    </w:p>
    <w:p w14:paraId="35EE0E62">
      <w:pPr>
        <w:spacing w:before="120" w:after="120"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营业执照号码：</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经济性质： </w:t>
      </w:r>
    </w:p>
    <w:p w14:paraId="4037FD6B">
      <w:pPr>
        <w:spacing w:before="120" w:after="120" w:line="360" w:lineRule="auto"/>
        <w:ind w:firstLine="424" w:firstLineChars="202"/>
        <w:rPr>
          <w:rFonts w:ascii="宋体" w:hAnsi="宋体" w:eastAsia="宋体" w:cs="宋体"/>
          <w:color w:val="auto"/>
          <w:szCs w:val="24"/>
          <w:highlight w:val="none"/>
          <w:u w:val="single"/>
        </w:rPr>
      </w:pPr>
      <w:r>
        <w:rPr>
          <w:rFonts w:hint="eastAsia" w:ascii="宋体" w:hAnsi="宋体" w:eastAsia="宋体" w:cs="宋体"/>
          <w:color w:val="auto"/>
          <w:szCs w:val="24"/>
          <w:highlight w:val="none"/>
        </w:rPr>
        <w:t>主营（产）：</w:t>
      </w:r>
    </w:p>
    <w:p w14:paraId="103C72E7">
      <w:pPr>
        <w:spacing w:before="120" w:after="120" w:line="360" w:lineRule="auto"/>
        <w:ind w:firstLine="424" w:firstLineChars="202"/>
        <w:rPr>
          <w:rFonts w:ascii="宋体" w:hAnsi="宋体" w:eastAsia="宋体" w:cs="宋体"/>
          <w:color w:val="auto"/>
          <w:szCs w:val="24"/>
          <w:highlight w:val="none"/>
          <w:u w:val="single"/>
        </w:rPr>
      </w:pPr>
      <w:r>
        <w:rPr>
          <w:rFonts w:hint="eastAsia" w:ascii="宋体" w:hAnsi="宋体" w:eastAsia="宋体" w:cs="宋体"/>
          <w:color w:val="auto"/>
          <w:szCs w:val="24"/>
          <w:highlight w:val="none"/>
        </w:rPr>
        <w:t>兼营（产）：</w:t>
      </w:r>
    </w:p>
    <w:p w14:paraId="0EB5CF23">
      <w:pPr>
        <w:spacing w:before="120" w:after="120"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 xml:space="preserve">附 法定代表人身份证复印件 </w:t>
      </w:r>
    </w:p>
    <w:p w14:paraId="393C4987">
      <w:pPr>
        <w:spacing w:before="120" w:after="120" w:line="360" w:lineRule="auto"/>
        <w:ind w:left="340" w:leftChars="162" w:firstLine="4740"/>
        <w:rPr>
          <w:rFonts w:ascii="宋体" w:hAnsi="宋体" w:eastAsia="宋体" w:cs="宋体"/>
          <w:color w:val="auto"/>
          <w:szCs w:val="21"/>
          <w:highlight w:val="none"/>
        </w:rPr>
      </w:pPr>
      <w:r>
        <w:rPr>
          <w:rFonts w:hint="eastAsia" w:ascii="宋体" w:hAnsi="宋体" w:eastAsia="宋体" w:cs="宋体"/>
          <w:color w:val="auto"/>
          <w:szCs w:val="21"/>
          <w:highlight w:val="none"/>
          <w:lang w:val="zh-CN"/>
        </w:rPr>
        <w:t>投标人：（加盖投标人法人公章）</w:t>
      </w:r>
    </w:p>
    <w:p w14:paraId="079BC2EA">
      <w:pPr>
        <w:autoSpaceDE w:val="0"/>
        <w:autoSpaceDN w:val="0"/>
        <w:adjustRightInd w:val="0"/>
        <w:spacing w:line="360" w:lineRule="auto"/>
        <w:ind w:right="1010" w:rightChars="481" w:firstLine="6090" w:firstLineChars="29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   年   月   日</w:t>
      </w:r>
    </w:p>
    <w:p w14:paraId="65F850AB">
      <w:pPr>
        <w:autoSpaceDE w:val="0"/>
        <w:autoSpaceDN w:val="0"/>
        <w:adjustRightInd w:val="0"/>
        <w:jc w:val="left"/>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2BB5BCD9"/>
                          <w:p w14:paraId="1BF6C31E"/>
                          <w:p w14:paraId="29DE6E5D"/>
                          <w:p w14:paraId="7B5BAB7A"/>
                          <w:p w14:paraId="6BA0211B">
                            <w:pPr>
                              <w:jc w:val="center"/>
                              <w:rPr>
                                <w:szCs w:val="21"/>
                              </w:rPr>
                            </w:pPr>
                            <w:r>
                              <w:rPr>
                                <w:rFonts w:hint="eastAsia"/>
                                <w:szCs w:val="21"/>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61312;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Fj1YWXYAAAACAEAAA8AAAAAAAAAAQAgAAAAIgAA&#10;AGRycy9kb3ducmV2LnhtbFBLAQIUABQAAAAIAIdO4kD5BGLAQQIAAIgEAAAOAAAAAAAAAAEAIAAA&#10;ACcBAABkcnMvZTJvRG9jLnhtbFBLBQYAAAAABgAGAFkBAADaBQAAAAA=&#10;">
                <v:fill on="t" focussize="0,0"/>
                <v:stroke color="#000000" miterlimit="8" joinstyle="miter"/>
                <v:imagedata o:title=""/>
                <o:lock v:ext="edit" aspectratio="f"/>
                <v:textbox>
                  <w:txbxContent>
                    <w:p w14:paraId="2BB5BCD9"/>
                    <w:p w14:paraId="1BF6C31E"/>
                    <w:p w14:paraId="29DE6E5D"/>
                    <w:p w14:paraId="7B5BAB7A"/>
                    <w:p w14:paraId="6BA0211B">
                      <w:pPr>
                        <w:jc w:val="center"/>
                        <w:rPr>
                          <w:szCs w:val="21"/>
                        </w:rPr>
                      </w:pPr>
                      <w:r>
                        <w:rPr>
                          <w:rFonts w:hint="eastAsia"/>
                          <w:szCs w:val="21"/>
                        </w:rPr>
                        <w:t>法定代表人身份证正面</w:t>
                      </w:r>
                    </w:p>
                  </w:txbxContent>
                </v:textbox>
              </v:shape>
            </w:pict>
          </mc:Fallback>
        </mc:AlternateContent>
      </w:r>
      <w:r>
        <w:rPr>
          <w:rFonts w:ascii="宋体" w:hAnsi="宋体" w:eastAsia="宋体" w:cs="宋体"/>
          <w:color w:val="auto"/>
          <w:kern w:val="0"/>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3128645</wp:posOffset>
                </wp:positionH>
                <wp:positionV relativeFrom="paragraph">
                  <wp:posOffset>109220</wp:posOffset>
                </wp:positionV>
                <wp:extent cx="2790825" cy="1962150"/>
                <wp:effectExtent l="9525" t="6985" r="9525" b="1206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5033BA72"/>
                          <w:p w14:paraId="600E95CA"/>
                          <w:p w14:paraId="6805A5F4"/>
                          <w:p w14:paraId="282D4C71"/>
                          <w:p w14:paraId="45203FAB">
                            <w:pPr>
                              <w:jc w:val="center"/>
                              <w:rPr>
                                <w:szCs w:val="21"/>
                              </w:rPr>
                            </w:pPr>
                            <w:r>
                              <w:rPr>
                                <w:rFonts w:hint="eastAsia"/>
                                <w:szCs w:val="21"/>
                              </w:rPr>
                              <w:t>法定代表人身份证反面</w:t>
                            </w:r>
                          </w:p>
                          <w:p w14:paraId="34CE8AF1">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6.35pt;margin-top:8.6pt;height:154.5pt;width:219.75pt;z-index:251660288;mso-width-relative:page;mso-height-relative:page;" fillcolor="#FFFFFF" filled="t" stroked="t" coordsize="21600,21600" o:gfxdata="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UEWTR2QAAAAoBAAAPAAAAAAAAAAEAIAAAACIA&#10;AABkcnMvZG93bnJldi54bWxQSwECFAAUAAAACACHTuJADlLddUECAACIBAAADgAAAAAAAAABACAA&#10;AAAoAQAAZHJzL2Uyb0RvYy54bWxQSwUGAAAAAAYABgBZAQAA2wUAAAAA&#10;">
                <v:fill on="t" focussize="0,0"/>
                <v:stroke color="#000000" miterlimit="8" joinstyle="miter"/>
                <v:imagedata o:title=""/>
                <o:lock v:ext="edit" aspectratio="f"/>
                <v:textbox>
                  <w:txbxContent>
                    <w:p w14:paraId="5033BA72"/>
                    <w:p w14:paraId="600E95CA"/>
                    <w:p w14:paraId="6805A5F4"/>
                    <w:p w14:paraId="282D4C71"/>
                    <w:p w14:paraId="45203FAB">
                      <w:pPr>
                        <w:jc w:val="center"/>
                        <w:rPr>
                          <w:szCs w:val="21"/>
                        </w:rPr>
                      </w:pPr>
                      <w:r>
                        <w:rPr>
                          <w:rFonts w:hint="eastAsia"/>
                          <w:szCs w:val="21"/>
                        </w:rPr>
                        <w:t>法定代表人身份证反面</w:t>
                      </w:r>
                    </w:p>
                    <w:p w14:paraId="34CE8AF1">
                      <w:pPr>
                        <w:jc w:val="center"/>
                        <w:rPr>
                          <w:szCs w:val="21"/>
                        </w:rPr>
                      </w:pPr>
                    </w:p>
                  </w:txbxContent>
                </v:textbox>
              </v:shape>
            </w:pict>
          </mc:Fallback>
        </mc:AlternateContent>
      </w:r>
      <w:r>
        <w:rPr>
          <w:rFonts w:ascii="宋体" w:hAnsi="宋体" w:eastAsia="宋体" w:cs="宋体"/>
          <w:color w:val="auto"/>
          <w:kern w:val="0"/>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0190431D"/>
                          <w:p w14:paraId="4E45B990"/>
                          <w:p w14:paraId="3707D560"/>
                          <w:p w14:paraId="20992828"/>
                          <w:p w14:paraId="79E8EBF7">
                            <w:pPr>
                              <w:jc w:val="center"/>
                            </w:pPr>
                            <w:r>
                              <w:rPr>
                                <w:rFonts w:hint="eastAsia"/>
                              </w:rPr>
                              <w:t>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59264;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WPVhZdgAAAAIAQAADwAAAAAAAAABACAAAAAiAAAA&#10;ZHJzL2Rvd25yZXYueG1sUEsBAhQAFAAAAAgAh07iQFavbXBAAgAAiAQAAA4AAAAAAAAAAQAgAAAA&#10;JwEAAGRycy9lMm9Eb2MueG1sUEsFBgAAAAAGAAYAWQEAANkFAAAAAA==&#10;">
                <v:fill on="t" focussize="0,0"/>
                <v:stroke color="#000000" miterlimit="8" joinstyle="miter"/>
                <v:imagedata o:title=""/>
                <o:lock v:ext="edit" aspectratio="f"/>
                <v:textbox>
                  <w:txbxContent>
                    <w:p w14:paraId="0190431D"/>
                    <w:p w14:paraId="4E45B990"/>
                    <w:p w14:paraId="3707D560"/>
                    <w:p w14:paraId="20992828"/>
                    <w:p w14:paraId="79E8EBF7">
                      <w:pPr>
                        <w:jc w:val="center"/>
                      </w:pPr>
                      <w:r>
                        <w:rPr>
                          <w:rFonts w:hint="eastAsia"/>
                        </w:rPr>
                        <w:t>身份证正面</w:t>
                      </w:r>
                    </w:p>
                  </w:txbxContent>
                </v:textbox>
              </v:shape>
            </w:pict>
          </mc:Fallback>
        </mc:AlternateContent>
      </w:r>
    </w:p>
    <w:p w14:paraId="3088CCA2">
      <w:pPr>
        <w:autoSpaceDE w:val="0"/>
        <w:autoSpaceDN w:val="0"/>
        <w:adjustRightInd w:val="0"/>
        <w:jc w:val="left"/>
        <w:rPr>
          <w:rFonts w:ascii="宋体" w:hAnsi="宋体" w:eastAsia="宋体" w:cs="宋体"/>
          <w:color w:val="auto"/>
          <w:kern w:val="0"/>
          <w:sz w:val="24"/>
          <w:szCs w:val="24"/>
          <w:highlight w:val="none"/>
        </w:rPr>
      </w:pPr>
    </w:p>
    <w:p w14:paraId="0708EBE8">
      <w:pPr>
        <w:autoSpaceDE w:val="0"/>
        <w:autoSpaceDN w:val="0"/>
        <w:adjustRightInd w:val="0"/>
        <w:jc w:val="left"/>
        <w:rPr>
          <w:rFonts w:ascii="宋体" w:hAnsi="宋体" w:eastAsia="宋体" w:cs="宋体"/>
          <w:color w:val="auto"/>
          <w:kern w:val="0"/>
          <w:sz w:val="24"/>
          <w:szCs w:val="24"/>
          <w:highlight w:val="none"/>
        </w:rPr>
      </w:pPr>
    </w:p>
    <w:p w14:paraId="787220C4">
      <w:pPr>
        <w:autoSpaceDE w:val="0"/>
        <w:autoSpaceDN w:val="0"/>
        <w:adjustRightInd w:val="0"/>
        <w:jc w:val="left"/>
        <w:rPr>
          <w:rFonts w:ascii="宋体" w:hAnsi="宋体" w:eastAsia="宋体" w:cs="宋体"/>
          <w:color w:val="auto"/>
          <w:kern w:val="0"/>
          <w:sz w:val="24"/>
          <w:szCs w:val="24"/>
          <w:highlight w:val="none"/>
        </w:rPr>
      </w:pPr>
    </w:p>
    <w:p w14:paraId="226E7977">
      <w:pPr>
        <w:autoSpaceDE w:val="0"/>
        <w:autoSpaceDN w:val="0"/>
        <w:adjustRightInd w:val="0"/>
        <w:jc w:val="left"/>
        <w:rPr>
          <w:rFonts w:ascii="宋体" w:hAnsi="宋体" w:eastAsia="宋体" w:cs="宋体"/>
          <w:color w:val="auto"/>
          <w:kern w:val="0"/>
          <w:sz w:val="24"/>
          <w:szCs w:val="24"/>
          <w:highlight w:val="none"/>
        </w:rPr>
      </w:pPr>
    </w:p>
    <w:p w14:paraId="5D84C973">
      <w:pPr>
        <w:autoSpaceDE w:val="0"/>
        <w:autoSpaceDN w:val="0"/>
        <w:adjustRightInd w:val="0"/>
        <w:jc w:val="left"/>
        <w:rPr>
          <w:rFonts w:ascii="宋体" w:hAnsi="宋体" w:eastAsia="宋体" w:cs="宋体"/>
          <w:color w:val="auto"/>
          <w:kern w:val="0"/>
          <w:sz w:val="24"/>
          <w:szCs w:val="24"/>
          <w:highlight w:val="none"/>
        </w:rPr>
      </w:pPr>
    </w:p>
    <w:p w14:paraId="393DEE8E">
      <w:pPr>
        <w:autoSpaceDE w:val="0"/>
        <w:autoSpaceDN w:val="0"/>
        <w:adjustRightInd w:val="0"/>
        <w:jc w:val="left"/>
        <w:rPr>
          <w:rFonts w:ascii="宋体" w:hAnsi="宋体" w:eastAsia="宋体" w:cs="宋体"/>
          <w:color w:val="auto"/>
          <w:kern w:val="0"/>
          <w:sz w:val="24"/>
          <w:szCs w:val="24"/>
          <w:highlight w:val="none"/>
        </w:rPr>
      </w:pPr>
    </w:p>
    <w:p w14:paraId="1347584B">
      <w:pPr>
        <w:autoSpaceDE w:val="0"/>
        <w:autoSpaceDN w:val="0"/>
        <w:adjustRightInd w:val="0"/>
        <w:jc w:val="left"/>
        <w:rPr>
          <w:rFonts w:ascii="宋体" w:hAnsi="宋体" w:eastAsia="宋体" w:cs="宋体"/>
          <w:color w:val="auto"/>
          <w:kern w:val="0"/>
          <w:sz w:val="24"/>
          <w:szCs w:val="24"/>
          <w:highlight w:val="none"/>
        </w:rPr>
      </w:pPr>
    </w:p>
    <w:p w14:paraId="7935030E">
      <w:pPr>
        <w:autoSpaceDE w:val="0"/>
        <w:autoSpaceDN w:val="0"/>
        <w:adjustRightInd w:val="0"/>
        <w:jc w:val="left"/>
        <w:rPr>
          <w:rFonts w:ascii="宋体" w:hAnsi="宋体" w:eastAsia="宋体" w:cs="宋体"/>
          <w:color w:val="auto"/>
          <w:kern w:val="0"/>
          <w:sz w:val="24"/>
          <w:szCs w:val="24"/>
          <w:highlight w:val="none"/>
        </w:rPr>
      </w:pPr>
    </w:p>
    <w:p w14:paraId="42A35637">
      <w:pPr>
        <w:autoSpaceDE w:val="0"/>
        <w:autoSpaceDN w:val="0"/>
        <w:adjustRightInd w:val="0"/>
        <w:jc w:val="left"/>
        <w:rPr>
          <w:rFonts w:ascii="宋体" w:hAnsi="宋体" w:eastAsia="宋体" w:cs="宋体"/>
          <w:color w:val="auto"/>
          <w:kern w:val="0"/>
          <w:sz w:val="24"/>
          <w:szCs w:val="24"/>
          <w:highlight w:val="none"/>
        </w:rPr>
      </w:pPr>
    </w:p>
    <w:p w14:paraId="12155B45">
      <w:pPr>
        <w:autoSpaceDE w:val="0"/>
        <w:autoSpaceDN w:val="0"/>
        <w:adjustRightInd w:val="0"/>
        <w:jc w:val="left"/>
        <w:rPr>
          <w:rFonts w:ascii="宋体" w:hAnsi="宋体" w:eastAsia="宋体" w:cs="宋体"/>
          <w:b/>
          <w:color w:val="auto"/>
          <w:kern w:val="0"/>
          <w:szCs w:val="21"/>
          <w:highlight w:val="none"/>
        </w:rPr>
      </w:pPr>
    </w:p>
    <w:p w14:paraId="17D33AE8">
      <w:pPr>
        <w:autoSpaceDE w:val="0"/>
        <w:autoSpaceDN w:val="0"/>
        <w:adjustRightInd w:val="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注：法定代表人身份证须在有效期限内。</w:t>
      </w:r>
    </w:p>
    <w:p w14:paraId="73FBA52C">
      <w:pPr>
        <w:autoSpaceDE w:val="0"/>
        <w:autoSpaceDN w:val="0"/>
        <w:adjustRightInd w:val="0"/>
        <w:jc w:val="left"/>
        <w:rPr>
          <w:rFonts w:ascii="宋体" w:hAnsi="宋体" w:eastAsia="宋体" w:cs="宋体"/>
          <w:color w:val="auto"/>
          <w:kern w:val="0"/>
          <w:szCs w:val="21"/>
          <w:highlight w:val="none"/>
        </w:rPr>
      </w:pPr>
    </w:p>
    <w:p w14:paraId="4686BEF5">
      <w:pPr>
        <w:spacing w:before="120" w:after="120" w:line="360" w:lineRule="auto"/>
        <w:ind w:firstLine="424" w:firstLineChars="202"/>
        <w:rPr>
          <w:rFonts w:ascii="宋体" w:hAnsi="宋体" w:eastAsia="宋体" w:cs="宋体"/>
          <w:b/>
          <w:color w:val="auto"/>
          <w:kern w:val="0"/>
          <w:szCs w:val="21"/>
          <w:highlight w:val="none"/>
        </w:rPr>
      </w:pPr>
      <w:r>
        <w:rPr>
          <w:rFonts w:hint="eastAsia" w:ascii="宋体" w:hAnsi="宋体" w:eastAsia="宋体" w:cs="宋体"/>
          <w:color w:val="auto"/>
          <w:szCs w:val="24"/>
          <w:highlight w:val="none"/>
          <w:lang w:val="zh-CN"/>
        </w:rPr>
        <w:br w:type="page"/>
      </w:r>
      <w:bookmarkEnd w:id="814"/>
      <w:bookmarkEnd w:id="815"/>
      <w:bookmarkEnd w:id="816"/>
      <w:bookmarkStart w:id="937" w:name="_Toc6240_WPSOffice_Level2"/>
      <w:bookmarkStart w:id="938" w:name="_Toc533708125"/>
      <w:bookmarkStart w:id="939" w:name="_Toc486167713"/>
      <w:bookmarkStart w:id="940" w:name="_Toc1977727"/>
      <w:r>
        <w:rPr>
          <w:rFonts w:hint="eastAsia" w:ascii="宋体" w:hAnsi="宋体" w:eastAsia="宋体" w:cs="宋体"/>
          <w:b/>
          <w:color w:val="auto"/>
          <w:szCs w:val="24"/>
          <w:highlight w:val="none"/>
        </w:rPr>
        <w:t>（2）法定代表人授权书格式</w:t>
      </w:r>
      <w:bookmarkEnd w:id="937"/>
      <w:bookmarkEnd w:id="938"/>
      <w:bookmarkEnd w:id="939"/>
      <w:bookmarkEnd w:id="940"/>
    </w:p>
    <w:p w14:paraId="6BBFFB78">
      <w:pPr>
        <w:autoSpaceDE w:val="0"/>
        <w:autoSpaceDN w:val="0"/>
        <w:adjustRightInd w:val="0"/>
        <w:spacing w:line="360" w:lineRule="auto"/>
        <w:jc w:val="center"/>
        <w:rPr>
          <w:rFonts w:ascii="宋体" w:hAnsi="宋体" w:eastAsia="宋体" w:cs="宋体"/>
          <w:b/>
          <w:bCs/>
          <w:color w:val="auto"/>
          <w:sz w:val="30"/>
          <w:szCs w:val="30"/>
          <w:highlight w:val="none"/>
          <w:lang w:val="zh-CN"/>
        </w:rPr>
      </w:pPr>
    </w:p>
    <w:p w14:paraId="66219DEC">
      <w:pPr>
        <w:autoSpaceDE w:val="0"/>
        <w:autoSpaceDN w:val="0"/>
        <w:adjustRightInd w:val="0"/>
        <w:spacing w:line="360" w:lineRule="auto"/>
        <w:jc w:val="center"/>
        <w:rPr>
          <w:rFonts w:ascii="宋体" w:hAnsi="宋体" w:eastAsia="宋体" w:cs="宋体"/>
          <w:b/>
          <w:bCs/>
          <w:color w:val="auto"/>
          <w:sz w:val="30"/>
          <w:szCs w:val="30"/>
          <w:highlight w:val="none"/>
          <w:lang w:val="zh-CN"/>
        </w:rPr>
      </w:pPr>
      <w:bookmarkStart w:id="941" w:name="_Toc29146_WPSOffice_Level3"/>
      <w:r>
        <w:rPr>
          <w:rFonts w:hint="eastAsia" w:ascii="宋体" w:hAnsi="宋体" w:eastAsia="宋体" w:cs="宋体"/>
          <w:b/>
          <w:bCs/>
          <w:color w:val="auto"/>
          <w:sz w:val="30"/>
          <w:szCs w:val="30"/>
          <w:highlight w:val="none"/>
          <w:lang w:val="zh-CN"/>
        </w:rPr>
        <w:t>法定代表人授权书</w:t>
      </w:r>
      <w:bookmarkEnd w:id="941"/>
    </w:p>
    <w:p w14:paraId="18165BA2">
      <w:pPr>
        <w:autoSpaceDE w:val="0"/>
        <w:autoSpaceDN w:val="0"/>
        <w:adjustRightInd w:val="0"/>
        <w:spacing w:line="360" w:lineRule="auto"/>
        <w:jc w:val="center"/>
        <w:rPr>
          <w:rFonts w:ascii="宋体" w:hAnsi="宋体" w:eastAsia="宋体" w:cs="宋体"/>
          <w:color w:val="auto"/>
          <w:szCs w:val="28"/>
          <w:highlight w:val="none"/>
          <w:lang w:val="zh-CN"/>
        </w:rPr>
      </w:pPr>
    </w:p>
    <w:p w14:paraId="6C5B99F0">
      <w:pPr>
        <w:spacing w:before="120" w:after="120" w:line="360" w:lineRule="auto"/>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致：</w:t>
      </w:r>
      <w:r>
        <w:rPr>
          <w:rFonts w:hint="eastAsia" w:ascii="宋体" w:hAnsi="宋体" w:eastAsia="宋体" w:cs="Times New Roman"/>
          <w:color w:val="auto"/>
          <w:kern w:val="0"/>
          <w:szCs w:val="21"/>
          <w:highlight w:val="none"/>
          <w:lang w:val="en-US" w:eastAsia="zh-CN"/>
        </w:rPr>
        <w:t>东莞市樟村水质净化有限公司</w:t>
      </w:r>
    </w:p>
    <w:p w14:paraId="28C12455">
      <w:pPr>
        <w:spacing w:before="120" w:after="120" w:line="360" w:lineRule="auto"/>
        <w:ind w:firstLine="630" w:firstLineChars="300"/>
        <w:rPr>
          <w:rFonts w:ascii="宋体" w:hAnsi="宋体" w:eastAsia="宋体" w:cs="宋体"/>
          <w:color w:val="auto"/>
          <w:szCs w:val="21"/>
          <w:highlight w:val="none"/>
        </w:rPr>
      </w:pPr>
      <w:r>
        <w:rPr>
          <w:rFonts w:hint="eastAsia" w:ascii="宋体" w:hAnsi="宋体" w:eastAsia="宋体" w:cs="宋体"/>
          <w:color w:val="auto"/>
          <w:szCs w:val="24"/>
          <w:highlight w:val="none"/>
          <w:lang w:val="zh-CN"/>
        </w:rPr>
        <w:t>本授权书声明：注册于</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（投标人地址）的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（投标人名称）在下面签字或盖私章的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（法定代表人姓名、职务、身份证号码）代表本公司授权在下面签字或盖私章的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（被授权人的姓名、职务、身份证号码）为本公司的合法代表人，签署</w:t>
      </w:r>
      <w:r>
        <w:rPr>
          <w:rFonts w:hint="eastAsia" w:ascii="宋体" w:hAnsi="宋体" w:eastAsia="宋体" w:cs="Times New Roman"/>
          <w:color w:val="auto"/>
          <w:szCs w:val="21"/>
          <w:highlight w:val="none"/>
          <w:lang w:val="zh-CN"/>
        </w:rPr>
        <w:t>东莞市樟村水质净化厂污泥处理处置服务项目（2025-2026年）</w:t>
      </w:r>
      <w:r>
        <w:rPr>
          <w:rFonts w:hint="eastAsia" w:ascii="宋体" w:hAnsi="宋体" w:eastAsia="宋体" w:cs="宋体"/>
          <w:color w:val="auto"/>
          <w:szCs w:val="21"/>
          <w:highlight w:val="none"/>
          <w:lang w:val="zh-CN"/>
        </w:rPr>
        <w:t>（招标编号：</w:t>
      </w:r>
      <w:r>
        <w:rPr>
          <w:rFonts w:hint="eastAsia" w:ascii="宋体" w:hAnsi="宋体" w:eastAsia="宋体" w:cs="宋体"/>
          <w:color w:val="auto"/>
          <w:szCs w:val="21"/>
          <w:highlight w:val="none"/>
          <w:u w:val="single"/>
          <w:lang w:val="zh-CN"/>
        </w:rPr>
        <w:t>DGDS2025-013</w:t>
      </w:r>
      <w:r>
        <w:rPr>
          <w:rFonts w:hint="eastAsia" w:ascii="宋体" w:hAnsi="宋体" w:eastAsia="宋体" w:cs="宋体"/>
          <w:color w:val="auto"/>
          <w:szCs w:val="21"/>
          <w:highlight w:val="none"/>
          <w:lang w:val="zh-CN"/>
        </w:rPr>
        <w:t>）的投标文件，</w:t>
      </w:r>
      <w:r>
        <w:rPr>
          <w:rFonts w:hint="eastAsia" w:ascii="宋体" w:hAnsi="宋体" w:eastAsia="宋体" w:cs="宋体"/>
          <w:color w:val="auto"/>
          <w:szCs w:val="21"/>
          <w:highlight w:val="none"/>
        </w:rPr>
        <w:t>代表我公司</w:t>
      </w:r>
      <w:r>
        <w:rPr>
          <w:rFonts w:hint="eastAsia" w:ascii="宋体" w:hAnsi="宋体" w:eastAsia="宋体" w:cs="宋体"/>
          <w:color w:val="auto"/>
          <w:szCs w:val="24"/>
          <w:highlight w:val="none"/>
          <w:lang w:val="zh-CN"/>
        </w:rPr>
        <w:t>递交投标文件、参与开标会、代表我公司应评标委员会的要求对投标文件进行澄清、进行合同谈判和签署合同，以我公司的名义处理一切与之有关的事宜，</w:t>
      </w:r>
      <w:r>
        <w:rPr>
          <w:rFonts w:hint="eastAsia" w:ascii="宋体" w:hAnsi="宋体" w:eastAsia="宋体" w:cs="宋体"/>
          <w:color w:val="auto"/>
          <w:szCs w:val="21"/>
          <w:highlight w:val="none"/>
        </w:rPr>
        <w:t>我承认代理人全权代表我所签署的本项目投标文件的内容及</w:t>
      </w:r>
      <w:r>
        <w:rPr>
          <w:rFonts w:hint="eastAsia" w:ascii="宋体" w:hAnsi="宋体" w:eastAsia="宋体" w:cs="宋体"/>
          <w:color w:val="auto"/>
          <w:szCs w:val="24"/>
          <w:highlight w:val="none"/>
          <w:lang w:val="zh-CN"/>
        </w:rPr>
        <w:t>所进行的上述活动。</w:t>
      </w:r>
    </w:p>
    <w:p w14:paraId="4139BBF2">
      <w:pPr>
        <w:spacing w:before="120" w:after="120"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4"/>
          <w:highlight w:val="none"/>
          <w:lang w:val="zh-CN"/>
        </w:rPr>
        <w:t>本授权书于</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年</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月</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日签字生效，有效期至投标文件失效期止，</w:t>
      </w:r>
      <w:r>
        <w:rPr>
          <w:rFonts w:hint="eastAsia" w:ascii="宋体" w:hAnsi="宋体" w:eastAsia="宋体" w:cs="宋体"/>
          <w:color w:val="auto"/>
          <w:szCs w:val="21"/>
          <w:highlight w:val="none"/>
        </w:rPr>
        <w:t>代理人无转委托权，</w:t>
      </w:r>
      <w:r>
        <w:rPr>
          <w:rFonts w:hint="eastAsia" w:ascii="宋体" w:hAnsi="宋体" w:eastAsia="宋体" w:cs="宋体"/>
          <w:color w:val="auto"/>
          <w:szCs w:val="24"/>
          <w:highlight w:val="none"/>
          <w:lang w:val="zh-CN"/>
        </w:rPr>
        <w:t>特此声明。</w:t>
      </w:r>
    </w:p>
    <w:p w14:paraId="2EDFC046">
      <w:pPr>
        <w:spacing w:before="120" w:after="120" w:line="360" w:lineRule="auto"/>
        <w:ind w:left="348" w:leftChars="136" w:hanging="62"/>
        <w:rPr>
          <w:rFonts w:ascii="宋体" w:hAnsi="宋体" w:eastAsia="宋体" w:cs="宋体"/>
          <w:color w:val="auto"/>
          <w:szCs w:val="24"/>
          <w:highlight w:val="none"/>
        </w:rPr>
      </w:pPr>
    </w:p>
    <w:p w14:paraId="04DA4A76">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投  标  人：（加盖投标人法人公章）</w:t>
      </w:r>
    </w:p>
    <w:p w14:paraId="458C4300">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投标人地址：</w:t>
      </w:r>
    </w:p>
    <w:p w14:paraId="0E51D31C">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法定代表人（签名或盖私章）：</w:t>
      </w:r>
    </w:p>
    <w:p w14:paraId="563DF37E">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职　　　务：</w:t>
      </w:r>
    </w:p>
    <w:p w14:paraId="6723D625">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被授权人（签名或盖私章）：</w:t>
      </w:r>
    </w:p>
    <w:p w14:paraId="22E79CF0">
      <w:pPr>
        <w:spacing w:before="120" w:after="120" w:line="360" w:lineRule="auto"/>
        <w:ind w:left="4200" w:leftChars="2000" w:firstLine="425"/>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职　　　务：</w:t>
      </w:r>
    </w:p>
    <w:p w14:paraId="7973451F">
      <w:pPr>
        <w:spacing w:before="120" w:after="120" w:line="360" w:lineRule="auto"/>
        <w:ind w:left="4200" w:leftChars="2000" w:firstLine="425"/>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被授权人联系手机：</w:t>
      </w:r>
    </w:p>
    <w:p w14:paraId="35EB1D9E">
      <w:pPr>
        <w:spacing w:before="120" w:after="120" w:line="360" w:lineRule="auto"/>
        <w:ind w:left="4200" w:leftChars="2000" w:firstLine="425"/>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电 子 邮 箱：</w:t>
      </w:r>
    </w:p>
    <w:p w14:paraId="2F197056">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r>
        <w:rPr>
          <w:rFonts w:hint="eastAsia" w:ascii="宋体" w:hAnsi="宋体" w:eastAsia="宋体" w:cs="宋体"/>
          <w:color w:val="auto"/>
          <w:szCs w:val="24"/>
          <w:highlight w:val="none"/>
          <w:lang w:val="zh-CN"/>
        </w:rPr>
        <w:br w:type="page"/>
      </w:r>
      <w:r>
        <w:rPr>
          <w:rFonts w:hint="eastAsia" w:ascii="宋体" w:hAnsi="宋体" w:eastAsia="宋体" w:cs="宋体"/>
          <w:color w:val="auto"/>
          <w:szCs w:val="24"/>
          <w:highlight w:val="none"/>
        </w:rPr>
        <w:t>附 法定代表人、被授权人身份证复印件</w:t>
      </w:r>
    </w:p>
    <w:p w14:paraId="494B754E">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r>
        <w:rPr>
          <w:rFonts w:ascii="宋体" w:hAnsi="宋体" w:eastAsia="宋体" w:cs="宋体"/>
          <w:color w:val="auto"/>
          <w:szCs w:val="21"/>
          <w:highlight w:val="none"/>
        </w:rPr>
        <mc:AlternateContent>
          <mc:Choice Requires="wps">
            <w:drawing>
              <wp:anchor distT="0" distB="0" distL="114300" distR="114300" simplePos="0" relativeHeight="251664384" behindDoc="0" locked="0" layoutInCell="1" allowOverlap="1">
                <wp:simplePos x="0" y="0"/>
                <wp:positionH relativeFrom="column">
                  <wp:posOffset>3366770</wp:posOffset>
                </wp:positionH>
                <wp:positionV relativeFrom="paragraph">
                  <wp:posOffset>69850</wp:posOffset>
                </wp:positionV>
                <wp:extent cx="2790825" cy="1762125"/>
                <wp:effectExtent l="9525" t="9525" r="9525" b="952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14:paraId="74A3830F"/>
                          <w:p w14:paraId="5E3C4F3B"/>
                          <w:p w14:paraId="08CBD0DD"/>
                          <w:p w14:paraId="27DC8F13"/>
                          <w:p w14:paraId="3BE15F38">
                            <w:pPr>
                              <w:jc w:val="center"/>
                              <w:rPr>
                                <w:rFonts w:hAnsi="宋体"/>
                              </w:rPr>
                            </w:pPr>
                            <w:r>
                              <w:rPr>
                                <w:rFonts w:hint="eastAsia" w:hAnsi="宋体"/>
                              </w:rPr>
                              <w:t>法定代表人身份证反面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5.5pt;height:138.75pt;width:219.75pt;z-index:251664384;mso-width-relative:page;mso-height-relative:page;" fillcolor="#FFFFFF" filled="t" stroked="t" coordsize="21600,21600" o:gfxdata="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EQPedkAAAAKAQAADwAAAAAAAAABACAAAAAiAAAA&#10;ZHJzL2Rvd25yZXYueG1sUEsBAhQAFAAAAAgAh07iQA997Fg/AgAAiAQAAA4AAAAAAAAAAQAgAAAA&#10;KAEAAGRycy9lMm9Eb2MueG1sUEsFBgAAAAAGAAYAWQEAANkFAAAAAA==&#10;">
                <v:fill on="t" focussize="0,0"/>
                <v:stroke color="#000000" miterlimit="8" joinstyle="miter"/>
                <v:imagedata o:title=""/>
                <o:lock v:ext="edit" aspectratio="f"/>
                <v:textbox>
                  <w:txbxContent>
                    <w:p w14:paraId="74A3830F"/>
                    <w:p w14:paraId="5E3C4F3B"/>
                    <w:p w14:paraId="08CBD0DD"/>
                    <w:p w14:paraId="27DC8F13"/>
                    <w:p w14:paraId="3BE15F38">
                      <w:pPr>
                        <w:jc w:val="center"/>
                        <w:rPr>
                          <w:rFonts w:hAnsi="宋体"/>
                        </w:rPr>
                      </w:pPr>
                      <w:r>
                        <w:rPr>
                          <w:rFonts w:hint="eastAsia" w:hAnsi="宋体"/>
                        </w:rPr>
                        <w:t>法定代表人身份证反面</w:t>
                      </w:r>
                    </w:p>
                  </w:txbxContent>
                </v:textbox>
              </v:shape>
            </w:pict>
          </mc:Fallback>
        </mc:AlternateContent>
      </w:r>
      <w:r>
        <w:rPr>
          <w:rFonts w:ascii="宋体" w:hAnsi="宋体" w:eastAsia="宋体" w:cs="宋体"/>
          <w:color w:val="auto"/>
          <w:szCs w:val="21"/>
          <w:highlight w:val="none"/>
        </w:rPr>
        <mc:AlternateContent>
          <mc:Choice Requires="wps">
            <w:drawing>
              <wp:anchor distT="0" distB="0" distL="114300" distR="114300" simplePos="0" relativeHeight="251662336" behindDoc="0" locked="0" layoutInCell="1" allowOverlap="1">
                <wp:simplePos x="0" y="0"/>
                <wp:positionH relativeFrom="column">
                  <wp:posOffset>309245</wp:posOffset>
                </wp:positionH>
                <wp:positionV relativeFrom="paragraph">
                  <wp:posOffset>69850</wp:posOffset>
                </wp:positionV>
                <wp:extent cx="2790825" cy="1762125"/>
                <wp:effectExtent l="9525" t="9525" r="9525" b="952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14:paraId="02770AE2"/>
                          <w:p w14:paraId="72B0AE5B"/>
                          <w:p w14:paraId="33E1C3AC"/>
                          <w:p w14:paraId="57D0DED6"/>
                          <w:p w14:paraId="46169EA7">
                            <w:pPr>
                              <w:jc w:val="center"/>
                              <w:rPr>
                                <w:rFonts w:hAnsi="宋体"/>
                              </w:rPr>
                            </w:pPr>
                            <w:r>
                              <w:rPr>
                                <w:rFonts w:hint="eastAsia" w:hAnsi="宋体"/>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5.5pt;height:138.75pt;width:219.75pt;z-index:251662336;mso-width-relative:page;mso-height-relative:page;" fillcolor="#FFFFFF" filled="t" stroked="t" coordsize="21600,21600" o:gfxdata="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iu+XY2AAAAAkBAAAPAAAAAAAAAAEAIAAAACIAAABk&#10;cnMvZG93bnJldi54bWxQSwECFAAUAAAACACHTuJASNEy5j8CAACIBAAADgAAAAAAAAABACAAAAAn&#10;AQAAZHJzL2Uyb0RvYy54bWxQSwUGAAAAAAYABgBZAQAA2AUAAAAA&#10;">
                <v:fill on="t" focussize="0,0"/>
                <v:stroke color="#000000" miterlimit="8" joinstyle="miter"/>
                <v:imagedata o:title=""/>
                <o:lock v:ext="edit" aspectratio="f"/>
                <v:textbox>
                  <w:txbxContent>
                    <w:p w14:paraId="02770AE2"/>
                    <w:p w14:paraId="72B0AE5B"/>
                    <w:p w14:paraId="33E1C3AC"/>
                    <w:p w14:paraId="57D0DED6"/>
                    <w:p w14:paraId="46169EA7">
                      <w:pPr>
                        <w:jc w:val="center"/>
                        <w:rPr>
                          <w:rFonts w:hAnsi="宋体"/>
                        </w:rPr>
                      </w:pPr>
                      <w:r>
                        <w:rPr>
                          <w:rFonts w:hint="eastAsia" w:hAnsi="宋体"/>
                        </w:rPr>
                        <w:t>法定代表人身份证正面</w:t>
                      </w:r>
                    </w:p>
                  </w:txbxContent>
                </v:textbox>
              </v:shape>
            </w:pict>
          </mc:Fallback>
        </mc:AlternateContent>
      </w:r>
    </w:p>
    <w:p w14:paraId="68D93B58">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2B683540">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3418A5E6">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0B304D6A">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0C1E155C">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4025BF41">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3743830B">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0B6D8E98">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16DD14B7">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r>
        <w:rPr>
          <w:rFonts w:ascii="宋体" w:hAnsi="宋体" w:eastAsia="宋体" w:cs="宋体"/>
          <w:color w:val="auto"/>
          <w:szCs w:val="21"/>
          <w:highlight w:val="none"/>
        </w:rPr>
        <mc:AlternateContent>
          <mc:Choice Requires="wps">
            <w:drawing>
              <wp:anchor distT="0" distB="0" distL="114300" distR="114300" simplePos="0" relativeHeight="251665408" behindDoc="0" locked="0" layoutInCell="1" allowOverlap="1">
                <wp:simplePos x="0" y="0"/>
                <wp:positionH relativeFrom="column">
                  <wp:posOffset>3366770</wp:posOffset>
                </wp:positionH>
                <wp:positionV relativeFrom="paragraph">
                  <wp:posOffset>102235</wp:posOffset>
                </wp:positionV>
                <wp:extent cx="2743200" cy="1771650"/>
                <wp:effectExtent l="9525" t="13970" r="9525" b="508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14:paraId="3B7DE3C8"/>
                          <w:p w14:paraId="1F95A4DF">
                            <w:pPr>
                              <w:jc w:val="center"/>
                              <w:rPr>
                                <w:rFonts w:hAnsi="宋体"/>
                                <w:color w:val="FF0000"/>
                              </w:rPr>
                            </w:pPr>
                          </w:p>
                          <w:p w14:paraId="161888FE">
                            <w:pPr>
                              <w:jc w:val="center"/>
                              <w:rPr>
                                <w:rFonts w:hAnsi="宋体"/>
                                <w:color w:val="FF0000"/>
                              </w:rPr>
                            </w:pPr>
                          </w:p>
                          <w:p w14:paraId="07B2C409">
                            <w:pPr>
                              <w:jc w:val="center"/>
                              <w:rPr>
                                <w:rFonts w:hAnsi="宋体"/>
                                <w:color w:val="FF0000"/>
                              </w:rPr>
                            </w:pPr>
                          </w:p>
                          <w:p w14:paraId="0608B279">
                            <w:pPr>
                              <w:jc w:val="center"/>
                            </w:pPr>
                            <w:r>
                              <w:rPr>
                                <w:rFonts w:hint="eastAsia" w:hAnsi="宋体"/>
                              </w:rPr>
                              <w:t>被授权人身份证反面</w:t>
                            </w:r>
                          </w:p>
                          <w:p w14:paraId="2DC2CDAC"/>
                          <w:p w14:paraId="39CB370B"/>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8.05pt;height:139.5pt;width:216pt;z-index:251665408;mso-width-relative:page;mso-height-relative:page;" fillcolor="#FFFFFF" filled="t" stroked="t" coordsize="21600,21600" o:gfxdata="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LYHyI9kAAAAKAQAADwAAAAAAAAABACAAAAAi&#10;AAAAZHJzL2Rvd25yZXYueG1sUEsBAhQAFAAAAAgAh07iQDsUtmVCAgAAiAQAAA4AAAAAAAAAAQAg&#10;AAAAKAEAAGRycy9lMm9Eb2MueG1sUEsFBgAAAAAGAAYAWQEAANwFAAAAAA==&#10;">
                <v:fill on="t" focussize="0,0"/>
                <v:stroke color="#000000" miterlimit="8" joinstyle="miter"/>
                <v:imagedata o:title=""/>
                <o:lock v:ext="edit" aspectratio="f"/>
                <v:textbox>
                  <w:txbxContent>
                    <w:p w14:paraId="3B7DE3C8"/>
                    <w:p w14:paraId="1F95A4DF">
                      <w:pPr>
                        <w:jc w:val="center"/>
                        <w:rPr>
                          <w:rFonts w:hAnsi="宋体"/>
                          <w:color w:val="FF0000"/>
                        </w:rPr>
                      </w:pPr>
                    </w:p>
                    <w:p w14:paraId="161888FE">
                      <w:pPr>
                        <w:jc w:val="center"/>
                        <w:rPr>
                          <w:rFonts w:hAnsi="宋体"/>
                          <w:color w:val="FF0000"/>
                        </w:rPr>
                      </w:pPr>
                    </w:p>
                    <w:p w14:paraId="07B2C409">
                      <w:pPr>
                        <w:jc w:val="center"/>
                        <w:rPr>
                          <w:rFonts w:hAnsi="宋体"/>
                          <w:color w:val="FF0000"/>
                        </w:rPr>
                      </w:pPr>
                    </w:p>
                    <w:p w14:paraId="0608B279">
                      <w:pPr>
                        <w:jc w:val="center"/>
                      </w:pPr>
                      <w:r>
                        <w:rPr>
                          <w:rFonts w:hint="eastAsia" w:hAnsi="宋体"/>
                        </w:rPr>
                        <w:t>被授权人身份证反面</w:t>
                      </w:r>
                    </w:p>
                    <w:p w14:paraId="2DC2CDAC"/>
                    <w:p w14:paraId="39CB370B"/>
                  </w:txbxContent>
                </v:textbox>
              </v:shape>
            </w:pict>
          </mc:Fallback>
        </mc:AlternateContent>
      </w:r>
      <w:r>
        <w:rPr>
          <w:rFonts w:ascii="宋体" w:hAnsi="宋体" w:eastAsia="宋体" w:cs="宋体"/>
          <w:color w:val="auto"/>
          <w:szCs w:val="21"/>
          <w:highlight w:val="none"/>
        </w:rPr>
        <mc:AlternateContent>
          <mc:Choice Requires="wps">
            <w:drawing>
              <wp:anchor distT="0" distB="0" distL="114300" distR="114300" simplePos="0" relativeHeight="251663360" behindDoc="0" locked="0" layoutInCell="1" allowOverlap="1">
                <wp:simplePos x="0" y="0"/>
                <wp:positionH relativeFrom="column">
                  <wp:posOffset>309245</wp:posOffset>
                </wp:positionH>
                <wp:positionV relativeFrom="paragraph">
                  <wp:posOffset>102235</wp:posOffset>
                </wp:positionV>
                <wp:extent cx="2743200" cy="1771650"/>
                <wp:effectExtent l="9525" t="13970" r="9525" b="508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14:paraId="281B9610"/>
                          <w:p w14:paraId="3528BB73">
                            <w:pPr>
                              <w:jc w:val="center"/>
                              <w:rPr>
                                <w:rFonts w:hAnsi="宋体"/>
                                <w:color w:val="FF0000"/>
                              </w:rPr>
                            </w:pPr>
                          </w:p>
                          <w:p w14:paraId="634385A7">
                            <w:pPr>
                              <w:jc w:val="center"/>
                              <w:rPr>
                                <w:rFonts w:hAnsi="宋体"/>
                                <w:color w:val="FF0000"/>
                              </w:rPr>
                            </w:pPr>
                          </w:p>
                          <w:p w14:paraId="595CDA29">
                            <w:pPr>
                              <w:jc w:val="center"/>
                              <w:rPr>
                                <w:rFonts w:hAnsi="宋体"/>
                                <w:color w:val="FF0000"/>
                              </w:rPr>
                            </w:pPr>
                          </w:p>
                          <w:p w14:paraId="397B943D">
                            <w:pPr>
                              <w:jc w:val="center"/>
                            </w:pPr>
                            <w:r>
                              <w:rPr>
                                <w:rFonts w:hint="eastAsia" w:hAnsi="宋体"/>
                              </w:rPr>
                              <w:t>被授权人身份证正面</w:t>
                            </w:r>
                          </w:p>
                          <w:p w14:paraId="04809921"/>
                          <w:p w14:paraId="492DFA85"/>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8.05pt;height:139.5pt;width:216pt;z-index:251663360;mso-width-relative:page;mso-height-relative:page;" fillcolor="#FFFFFF" filled="t" stroked="t" coordsize="21600,21600" o:gfxdata="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LFRAn2AAAAAkBAAAPAAAAAAAAAAEAIAAA&#10;ACIAAABkcnMvZG93bnJldi54bWxQSwECFAAUAAAACACHTuJAY+kGYEUCAACIBAAADgAAAAAAAAAB&#10;ACAAAAAnAQAAZHJzL2Uyb0RvYy54bWxQSwUGAAAAAAYABgBZAQAA3gUAAAAA&#10;">
                <v:fill on="t" focussize="0,0"/>
                <v:stroke color="#000000" miterlimit="8" joinstyle="miter"/>
                <v:imagedata o:title=""/>
                <o:lock v:ext="edit" aspectratio="f"/>
                <v:textbox>
                  <w:txbxContent>
                    <w:p w14:paraId="281B9610"/>
                    <w:p w14:paraId="3528BB73">
                      <w:pPr>
                        <w:jc w:val="center"/>
                        <w:rPr>
                          <w:rFonts w:hAnsi="宋体"/>
                          <w:color w:val="FF0000"/>
                        </w:rPr>
                      </w:pPr>
                    </w:p>
                    <w:p w14:paraId="634385A7">
                      <w:pPr>
                        <w:jc w:val="center"/>
                        <w:rPr>
                          <w:rFonts w:hAnsi="宋体"/>
                          <w:color w:val="FF0000"/>
                        </w:rPr>
                      </w:pPr>
                    </w:p>
                    <w:p w14:paraId="595CDA29">
                      <w:pPr>
                        <w:jc w:val="center"/>
                        <w:rPr>
                          <w:rFonts w:hAnsi="宋体"/>
                          <w:color w:val="FF0000"/>
                        </w:rPr>
                      </w:pPr>
                    </w:p>
                    <w:p w14:paraId="397B943D">
                      <w:pPr>
                        <w:jc w:val="center"/>
                      </w:pPr>
                      <w:r>
                        <w:rPr>
                          <w:rFonts w:hint="eastAsia" w:hAnsi="宋体"/>
                        </w:rPr>
                        <w:t>被授权人身份证正面</w:t>
                      </w:r>
                    </w:p>
                    <w:p w14:paraId="04809921"/>
                    <w:p w14:paraId="492DFA85"/>
                  </w:txbxContent>
                </v:textbox>
              </v:shape>
            </w:pict>
          </mc:Fallback>
        </mc:AlternateContent>
      </w:r>
    </w:p>
    <w:p w14:paraId="37EF1108">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3FF55CB0">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0BCA1668">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7C7E2FD6">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6EDCB15D">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highlight w:val="none"/>
        </w:rPr>
      </w:pPr>
    </w:p>
    <w:p w14:paraId="507B6F1A">
      <w:pPr>
        <w:widowControl/>
        <w:autoSpaceDE w:val="0"/>
        <w:autoSpaceDN w:val="0"/>
        <w:spacing w:before="120" w:after="120" w:line="360" w:lineRule="auto"/>
        <w:ind w:right="781" w:rightChars="372" w:firstLine="422" w:firstLineChars="200"/>
        <w:textAlignment w:val="bottom"/>
        <w:rPr>
          <w:rFonts w:ascii="宋体" w:hAnsi="宋体" w:eastAsia="宋体" w:cs="宋体"/>
          <w:b/>
          <w:color w:val="auto"/>
          <w:szCs w:val="24"/>
          <w:highlight w:val="none"/>
        </w:rPr>
        <w:sectPr>
          <w:footerReference r:id="rId6" w:type="first"/>
          <w:footerReference r:id="rId5" w:type="default"/>
          <w:pgSz w:w="12240" w:h="15840"/>
          <w:pgMar w:top="1191" w:right="1043" w:bottom="1191" w:left="1043" w:header="720" w:footer="720" w:gutter="0"/>
          <w:cols w:space="720" w:num="1"/>
          <w:titlePg/>
          <w:docGrid w:linePitch="326" w:charSpace="0"/>
        </w:sectPr>
      </w:pPr>
      <w:r>
        <w:rPr>
          <w:rFonts w:hint="eastAsia" w:ascii="宋体" w:hAnsi="宋体" w:eastAsia="宋体" w:cs="宋体"/>
          <w:b/>
          <w:color w:val="auto"/>
          <w:szCs w:val="24"/>
          <w:highlight w:val="none"/>
        </w:rPr>
        <w:t>注：上述所附身份证应在有效期限内。</w:t>
      </w:r>
    </w:p>
    <w:p w14:paraId="52F92CBA">
      <w:pPr>
        <w:pStyle w:val="4"/>
        <w:pageBreakBefore/>
        <w:spacing w:line="360" w:lineRule="auto"/>
        <w:rPr>
          <w:rFonts w:hint="eastAsia" w:hAnsi="宋体" w:eastAsia="宋体"/>
          <w:b/>
          <w:color w:val="auto"/>
          <w:sz w:val="30"/>
          <w:szCs w:val="30"/>
          <w:highlight w:val="none"/>
          <w:lang w:val="zh-CN" w:eastAsia="zh-CN"/>
        </w:rPr>
      </w:pPr>
      <w:bookmarkStart w:id="942" w:name="_Toc12400"/>
      <w:bookmarkStart w:id="943" w:name="_Toc32328"/>
      <w:bookmarkStart w:id="944" w:name="_Toc15716"/>
      <w:bookmarkStart w:id="945" w:name="_Toc20844"/>
      <w:bookmarkStart w:id="946" w:name="_Toc8512"/>
      <w:bookmarkStart w:id="947" w:name="_Toc10177"/>
      <w:bookmarkStart w:id="948" w:name="_Toc12722"/>
      <w:bookmarkStart w:id="949" w:name="_Toc22772"/>
      <w:bookmarkStart w:id="950" w:name="_Toc4738"/>
      <w:bookmarkStart w:id="951" w:name="_Toc1977730"/>
      <w:bookmarkStart w:id="952" w:name="_Toc104991880"/>
      <w:bookmarkStart w:id="953" w:name="_Toc140596933"/>
      <w:bookmarkStart w:id="954" w:name="_Toc142508373"/>
      <w:bookmarkStart w:id="955" w:name="_Toc94107214"/>
      <w:r>
        <w:rPr>
          <w:rFonts w:hint="eastAsia" w:hAnsi="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.4</w:t>
      </w:r>
      <w:r>
        <w:rPr>
          <w:rFonts w:ascii="宋体" w:hAnsi="宋体" w:eastAsia="宋体" w:cs="宋体"/>
          <w:b/>
          <w:color w:val="auto"/>
          <w:kern w:val="0"/>
          <w:sz w:val="30"/>
          <w:szCs w:val="30"/>
          <w:highlight w:val="none"/>
        </w:rPr>
        <w:t xml:space="preserve"> </w:t>
      </w:r>
      <w:r>
        <w:rPr>
          <w:rFonts w:hint="eastAsia" w:hAnsi="宋体"/>
          <w:b/>
          <w:bCs/>
          <w:color w:val="auto"/>
          <w:kern w:val="2"/>
          <w:sz w:val="32"/>
          <w:szCs w:val="32"/>
          <w:highlight w:val="none"/>
        </w:rPr>
        <w:t>资格业绩</w:t>
      </w:r>
      <w:r>
        <w:rPr>
          <w:rFonts w:hint="eastAsia" w:ascii="宋体" w:hAnsi="宋体" w:eastAsia="宋体"/>
          <w:b/>
          <w:bCs/>
          <w:color w:val="auto"/>
          <w:sz w:val="32"/>
          <w:szCs w:val="32"/>
          <w:highlight w:val="none"/>
        </w:rPr>
        <w:t>【</w:t>
      </w:r>
      <w:bookmarkEnd w:id="942"/>
      <w:bookmarkEnd w:id="943"/>
      <w:bookmarkEnd w:id="944"/>
      <w:r>
        <w:rPr>
          <w:rFonts w:hint="eastAsia" w:ascii="宋体" w:hAnsi="宋体" w:eastAsia="宋体"/>
          <w:b/>
          <w:bCs/>
          <w:color w:val="auto"/>
          <w:sz w:val="32"/>
          <w:szCs w:val="32"/>
          <w:highlight w:val="none"/>
          <w:lang w:val="zh-CN"/>
        </w:rPr>
        <w:t>投标具有一份已完成或正在执行运营服务的</w:t>
      </w:r>
      <w:r>
        <w:rPr>
          <w:rFonts w:hint="eastAsia" w:hAnsi="宋体"/>
          <w:b/>
          <w:bCs/>
          <w:color w:val="auto"/>
          <w:sz w:val="32"/>
          <w:szCs w:val="32"/>
          <w:highlight w:val="none"/>
          <w:lang w:val="zh-CN"/>
        </w:rPr>
        <w:t>水质净化厂或生活污水处理厂</w:t>
      </w:r>
      <w:r>
        <w:rPr>
          <w:rFonts w:hint="eastAsia" w:ascii="宋体" w:hAnsi="宋体" w:eastAsia="宋体"/>
          <w:b/>
          <w:bCs/>
          <w:color w:val="auto"/>
          <w:sz w:val="32"/>
          <w:szCs w:val="32"/>
          <w:highlight w:val="none"/>
          <w:lang w:val="zh-CN" w:eastAsia="zh-CN"/>
        </w:rPr>
        <w:t>污泥处理处置服务业绩（</w:t>
      </w:r>
      <w:r>
        <w:rPr>
          <w:rFonts w:hint="eastAsia" w:hAnsi="宋体"/>
          <w:b/>
          <w:bCs/>
          <w:color w:val="auto"/>
          <w:sz w:val="32"/>
          <w:szCs w:val="32"/>
          <w:highlight w:val="none"/>
          <w:lang w:val="zh-CN" w:eastAsia="zh-CN"/>
        </w:rPr>
        <w:t>合同服务结束日期为2022年1月1日或以后</w:t>
      </w:r>
      <w:r>
        <w:rPr>
          <w:rFonts w:hint="eastAsia" w:ascii="宋体" w:hAnsi="宋体" w:eastAsia="宋体"/>
          <w:b/>
          <w:bCs/>
          <w:color w:val="auto"/>
          <w:sz w:val="32"/>
          <w:szCs w:val="32"/>
          <w:highlight w:val="none"/>
          <w:lang w:val="zh-CN" w:eastAsia="zh-CN"/>
        </w:rPr>
        <w:t>）</w:t>
      </w:r>
      <w:r>
        <w:rPr>
          <w:rFonts w:hint="eastAsia" w:hAnsi="宋体"/>
          <w:b/>
          <w:bCs/>
          <w:color w:val="auto"/>
          <w:sz w:val="32"/>
          <w:szCs w:val="32"/>
          <w:highlight w:val="none"/>
          <w:lang w:eastAsia="zh-CN"/>
        </w:rPr>
        <w:t>】</w:t>
      </w:r>
      <w:bookmarkEnd w:id="945"/>
      <w:bookmarkEnd w:id="946"/>
      <w:bookmarkEnd w:id="947"/>
      <w:bookmarkEnd w:id="948"/>
      <w:bookmarkEnd w:id="949"/>
      <w:bookmarkEnd w:id="950"/>
    </w:p>
    <w:p w14:paraId="36C0D9D3">
      <w:pPr>
        <w:spacing w:line="360" w:lineRule="auto"/>
        <w:rPr>
          <w:rFonts w:hint="eastAsia" w:ascii="宋体" w:hAnsi="宋体" w:eastAsia="宋体" w:cs="宋体"/>
          <w:b/>
          <w:color w:val="auto"/>
          <w:szCs w:val="21"/>
          <w:highlight w:val="none"/>
          <w:lang w:val="zh-CN"/>
        </w:rPr>
      </w:pPr>
    </w:p>
    <w:tbl>
      <w:tblPr>
        <w:tblStyle w:val="3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712"/>
        <w:gridCol w:w="1421"/>
        <w:gridCol w:w="1220"/>
        <w:gridCol w:w="1357"/>
        <w:gridCol w:w="1357"/>
        <w:gridCol w:w="1070"/>
        <w:gridCol w:w="1351"/>
        <w:gridCol w:w="638"/>
      </w:tblGrid>
      <w:tr w14:paraId="2BD5B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087" w:hRule="exact"/>
          <w:jc w:val="center"/>
        </w:trPr>
        <w:tc>
          <w:tcPr>
            <w:tcW w:w="390" w:type="pct"/>
            <w:noWrap w:val="0"/>
            <w:vAlign w:val="center"/>
          </w:tcPr>
          <w:p w14:paraId="3B5890A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778" w:type="pct"/>
            <w:noWrap w:val="0"/>
            <w:vAlign w:val="center"/>
          </w:tcPr>
          <w:p w14:paraId="620E06C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668" w:type="pct"/>
            <w:noWrap w:val="0"/>
            <w:vAlign w:val="center"/>
          </w:tcPr>
          <w:p w14:paraId="22EDD06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服务内容</w:t>
            </w:r>
          </w:p>
        </w:tc>
        <w:tc>
          <w:tcPr>
            <w:tcW w:w="743" w:type="pct"/>
            <w:noWrap w:val="0"/>
            <w:vAlign w:val="center"/>
          </w:tcPr>
          <w:p w14:paraId="3A351D5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污泥类别</w:t>
            </w:r>
          </w:p>
        </w:tc>
        <w:tc>
          <w:tcPr>
            <w:tcW w:w="743" w:type="pct"/>
            <w:noWrap w:val="0"/>
            <w:vAlign w:val="center"/>
          </w:tcPr>
          <w:p w14:paraId="4C74A9E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w:t>
            </w:r>
            <w:r>
              <w:rPr>
                <w:rFonts w:hint="eastAsia" w:ascii="宋体" w:hAnsi="宋体" w:eastAsia="宋体" w:cs="宋体"/>
                <w:color w:val="auto"/>
                <w:sz w:val="21"/>
                <w:szCs w:val="21"/>
                <w:highlight w:val="none"/>
                <w:lang w:eastAsia="zh-CN"/>
              </w:rPr>
              <w:t>服务</w:t>
            </w:r>
            <w:r>
              <w:rPr>
                <w:rFonts w:hint="eastAsia" w:ascii="宋体" w:hAnsi="宋体" w:eastAsia="宋体" w:cs="宋体"/>
                <w:color w:val="auto"/>
                <w:sz w:val="21"/>
                <w:szCs w:val="21"/>
                <w:highlight w:val="none"/>
              </w:rPr>
              <w:t>期限</w:t>
            </w:r>
          </w:p>
        </w:tc>
        <w:tc>
          <w:tcPr>
            <w:tcW w:w="586" w:type="pct"/>
            <w:noWrap w:val="0"/>
            <w:vAlign w:val="center"/>
          </w:tcPr>
          <w:p w14:paraId="706DEDA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eastAsia="zh-CN"/>
              </w:rPr>
              <w:t>合同服务结束</w:t>
            </w:r>
            <w:r>
              <w:rPr>
                <w:rFonts w:hint="eastAsia" w:ascii="宋体" w:hAnsi="宋体" w:eastAsia="宋体" w:cs="宋体"/>
                <w:color w:val="auto"/>
                <w:sz w:val="21"/>
                <w:szCs w:val="21"/>
                <w:highlight w:val="none"/>
              </w:rPr>
              <w:t>日期</w:t>
            </w:r>
          </w:p>
        </w:tc>
        <w:tc>
          <w:tcPr>
            <w:tcW w:w="740" w:type="pct"/>
            <w:noWrap w:val="0"/>
            <w:vAlign w:val="center"/>
          </w:tcPr>
          <w:p w14:paraId="359FCD9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业主联系人及电话</w:t>
            </w:r>
          </w:p>
        </w:tc>
        <w:tc>
          <w:tcPr>
            <w:tcW w:w="349" w:type="pct"/>
            <w:noWrap w:val="0"/>
            <w:vAlign w:val="center"/>
          </w:tcPr>
          <w:p w14:paraId="27FD9BC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731F8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390" w:type="pct"/>
            <w:noWrap w:val="0"/>
            <w:vAlign w:val="center"/>
          </w:tcPr>
          <w:p w14:paraId="74CAE9D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778" w:type="pct"/>
            <w:noWrap w:val="0"/>
            <w:vAlign w:val="center"/>
          </w:tcPr>
          <w:p w14:paraId="0B976C2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668" w:type="pct"/>
            <w:noWrap w:val="0"/>
            <w:vAlign w:val="center"/>
          </w:tcPr>
          <w:p w14:paraId="76DCA9A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743" w:type="pct"/>
            <w:noWrap w:val="0"/>
            <w:vAlign w:val="center"/>
          </w:tcPr>
          <w:p w14:paraId="73153DF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743" w:type="pct"/>
            <w:noWrap w:val="0"/>
            <w:vAlign w:val="center"/>
          </w:tcPr>
          <w:p w14:paraId="78F3876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586" w:type="pct"/>
            <w:noWrap w:val="0"/>
            <w:vAlign w:val="center"/>
          </w:tcPr>
          <w:p w14:paraId="31E135C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740" w:type="pct"/>
            <w:noWrap w:val="0"/>
            <w:vAlign w:val="center"/>
          </w:tcPr>
          <w:p w14:paraId="31EA6F9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349" w:type="pct"/>
            <w:noWrap w:val="0"/>
            <w:vAlign w:val="center"/>
          </w:tcPr>
          <w:p w14:paraId="29314AE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6EAB3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390" w:type="pct"/>
            <w:noWrap w:val="0"/>
            <w:vAlign w:val="center"/>
          </w:tcPr>
          <w:p w14:paraId="0E96D3B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778" w:type="pct"/>
            <w:noWrap w:val="0"/>
            <w:vAlign w:val="center"/>
          </w:tcPr>
          <w:p w14:paraId="3B2AC00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668" w:type="pct"/>
            <w:noWrap w:val="0"/>
            <w:vAlign w:val="center"/>
          </w:tcPr>
          <w:p w14:paraId="0BCE5FF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743" w:type="pct"/>
            <w:noWrap w:val="0"/>
            <w:vAlign w:val="center"/>
          </w:tcPr>
          <w:p w14:paraId="766B05A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743" w:type="pct"/>
            <w:noWrap w:val="0"/>
            <w:vAlign w:val="center"/>
          </w:tcPr>
          <w:p w14:paraId="7991F76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586" w:type="pct"/>
            <w:noWrap w:val="0"/>
            <w:vAlign w:val="center"/>
          </w:tcPr>
          <w:p w14:paraId="575D32D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740" w:type="pct"/>
            <w:noWrap w:val="0"/>
            <w:vAlign w:val="center"/>
          </w:tcPr>
          <w:p w14:paraId="0466907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349" w:type="pct"/>
            <w:noWrap w:val="0"/>
            <w:vAlign w:val="center"/>
          </w:tcPr>
          <w:p w14:paraId="7BED3AD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18AC2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390" w:type="pct"/>
            <w:noWrap w:val="0"/>
            <w:vAlign w:val="center"/>
          </w:tcPr>
          <w:p w14:paraId="659EE3F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default" w:ascii="宋体" w:hAnsi="宋体" w:eastAsia="宋体" w:cs="Courier New"/>
                <w:color w:val="auto"/>
                <w:kern w:val="0"/>
                <w:szCs w:val="21"/>
                <w:highlight w:val="none"/>
              </w:rPr>
              <w:t>…</w:t>
            </w:r>
          </w:p>
        </w:tc>
        <w:tc>
          <w:tcPr>
            <w:tcW w:w="778" w:type="pct"/>
            <w:noWrap w:val="0"/>
            <w:vAlign w:val="center"/>
          </w:tcPr>
          <w:p w14:paraId="14C92A0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668" w:type="pct"/>
            <w:noWrap w:val="0"/>
            <w:vAlign w:val="center"/>
          </w:tcPr>
          <w:p w14:paraId="4D04815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743" w:type="pct"/>
            <w:noWrap w:val="0"/>
            <w:vAlign w:val="center"/>
          </w:tcPr>
          <w:p w14:paraId="33F5621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743" w:type="pct"/>
            <w:noWrap w:val="0"/>
            <w:vAlign w:val="center"/>
          </w:tcPr>
          <w:p w14:paraId="69B22B0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586" w:type="pct"/>
            <w:noWrap w:val="0"/>
            <w:vAlign w:val="center"/>
          </w:tcPr>
          <w:p w14:paraId="4BEBFFE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740" w:type="pct"/>
            <w:noWrap w:val="0"/>
            <w:vAlign w:val="center"/>
          </w:tcPr>
          <w:p w14:paraId="7E7E9DE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349" w:type="pct"/>
            <w:noWrap w:val="0"/>
            <w:vAlign w:val="center"/>
          </w:tcPr>
          <w:p w14:paraId="5ED3D7F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bl>
    <w:p w14:paraId="0F123711">
      <w:pPr>
        <w:spacing w:line="360" w:lineRule="auto"/>
        <w:ind w:left="424" w:hanging="424" w:hangingChars="201"/>
        <w:rPr>
          <w:rFonts w:hint="eastAsia" w:ascii="宋体" w:hAnsi="宋体" w:eastAsia="宋体" w:cs="宋体"/>
          <w:b/>
          <w:color w:val="auto"/>
          <w:szCs w:val="21"/>
          <w:highlight w:val="none"/>
          <w:lang w:val="zh-CN"/>
        </w:rPr>
      </w:pPr>
    </w:p>
    <w:p w14:paraId="534C745C">
      <w:pPr>
        <w:spacing w:line="360" w:lineRule="auto"/>
        <w:ind w:left="424" w:hanging="424" w:hangingChars="201"/>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资格业绩证明材料提交要求：</w:t>
      </w:r>
    </w:p>
    <w:p w14:paraId="27D925BD">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0" w:firstLine="0" w:firstLineChars="0"/>
        <w:jc w:val="left"/>
        <w:textAlignment w:val="auto"/>
        <w:outlineLvl w:val="9"/>
        <w:rPr>
          <w:rFonts w:hint="eastAsia" w:ascii="宋体" w:hAnsi="宋体" w:eastAsia="宋体" w:cs="宋体"/>
          <w:b/>
          <w:color w:val="auto"/>
          <w:szCs w:val="21"/>
          <w:highlight w:val="none"/>
          <w:lang w:val="zh-CN"/>
        </w:rPr>
      </w:pPr>
      <w:bookmarkStart w:id="956" w:name="_Toc16950"/>
      <w:r>
        <w:rPr>
          <w:rFonts w:hint="eastAsia" w:ascii="宋体" w:hAnsi="宋体" w:eastAsia="宋体" w:cs="宋体"/>
          <w:b/>
          <w:color w:val="auto"/>
          <w:szCs w:val="21"/>
          <w:highlight w:val="none"/>
          <w:lang w:val="zh-CN"/>
        </w:rPr>
        <w:t>（</w:t>
      </w:r>
      <w:r>
        <w:rPr>
          <w:rFonts w:hint="eastAsia" w:ascii="宋体" w:hAnsi="宋体" w:eastAsia="宋体" w:cs="宋体"/>
          <w:b/>
          <w:color w:val="auto"/>
          <w:szCs w:val="21"/>
          <w:highlight w:val="none"/>
          <w:lang w:val="zh-CN" w:eastAsia="zh-CN"/>
        </w:rPr>
        <w:t>1</w:t>
      </w:r>
      <w:r>
        <w:rPr>
          <w:rFonts w:hint="eastAsia" w:ascii="宋体" w:hAnsi="宋体" w:eastAsia="宋体" w:cs="宋体"/>
          <w:b/>
          <w:color w:val="auto"/>
          <w:szCs w:val="21"/>
          <w:highlight w:val="none"/>
          <w:lang w:val="zh-CN"/>
        </w:rPr>
        <w:t>）</w:t>
      </w:r>
      <w:r>
        <w:rPr>
          <w:rFonts w:hint="eastAsia" w:ascii="宋体" w:hAnsi="宋体" w:eastAsia="宋体" w:cs="宋体"/>
          <w:b/>
          <w:color w:val="auto"/>
          <w:sz w:val="21"/>
          <w:szCs w:val="21"/>
          <w:highlight w:val="none"/>
          <w:lang w:val="zh-CN"/>
        </w:rPr>
        <w:t>业绩须附合同复印件</w:t>
      </w:r>
      <w:r>
        <w:rPr>
          <w:rFonts w:hint="eastAsia" w:ascii="宋体" w:hAnsi="宋体" w:eastAsia="宋体" w:cs="宋体"/>
          <w:b/>
          <w:color w:val="auto"/>
          <w:szCs w:val="21"/>
          <w:highlight w:val="none"/>
          <w:lang w:val="zh-CN"/>
        </w:rPr>
        <w:t>（合同服务提供方为投标人）；</w:t>
      </w:r>
      <w:bookmarkEnd w:id="956"/>
    </w:p>
    <w:p w14:paraId="6F1FAF8D">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jc w:val="left"/>
        <w:textAlignment w:val="auto"/>
        <w:outlineLvl w:val="9"/>
        <w:rPr>
          <w:rFonts w:hint="eastAsia" w:ascii="宋体" w:hAnsi="宋体" w:eastAsia="宋体" w:cs="宋体"/>
          <w:b/>
          <w:color w:val="auto"/>
          <w:szCs w:val="21"/>
          <w:highlight w:val="none"/>
          <w:lang w:val="zh-CN"/>
        </w:rPr>
      </w:pPr>
      <w:bookmarkStart w:id="957" w:name="_Toc19378"/>
      <w:r>
        <w:rPr>
          <w:rFonts w:hint="eastAsia" w:ascii="宋体" w:hAnsi="宋体" w:eastAsia="宋体" w:cs="宋体"/>
          <w:b/>
          <w:color w:val="auto"/>
          <w:szCs w:val="21"/>
          <w:highlight w:val="none"/>
          <w:lang w:val="zh-CN"/>
        </w:rPr>
        <w:t>（</w:t>
      </w:r>
      <w:r>
        <w:rPr>
          <w:rFonts w:hint="eastAsia" w:ascii="宋体" w:hAnsi="宋体" w:eastAsia="宋体" w:cs="宋体"/>
          <w:b/>
          <w:color w:val="auto"/>
          <w:szCs w:val="21"/>
          <w:highlight w:val="none"/>
          <w:lang w:val="zh-CN" w:eastAsia="zh-CN"/>
        </w:rPr>
        <w:t>2</w:t>
      </w:r>
      <w:r>
        <w:rPr>
          <w:rFonts w:hint="eastAsia" w:ascii="宋体" w:hAnsi="宋体" w:eastAsia="宋体" w:cs="宋体"/>
          <w:b/>
          <w:color w:val="auto"/>
          <w:szCs w:val="21"/>
          <w:highlight w:val="none"/>
          <w:lang w:val="zh-CN"/>
        </w:rPr>
        <w:t>）若合同无法反映资格要求条件（</w:t>
      </w:r>
      <w:r>
        <w:rPr>
          <w:rFonts w:hint="eastAsia" w:ascii="宋体" w:hAnsi="宋体" w:eastAsia="宋体" w:cs="宋体"/>
          <w:b/>
          <w:color w:val="auto"/>
          <w:szCs w:val="21"/>
          <w:highlight w:val="none"/>
          <w:lang w:val="zh-CN" w:eastAsia="zh-CN"/>
        </w:rPr>
        <w:t>合同服务结束日期为2022年1月1日或以后、服务内容、污泥类别、合同服务期限</w:t>
      </w:r>
      <w:r>
        <w:rPr>
          <w:rFonts w:hint="eastAsia" w:ascii="宋体" w:hAnsi="宋体" w:eastAsia="宋体" w:cs="宋体"/>
          <w:b/>
          <w:color w:val="auto"/>
          <w:szCs w:val="21"/>
          <w:highlight w:val="none"/>
          <w:lang w:val="zh-CN"/>
        </w:rPr>
        <w:t>）</w:t>
      </w:r>
      <w:r>
        <w:rPr>
          <w:rFonts w:hint="eastAsia" w:ascii="宋体" w:hAnsi="宋体" w:eastAsia="宋体" w:cs="宋体"/>
          <w:b/>
          <w:color w:val="auto"/>
          <w:szCs w:val="21"/>
          <w:highlight w:val="none"/>
          <w:lang w:val="zh-CN" w:eastAsia="zh-CN"/>
        </w:rPr>
        <w:t>的</w:t>
      </w:r>
      <w:r>
        <w:rPr>
          <w:rFonts w:hint="eastAsia" w:ascii="宋体" w:hAnsi="宋体" w:eastAsia="宋体" w:cs="宋体"/>
          <w:b/>
          <w:color w:val="auto"/>
          <w:szCs w:val="21"/>
          <w:highlight w:val="none"/>
          <w:lang w:val="zh-CN"/>
        </w:rPr>
        <w:t>，还需同时提供服务购买方出具的书面补充情况说明文件复印件(书面补充说明文件复印件能显示合同服务购买方公章)；</w:t>
      </w:r>
      <w:bookmarkEnd w:id="957"/>
    </w:p>
    <w:p w14:paraId="532E9937">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jc w:val="left"/>
        <w:textAlignment w:val="auto"/>
        <w:outlineLvl w:val="9"/>
        <w:rPr>
          <w:rFonts w:hint="eastAsia" w:ascii="宋体" w:hAnsi="宋体" w:eastAsia="宋体" w:cs="宋体"/>
          <w:b/>
          <w:color w:val="auto"/>
          <w:szCs w:val="21"/>
          <w:highlight w:val="none"/>
          <w:lang w:val="zh-CN"/>
        </w:rPr>
      </w:pPr>
      <w:bookmarkStart w:id="958" w:name="_Toc10978"/>
      <w:bookmarkStart w:id="959" w:name="_Toc12931"/>
      <w:bookmarkStart w:id="960" w:name="_Toc24862"/>
      <w:bookmarkStart w:id="961" w:name="_Toc20010"/>
      <w:r>
        <w:rPr>
          <w:rFonts w:hint="eastAsia" w:ascii="宋体" w:hAnsi="宋体" w:eastAsia="宋体" w:cs="宋体"/>
          <w:b/>
          <w:color w:val="auto"/>
          <w:szCs w:val="21"/>
          <w:highlight w:val="none"/>
          <w:lang w:val="zh-CN"/>
        </w:rPr>
        <w:t>（</w:t>
      </w:r>
      <w:r>
        <w:rPr>
          <w:rFonts w:hint="eastAsia" w:ascii="宋体" w:hAnsi="宋体" w:eastAsia="宋体" w:cs="宋体"/>
          <w:b/>
          <w:color w:val="auto"/>
          <w:szCs w:val="21"/>
          <w:highlight w:val="none"/>
          <w:lang w:val="en-US" w:eastAsia="zh-CN"/>
        </w:rPr>
        <w:t>3</w:t>
      </w:r>
      <w:r>
        <w:rPr>
          <w:rFonts w:hint="eastAsia" w:ascii="宋体" w:hAnsi="宋体" w:eastAsia="宋体" w:cs="宋体"/>
          <w:b/>
          <w:color w:val="auto"/>
          <w:szCs w:val="21"/>
          <w:highlight w:val="none"/>
          <w:lang w:val="zh-CN"/>
        </w:rPr>
        <w:t>）污泥处理处置服务业绩的污泥类别须为水质净化厂或生活污水处理厂污泥，服务内容须包含水质净化厂或生活污水处理厂污泥处理处置（包含污泥的脱水减量化和脱水泥块的处置）；</w:t>
      </w:r>
      <w:bookmarkEnd w:id="958"/>
    </w:p>
    <w:p w14:paraId="535DE17C">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jc w:val="left"/>
        <w:textAlignment w:val="auto"/>
        <w:outlineLvl w:val="9"/>
        <w:rPr>
          <w:rFonts w:hint="eastAsia" w:ascii="宋体" w:hAnsi="宋体" w:eastAsia="宋体" w:cs="宋体"/>
          <w:b/>
          <w:color w:val="auto"/>
          <w:szCs w:val="21"/>
          <w:highlight w:val="none"/>
          <w:lang w:val="zh-CN"/>
        </w:rPr>
      </w:pPr>
      <w:bookmarkStart w:id="962" w:name="_Toc11485"/>
      <w:r>
        <w:rPr>
          <w:rFonts w:hint="eastAsia" w:ascii="宋体" w:hAnsi="宋体" w:eastAsia="宋体" w:cs="宋体"/>
          <w:b/>
          <w:color w:val="auto"/>
          <w:szCs w:val="21"/>
          <w:highlight w:val="none"/>
          <w:lang w:val="zh-CN"/>
        </w:rPr>
        <w:t>（</w:t>
      </w:r>
      <w:r>
        <w:rPr>
          <w:rFonts w:hint="eastAsia" w:ascii="宋体" w:hAnsi="宋体" w:eastAsia="宋体" w:cs="宋体"/>
          <w:b/>
          <w:color w:val="auto"/>
          <w:szCs w:val="21"/>
          <w:highlight w:val="none"/>
          <w:lang w:val="en-US" w:eastAsia="zh-CN"/>
        </w:rPr>
        <w:t>4</w:t>
      </w:r>
      <w:r>
        <w:rPr>
          <w:rFonts w:hint="eastAsia" w:ascii="宋体" w:hAnsi="宋体" w:eastAsia="宋体" w:cs="宋体"/>
          <w:b/>
          <w:color w:val="auto"/>
          <w:szCs w:val="21"/>
          <w:highlight w:val="none"/>
          <w:lang w:val="zh-CN"/>
        </w:rPr>
        <w:t>）污泥处理处置服务业绩合同服务期限要求大于或等于1年，小于1年的业绩合同</w:t>
      </w:r>
      <w:r>
        <w:rPr>
          <w:rFonts w:hint="eastAsia" w:ascii="宋体" w:hAnsi="宋体" w:eastAsia="宋体" w:cs="宋体"/>
          <w:b/>
          <w:color w:val="auto"/>
          <w:szCs w:val="21"/>
          <w:highlight w:val="none"/>
          <w:lang w:val="en-US" w:eastAsia="zh-CN"/>
        </w:rPr>
        <w:t>视为不符合资格业绩要求</w:t>
      </w:r>
      <w:r>
        <w:rPr>
          <w:rFonts w:hint="eastAsia" w:ascii="宋体" w:hAnsi="宋体" w:eastAsia="宋体" w:cs="宋体"/>
          <w:b/>
          <w:color w:val="auto"/>
          <w:szCs w:val="21"/>
          <w:highlight w:val="none"/>
          <w:lang w:val="zh-CN"/>
        </w:rPr>
        <w:t>；</w:t>
      </w:r>
    </w:p>
    <w:p w14:paraId="019D0465">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jc w:val="left"/>
        <w:textAlignment w:val="auto"/>
        <w:outlineLvl w:val="9"/>
        <w:rPr>
          <w:rFonts w:ascii="宋体" w:hAnsi="宋体" w:eastAsia="宋体" w:cs="宋体"/>
          <w:b/>
          <w:color w:val="auto"/>
          <w:kern w:val="0"/>
          <w:sz w:val="30"/>
          <w:szCs w:val="30"/>
          <w:highlight w:val="none"/>
        </w:rPr>
      </w:pPr>
      <w:r>
        <w:rPr>
          <w:rFonts w:hint="eastAsia" w:ascii="宋体" w:hAnsi="宋体" w:eastAsia="宋体" w:cs="宋体"/>
          <w:b/>
          <w:color w:val="auto"/>
          <w:szCs w:val="21"/>
          <w:highlight w:val="none"/>
          <w:lang w:val="zh-CN"/>
        </w:rPr>
        <w:t>（</w:t>
      </w:r>
      <w:r>
        <w:rPr>
          <w:rFonts w:hint="eastAsia" w:ascii="宋体" w:hAnsi="宋体" w:eastAsia="宋体" w:cs="宋体"/>
          <w:b/>
          <w:color w:val="auto"/>
          <w:szCs w:val="21"/>
          <w:highlight w:val="none"/>
          <w:lang w:val="en-US" w:eastAsia="zh-CN"/>
        </w:rPr>
        <w:t>5</w:t>
      </w:r>
      <w:r>
        <w:rPr>
          <w:rFonts w:hint="eastAsia" w:ascii="宋体" w:hAnsi="宋体" w:eastAsia="宋体" w:cs="宋体"/>
          <w:b/>
          <w:color w:val="auto"/>
          <w:szCs w:val="21"/>
          <w:highlight w:val="none"/>
          <w:lang w:val="zh-CN"/>
        </w:rPr>
        <w:t>）</w:t>
      </w:r>
      <w:bookmarkEnd w:id="959"/>
      <w:bookmarkEnd w:id="960"/>
      <w:bookmarkEnd w:id="961"/>
      <w:r>
        <w:rPr>
          <w:rFonts w:hint="eastAsia" w:ascii="宋体" w:hAnsi="宋体" w:eastAsia="宋体" w:cs="宋体"/>
          <w:b/>
          <w:color w:val="auto"/>
          <w:szCs w:val="21"/>
          <w:highlight w:val="none"/>
          <w:lang w:val="zh-CN"/>
        </w:rPr>
        <w:t>未按上述要求在此格式下提供证明材料的业绩，或在此格式下所附材料无法证明符合资格要求的业绩，按无效投标文件处理。</w:t>
      </w:r>
      <w:bookmarkEnd w:id="962"/>
    </w:p>
    <w:p w14:paraId="1C15CA69">
      <w:pPr>
        <w:rPr>
          <w:rFonts w:ascii="宋体" w:hAnsi="宋体" w:eastAsia="宋体" w:cs="宋体"/>
          <w:b/>
          <w:color w:val="auto"/>
          <w:kern w:val="0"/>
          <w:sz w:val="30"/>
          <w:szCs w:val="30"/>
          <w:highlight w:val="none"/>
        </w:rPr>
      </w:pPr>
      <w:r>
        <w:rPr>
          <w:rFonts w:ascii="宋体" w:hAnsi="宋体" w:eastAsia="宋体" w:cs="宋体"/>
          <w:b/>
          <w:color w:val="auto"/>
          <w:kern w:val="0"/>
          <w:sz w:val="30"/>
          <w:szCs w:val="30"/>
          <w:highlight w:val="none"/>
        </w:rPr>
        <w:br w:type="page"/>
      </w:r>
    </w:p>
    <w:p w14:paraId="00239701">
      <w:pPr>
        <w:tabs>
          <w:tab w:val="left" w:pos="567"/>
        </w:tabs>
        <w:autoSpaceDE w:val="0"/>
        <w:autoSpaceDN w:val="0"/>
        <w:adjustRightInd w:val="0"/>
        <w:spacing w:line="360" w:lineRule="auto"/>
        <w:jc w:val="left"/>
        <w:outlineLvl w:val="2"/>
        <w:rPr>
          <w:rFonts w:ascii="宋体" w:hAnsi="宋体" w:eastAsia="宋体" w:cs="Times New Roman"/>
          <w:b/>
          <w:bCs/>
          <w:color w:val="auto"/>
          <w:sz w:val="32"/>
          <w:szCs w:val="32"/>
          <w:highlight w:val="none"/>
          <w:lang w:val="zh-CN"/>
        </w:rPr>
      </w:pPr>
      <w:bookmarkStart w:id="963" w:name="_Toc7508"/>
      <w:bookmarkStart w:id="964" w:name="_Toc15548"/>
      <w:bookmarkStart w:id="965" w:name="_Toc8121"/>
      <w:bookmarkStart w:id="966" w:name="_Toc20731"/>
      <w:bookmarkStart w:id="967" w:name="_Toc10208"/>
      <w:bookmarkStart w:id="968" w:name="_Toc25753"/>
      <w:bookmarkStart w:id="969" w:name="_Toc5359"/>
      <w:bookmarkStart w:id="970" w:name="_Toc6271"/>
      <w:bookmarkStart w:id="971" w:name="_Toc21843"/>
      <w:r>
        <w:rPr>
          <w:rFonts w:hint="eastAsia" w:ascii="宋体" w:hAnsi="宋体" w:eastAsia="宋体" w:cs="宋体"/>
          <w:b/>
          <w:color w:val="auto"/>
          <w:kern w:val="0"/>
          <w:sz w:val="30"/>
          <w:szCs w:val="30"/>
          <w:highlight w:val="none"/>
          <w:lang w:val="en-US" w:eastAsia="zh-CN"/>
        </w:rPr>
        <w:t xml:space="preserve">5.5 </w:t>
      </w:r>
      <w:r>
        <w:rPr>
          <w:rFonts w:hint="eastAsia" w:ascii="宋体" w:hAnsi="宋体" w:eastAsia="宋体" w:cs="宋体"/>
          <w:b/>
          <w:color w:val="auto"/>
          <w:kern w:val="0"/>
          <w:sz w:val="30"/>
          <w:szCs w:val="30"/>
          <w:highlight w:val="none"/>
        </w:rPr>
        <w:t>最近3年投标人牵涉的其他（失信和违法）处罚说明格式</w:t>
      </w:r>
      <w:bookmarkEnd w:id="951"/>
      <w:bookmarkEnd w:id="952"/>
      <w:bookmarkEnd w:id="953"/>
      <w:bookmarkEnd w:id="954"/>
      <w:bookmarkEnd w:id="955"/>
      <w:bookmarkEnd w:id="963"/>
      <w:bookmarkEnd w:id="964"/>
      <w:bookmarkEnd w:id="965"/>
      <w:bookmarkEnd w:id="966"/>
      <w:bookmarkEnd w:id="967"/>
      <w:bookmarkEnd w:id="968"/>
      <w:bookmarkEnd w:id="969"/>
      <w:bookmarkEnd w:id="970"/>
      <w:bookmarkEnd w:id="971"/>
    </w:p>
    <w:p w14:paraId="2667C7F7">
      <w:pPr>
        <w:autoSpaceDE w:val="0"/>
        <w:autoSpaceDN w:val="0"/>
        <w:adjustRightInd w:val="0"/>
        <w:spacing w:line="360" w:lineRule="auto"/>
        <w:jc w:val="center"/>
        <w:rPr>
          <w:rFonts w:ascii="宋体" w:hAnsi="宋体" w:eastAsia="宋体" w:cs="宋体"/>
          <w:color w:val="auto"/>
          <w:kern w:val="0"/>
          <w:sz w:val="24"/>
          <w:szCs w:val="24"/>
          <w:highlight w:val="none"/>
        </w:rPr>
      </w:pPr>
      <w:r>
        <w:rPr>
          <w:rFonts w:hint="eastAsia" w:ascii="宋体" w:hAnsi="宋体" w:eastAsia="宋体" w:cs="宋体"/>
          <w:b/>
          <w:color w:val="auto"/>
          <w:kern w:val="0"/>
          <w:sz w:val="30"/>
          <w:szCs w:val="30"/>
          <w:highlight w:val="none"/>
        </w:rPr>
        <w:t>最近3年投标人牵涉的其他（失信和违法）</w:t>
      </w:r>
      <w:r>
        <w:rPr>
          <w:rFonts w:hint="eastAsia" w:ascii="宋体" w:hAnsi="宋体" w:eastAsia="宋体" w:cs="宋体"/>
          <w:b/>
          <w:bCs/>
          <w:color w:val="auto"/>
          <w:sz w:val="32"/>
          <w:szCs w:val="32"/>
          <w:highlight w:val="none"/>
          <w:lang w:val="zh-CN"/>
        </w:rPr>
        <w:t>处罚说明</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3"/>
        <w:gridCol w:w="1417"/>
        <w:gridCol w:w="2268"/>
        <w:gridCol w:w="1276"/>
      </w:tblGrid>
      <w:tr w14:paraId="7B920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253" w:type="dxa"/>
            <w:vAlign w:val="center"/>
          </w:tcPr>
          <w:p w14:paraId="77E1165E">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事项名称</w:t>
            </w:r>
          </w:p>
        </w:tc>
        <w:tc>
          <w:tcPr>
            <w:tcW w:w="1417" w:type="dxa"/>
            <w:vAlign w:val="center"/>
          </w:tcPr>
          <w:p w14:paraId="4ED7D66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认定时间</w:t>
            </w:r>
          </w:p>
        </w:tc>
        <w:tc>
          <w:tcPr>
            <w:tcW w:w="2268" w:type="dxa"/>
          </w:tcPr>
          <w:p w14:paraId="5F5B62EE">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处罚期届满异常名录信息失效时间</w:t>
            </w:r>
          </w:p>
        </w:tc>
        <w:tc>
          <w:tcPr>
            <w:tcW w:w="1276" w:type="dxa"/>
            <w:vAlign w:val="center"/>
          </w:tcPr>
          <w:p w14:paraId="4B1B8BFC">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tc>
      </w:tr>
      <w:tr w14:paraId="30697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253" w:type="dxa"/>
            <w:vAlign w:val="center"/>
          </w:tcPr>
          <w:p w14:paraId="5D8F4470">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是否被认定为失信被执行人</w:t>
            </w:r>
          </w:p>
        </w:tc>
        <w:tc>
          <w:tcPr>
            <w:tcW w:w="1417" w:type="dxa"/>
            <w:vAlign w:val="center"/>
          </w:tcPr>
          <w:p w14:paraId="7DBC42D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268" w:type="dxa"/>
            <w:vAlign w:val="center"/>
          </w:tcPr>
          <w:p w14:paraId="3467855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276" w:type="dxa"/>
            <w:vAlign w:val="center"/>
          </w:tcPr>
          <w:p w14:paraId="4B5211D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r w14:paraId="50293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4253" w:type="dxa"/>
            <w:vAlign w:val="center"/>
          </w:tcPr>
          <w:p w14:paraId="636572FF">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是否被认定为重大税收违法失信主体</w:t>
            </w:r>
          </w:p>
        </w:tc>
        <w:tc>
          <w:tcPr>
            <w:tcW w:w="1417" w:type="dxa"/>
            <w:vAlign w:val="center"/>
          </w:tcPr>
          <w:p w14:paraId="2600D51C">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268" w:type="dxa"/>
            <w:vAlign w:val="center"/>
          </w:tcPr>
          <w:p w14:paraId="18947046">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276" w:type="dxa"/>
            <w:vAlign w:val="center"/>
          </w:tcPr>
          <w:p w14:paraId="18EA4F28">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r w14:paraId="59D14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253" w:type="dxa"/>
            <w:vAlign w:val="center"/>
          </w:tcPr>
          <w:p w14:paraId="1883044A">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w:t>
            </w:r>
            <w:r>
              <w:rPr>
                <w:rFonts w:hint="eastAsia" w:ascii="宋体" w:hAnsi="宋体" w:eastAsia="宋体" w:cs="宋体"/>
                <w:color w:val="auto"/>
                <w:kern w:val="0"/>
                <w:szCs w:val="21"/>
                <w:highlight w:val="none"/>
                <w:lang w:val="en-US" w:eastAsia="zh-CN"/>
              </w:rPr>
              <w:t>政府采购</w:t>
            </w:r>
            <w:r>
              <w:rPr>
                <w:rFonts w:hint="eastAsia" w:ascii="宋体" w:hAnsi="宋体" w:eastAsia="宋体" w:cs="宋体"/>
                <w:color w:val="auto"/>
                <w:kern w:val="0"/>
                <w:szCs w:val="21"/>
                <w:highlight w:val="none"/>
              </w:rPr>
              <w:t>严重违法失信行为记录名单</w:t>
            </w:r>
          </w:p>
        </w:tc>
        <w:tc>
          <w:tcPr>
            <w:tcW w:w="1417" w:type="dxa"/>
            <w:vAlign w:val="center"/>
          </w:tcPr>
          <w:p w14:paraId="09FB5F9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268" w:type="dxa"/>
            <w:vAlign w:val="center"/>
          </w:tcPr>
          <w:p w14:paraId="69003805">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276" w:type="dxa"/>
            <w:vAlign w:val="center"/>
          </w:tcPr>
          <w:p w14:paraId="38DB1368">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bl>
    <w:p w14:paraId="2F915034">
      <w:pPr>
        <w:autoSpaceDE w:val="0"/>
        <w:autoSpaceDN w:val="0"/>
        <w:adjustRightInd w:val="0"/>
        <w:spacing w:line="360" w:lineRule="auto"/>
        <w:jc w:val="left"/>
        <w:rPr>
          <w:rFonts w:ascii="宋体" w:hAnsi="宋体" w:eastAsia="宋体" w:cs="宋体"/>
          <w:color w:val="auto"/>
          <w:kern w:val="0"/>
          <w:szCs w:val="21"/>
          <w:highlight w:val="none"/>
        </w:rPr>
      </w:pPr>
    </w:p>
    <w:p w14:paraId="35C71487">
      <w:pPr>
        <w:autoSpaceDE w:val="0"/>
        <w:autoSpaceDN w:val="0"/>
        <w:adjustRightInd w:val="0"/>
        <w:spacing w:line="360" w:lineRule="auto"/>
        <w:jc w:val="left"/>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备注：根据投标人及其不具有独立法人资格的分支机构的实际情况自行编写，无相关事项的，在 “认定时间”列填“无”；若受到相关处罚的应附处罚相关材料复印件；若出现相关处罚的处罚期满,但处罚公示没有及时更新的情况,投标人须提供相关材料(复印件)佐证，需原件备查</w:t>
      </w:r>
      <w:r>
        <w:rPr>
          <w:rFonts w:hint="eastAsia" w:ascii="宋体" w:hAnsi="宋体" w:eastAsia="宋体" w:cs="宋体"/>
          <w:color w:val="auto"/>
          <w:szCs w:val="21"/>
          <w:highlight w:val="none"/>
          <w:lang w:val="zh-CN"/>
        </w:rPr>
        <w:t>。</w:t>
      </w:r>
    </w:p>
    <w:p w14:paraId="2C664DB7">
      <w:pPr>
        <w:autoSpaceDE w:val="0"/>
        <w:autoSpaceDN w:val="0"/>
        <w:adjustRightInd w:val="0"/>
        <w:ind w:right="-23" w:rightChars="-11"/>
        <w:jc w:val="left"/>
        <w:rPr>
          <w:rFonts w:ascii="宋体" w:hAnsi="宋体" w:eastAsia="宋体" w:cs="Times New Roman"/>
          <w:b/>
          <w:bCs/>
          <w:color w:val="auto"/>
          <w:kern w:val="0"/>
          <w:szCs w:val="21"/>
          <w:highlight w:val="none"/>
          <w:lang w:val="zh-CN"/>
        </w:rPr>
      </w:pPr>
    </w:p>
    <w:p w14:paraId="4FB14FD8">
      <w:pPr>
        <w:autoSpaceDE w:val="0"/>
        <w:autoSpaceDN w:val="0"/>
        <w:adjustRightInd w:val="0"/>
        <w:spacing w:line="360" w:lineRule="auto"/>
        <w:jc w:val="center"/>
        <w:rPr>
          <w:rFonts w:ascii="宋体" w:hAnsi="宋体" w:eastAsia="宋体" w:cs="宋体"/>
          <w:color w:val="auto"/>
          <w:kern w:val="0"/>
          <w:sz w:val="24"/>
          <w:szCs w:val="24"/>
          <w:highlight w:val="none"/>
        </w:rPr>
      </w:pPr>
    </w:p>
    <w:p w14:paraId="66A204E2">
      <w:pPr>
        <w:spacing w:line="360" w:lineRule="auto"/>
        <w:ind w:firstLine="494" w:firstLineChars="206"/>
        <w:rPr>
          <w:rFonts w:ascii="宋体" w:hAnsi="宋体" w:eastAsia="宋体" w:cs="宋体"/>
          <w:color w:val="auto"/>
          <w:kern w:val="0"/>
          <w:sz w:val="24"/>
          <w:szCs w:val="24"/>
          <w:highlight w:val="none"/>
        </w:rPr>
      </w:pPr>
    </w:p>
    <w:p w14:paraId="6DE9EFD1">
      <w:pPr>
        <w:spacing w:line="360" w:lineRule="auto"/>
        <w:ind w:firstLine="494" w:firstLineChars="206"/>
        <w:rPr>
          <w:rFonts w:ascii="宋体" w:hAnsi="宋体" w:eastAsia="宋体" w:cs="宋体"/>
          <w:color w:val="auto"/>
          <w:kern w:val="0"/>
          <w:sz w:val="24"/>
          <w:szCs w:val="24"/>
          <w:highlight w:val="none"/>
        </w:rPr>
      </w:pPr>
    </w:p>
    <w:p w14:paraId="3C3D89AA">
      <w:pPr>
        <w:spacing w:line="360" w:lineRule="auto"/>
        <w:ind w:firstLine="494" w:firstLineChars="206"/>
        <w:rPr>
          <w:rFonts w:ascii="宋体" w:hAnsi="宋体" w:eastAsia="宋体" w:cs="宋体"/>
          <w:color w:val="auto"/>
          <w:kern w:val="0"/>
          <w:sz w:val="24"/>
          <w:szCs w:val="24"/>
          <w:highlight w:val="none"/>
        </w:rPr>
      </w:pPr>
    </w:p>
    <w:p w14:paraId="727E89F3">
      <w:pPr>
        <w:spacing w:line="360" w:lineRule="auto"/>
        <w:ind w:right="368" w:rightChars="175" w:firstLine="5460" w:firstLineChars="2600"/>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lang w:val="zh-CN"/>
        </w:rPr>
        <w:t>（加盖投标人法人公章）</w:t>
      </w:r>
    </w:p>
    <w:p w14:paraId="18FFBCE3">
      <w:pPr>
        <w:autoSpaceDE w:val="0"/>
        <w:autoSpaceDN w:val="0"/>
        <w:adjustRightInd w:val="0"/>
        <w:spacing w:line="360" w:lineRule="auto"/>
        <w:ind w:right="781" w:rightChars="372" w:firstLine="2811" w:firstLineChars="133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w:t>
      </w:r>
      <w:r>
        <w:rPr>
          <w:rFonts w:ascii="宋体" w:hAnsi="宋体" w:eastAsia="宋体" w:cs="宋体"/>
          <w:color w:val="auto"/>
          <w:szCs w:val="24"/>
          <w:highlight w:val="none"/>
          <w:lang w:val="zh-CN"/>
        </w:rPr>
        <w:t xml:space="preserve">            </w:t>
      </w:r>
      <w:r>
        <w:rPr>
          <w:rFonts w:hint="eastAsia" w:ascii="宋体" w:hAnsi="宋体" w:eastAsia="宋体" w:cs="宋体"/>
          <w:color w:val="auto"/>
          <w:szCs w:val="24"/>
          <w:highlight w:val="none"/>
          <w:lang w:val="zh-CN"/>
        </w:rPr>
        <w:t>日  期：   年  月  日</w:t>
      </w:r>
    </w:p>
    <w:p w14:paraId="52BF20BA">
      <w:pPr>
        <w:rPr>
          <w:rFonts w:ascii="宋体" w:hAnsi="宋体" w:eastAsia="宋体" w:cs="宋体"/>
          <w:color w:val="auto"/>
          <w:szCs w:val="24"/>
          <w:highlight w:val="none"/>
          <w:lang w:val="zh-CN"/>
        </w:rPr>
      </w:pPr>
      <w:bookmarkStart w:id="972" w:name="_Toc102860079"/>
      <w:bookmarkStart w:id="973" w:name="_Toc6412"/>
      <w:bookmarkStart w:id="974" w:name="_Toc1977731"/>
      <w:bookmarkStart w:id="975" w:name="_Toc94107215"/>
      <w:bookmarkStart w:id="976" w:name="_Toc486167714"/>
      <w:bookmarkStart w:id="977" w:name="_Toc142508374"/>
      <w:bookmarkStart w:id="978" w:name="_Toc140596934"/>
      <w:bookmarkStart w:id="979" w:name="_Toc533708126"/>
      <w:bookmarkStart w:id="980" w:name="_Toc2031_WPSOffice_Level2"/>
      <w:bookmarkStart w:id="981" w:name="_Toc104991881"/>
      <w:bookmarkStart w:id="982" w:name="_Toc30939"/>
      <w:bookmarkStart w:id="983" w:name="_Toc102860423"/>
      <w:r>
        <w:rPr>
          <w:rFonts w:ascii="宋体" w:hAnsi="宋体" w:eastAsia="宋体" w:cs="宋体"/>
          <w:color w:val="auto"/>
          <w:szCs w:val="24"/>
          <w:highlight w:val="none"/>
          <w:lang w:val="zh-CN"/>
        </w:rPr>
        <w:br w:type="page"/>
      </w:r>
    </w:p>
    <w:p w14:paraId="2EF20BDF">
      <w:pPr>
        <w:tabs>
          <w:tab w:val="left" w:pos="567"/>
        </w:tabs>
        <w:autoSpaceDE w:val="0"/>
        <w:autoSpaceDN w:val="0"/>
        <w:adjustRightInd w:val="0"/>
        <w:spacing w:line="360" w:lineRule="auto"/>
        <w:jc w:val="left"/>
        <w:outlineLvl w:val="2"/>
        <w:rPr>
          <w:rFonts w:ascii="宋体" w:hAnsi="宋体" w:eastAsia="宋体" w:cs="Times New Roman"/>
          <w:color w:val="auto"/>
          <w:kern w:val="0"/>
          <w:szCs w:val="21"/>
          <w:highlight w:val="none"/>
          <w:u w:val="single"/>
        </w:rPr>
      </w:pPr>
      <w:bookmarkStart w:id="984" w:name="_Toc17508"/>
      <w:bookmarkStart w:id="985" w:name="_Toc3166"/>
      <w:bookmarkStart w:id="986" w:name="_Toc5752"/>
      <w:bookmarkStart w:id="987" w:name="_Toc1058"/>
      <w:bookmarkStart w:id="988" w:name="_Toc27100"/>
      <w:bookmarkStart w:id="989" w:name="_Toc30461"/>
      <w:bookmarkStart w:id="990" w:name="_Toc9308"/>
      <w:r>
        <w:rPr>
          <w:rFonts w:hint="eastAsia" w:ascii="宋体" w:hAnsi="宋体" w:eastAsia="宋体" w:cs="宋体"/>
          <w:b/>
          <w:color w:val="auto"/>
          <w:sz w:val="32"/>
          <w:szCs w:val="32"/>
          <w:highlight w:val="none"/>
          <w:lang w:val="en-US" w:eastAsia="zh-CN"/>
        </w:rPr>
        <w:t>六</w:t>
      </w:r>
      <w:r>
        <w:rPr>
          <w:rFonts w:hint="eastAsia" w:ascii="宋体" w:hAnsi="宋体" w:eastAsia="宋体" w:cs="宋体"/>
          <w:b/>
          <w:color w:val="auto"/>
          <w:kern w:val="0"/>
          <w:sz w:val="32"/>
          <w:szCs w:val="32"/>
          <w:highlight w:val="none"/>
        </w:rPr>
        <w:t>、投标人基本情况一览表</w:t>
      </w:r>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p>
    <w:p w14:paraId="4983B0AD">
      <w:pPr>
        <w:autoSpaceDE w:val="0"/>
        <w:autoSpaceDN w:val="0"/>
        <w:adjustRightInd w:val="0"/>
        <w:spacing w:line="360" w:lineRule="auto"/>
        <w:jc w:val="center"/>
        <w:rPr>
          <w:rFonts w:ascii="宋体" w:hAnsi="宋体" w:eastAsia="宋体" w:cs="宋体"/>
          <w:b/>
          <w:bCs/>
          <w:color w:val="auto"/>
          <w:sz w:val="30"/>
          <w:szCs w:val="30"/>
          <w:highlight w:val="none"/>
        </w:rPr>
      </w:pPr>
      <w:bookmarkStart w:id="991" w:name="_Toc2773_WPSOffice_Level3"/>
      <w:r>
        <w:rPr>
          <w:rFonts w:hint="eastAsia" w:ascii="宋体" w:hAnsi="宋体" w:eastAsia="宋体" w:cs="宋体"/>
          <w:b/>
          <w:bCs/>
          <w:color w:val="auto"/>
          <w:sz w:val="30"/>
          <w:szCs w:val="30"/>
          <w:highlight w:val="none"/>
          <w:lang w:val="zh-CN"/>
        </w:rPr>
        <w:t>投标人基本情况一览表</w:t>
      </w:r>
      <w:bookmarkEnd w:id="991"/>
    </w:p>
    <w:p w14:paraId="76B4DA0C">
      <w:pPr>
        <w:autoSpaceDE w:val="0"/>
        <w:autoSpaceDN w:val="0"/>
        <w:adjustRightInd w:val="0"/>
        <w:spacing w:line="360" w:lineRule="auto"/>
        <w:ind w:firstLine="420"/>
        <w:rPr>
          <w:rFonts w:ascii="宋体" w:hAnsi="宋体" w:eastAsia="宋体" w:cs="宋体"/>
          <w:color w:val="auto"/>
          <w:szCs w:val="21"/>
          <w:highlight w:val="none"/>
        </w:rPr>
      </w:pPr>
      <w:r>
        <w:rPr>
          <w:rFonts w:hint="eastAsia" w:ascii="宋体" w:hAnsi="宋体" w:eastAsia="宋体" w:cs="宋体"/>
          <w:color w:val="auto"/>
          <w:szCs w:val="21"/>
          <w:highlight w:val="none"/>
          <w:lang w:val="zh-CN"/>
        </w:rPr>
        <w:t>1．名称及概况：</w:t>
      </w:r>
    </w:p>
    <w:p w14:paraId="0698214E">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（1）投标人名称：________________________________________</w:t>
      </w:r>
    </w:p>
    <w:p w14:paraId="6C699F93">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（2）总部地址：__________________________________________</w:t>
      </w:r>
    </w:p>
    <w:p w14:paraId="51996049">
      <w:pPr>
        <w:autoSpaceDE w:val="0"/>
        <w:autoSpaceDN w:val="0"/>
        <w:adjustRightInd w:val="0"/>
        <w:spacing w:line="360" w:lineRule="auto"/>
        <w:ind w:firstLine="66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邮政编码：__________________________________________</w:t>
      </w:r>
    </w:p>
    <w:p w14:paraId="5646AA00">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电话号码：__________________________________________ </w:t>
      </w:r>
    </w:p>
    <w:p w14:paraId="10CECF49">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传真号码：__________________________________________ </w:t>
      </w:r>
    </w:p>
    <w:p w14:paraId="4E03D605">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（3）成立和／或注册日期：________________________________</w:t>
      </w:r>
    </w:p>
    <w:p w14:paraId="657FFFAD">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（4）法人代表：_____________________________________ ____</w:t>
      </w:r>
    </w:p>
    <w:p w14:paraId="713E6EE2">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（5）开户银行：__________________________________________</w:t>
      </w:r>
    </w:p>
    <w:p w14:paraId="571CE7EE">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（6）开户账号：__________________________________________</w:t>
      </w:r>
    </w:p>
    <w:p w14:paraId="2F443BA5">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（7）注册资金：__________________________________________</w:t>
      </w:r>
    </w:p>
    <w:p w14:paraId="1667955F">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（8）主要负责人姓名：____________________________________</w:t>
      </w:r>
    </w:p>
    <w:p w14:paraId="415F0643">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 xml:space="preserve">（9）项目主要联系人（姓名、职务、通讯）：_________________   </w:t>
      </w:r>
    </w:p>
    <w:p w14:paraId="28E29AD2">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（10）在中国的代表的姓名和地址（如有）：__________________</w:t>
      </w:r>
    </w:p>
    <w:p w14:paraId="1A8B4A6B">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2．供征询之银行的名称和地址：____________________________</w:t>
      </w:r>
    </w:p>
    <w:p w14:paraId="01A14112">
      <w:pPr>
        <w:autoSpaceDE w:val="0"/>
        <w:autoSpaceDN w:val="0"/>
        <w:adjustRightInd w:val="0"/>
        <w:spacing w:line="360" w:lineRule="auto"/>
        <w:rPr>
          <w:rFonts w:ascii="宋体" w:hAnsi="宋体" w:eastAsia="宋体" w:cs="宋体"/>
          <w:color w:val="auto"/>
          <w:szCs w:val="24"/>
          <w:highlight w:val="none"/>
        </w:rPr>
      </w:pPr>
      <w:r>
        <w:rPr>
          <w:rFonts w:hint="eastAsia" w:ascii="宋体" w:hAnsi="宋体" w:eastAsia="宋体" w:cs="宋体"/>
          <w:color w:val="auto"/>
          <w:szCs w:val="24"/>
          <w:highlight w:val="none"/>
          <w:lang w:val="zh-CN"/>
        </w:rPr>
        <w:t xml:space="preserve">    3．公司所隶属之国际集团名称（如果是）____________________</w:t>
      </w:r>
    </w:p>
    <w:p w14:paraId="7117E66D">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4. 提交资料（包括但不限于组织架构、公司简介等）：</w:t>
      </w:r>
    </w:p>
    <w:p w14:paraId="10D9B756">
      <w:pPr>
        <w:autoSpaceDE w:val="0"/>
        <w:autoSpaceDN w:val="0"/>
        <w:adjustRightInd w:val="0"/>
        <w:spacing w:line="360" w:lineRule="auto"/>
        <w:ind w:firstLine="630" w:firstLineChars="3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（1）公司简介；</w:t>
      </w:r>
    </w:p>
    <w:p w14:paraId="75763989">
      <w:pPr>
        <w:autoSpaceDE w:val="0"/>
        <w:autoSpaceDN w:val="0"/>
        <w:adjustRightInd w:val="0"/>
        <w:spacing w:line="360" w:lineRule="auto"/>
        <w:ind w:firstLine="1155" w:firstLineChars="55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__________________________________________________</w:t>
      </w:r>
    </w:p>
    <w:p w14:paraId="7A58BBBC">
      <w:pPr>
        <w:autoSpaceDE w:val="0"/>
        <w:autoSpaceDN w:val="0"/>
        <w:adjustRightInd w:val="0"/>
        <w:spacing w:line="360" w:lineRule="auto"/>
        <w:ind w:firstLine="630" w:firstLineChars="3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（2）公司组织架构；</w:t>
      </w:r>
    </w:p>
    <w:p w14:paraId="67B69FF4">
      <w:pPr>
        <w:autoSpaceDE w:val="0"/>
        <w:autoSpaceDN w:val="0"/>
        <w:adjustRightInd w:val="0"/>
        <w:spacing w:line="360" w:lineRule="auto"/>
        <w:ind w:firstLine="1155" w:firstLineChars="55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_______________________________________________</w:t>
      </w:r>
      <w:r>
        <w:rPr>
          <w:rFonts w:hint="eastAsia" w:ascii="宋体" w:hAnsi="宋体" w:eastAsia="宋体" w:cs="宋体"/>
          <w:color w:val="auto"/>
          <w:szCs w:val="24"/>
          <w:highlight w:val="none"/>
          <w:u w:val="single"/>
          <w:lang w:val="zh-CN"/>
        </w:rPr>
        <w:t xml:space="preserve">__ </w:t>
      </w:r>
    </w:p>
    <w:p w14:paraId="59361FDD">
      <w:pPr>
        <w:autoSpaceDE w:val="0"/>
        <w:autoSpaceDN w:val="0"/>
        <w:adjustRightInd w:val="0"/>
        <w:spacing w:line="360" w:lineRule="auto"/>
        <w:ind w:left="836" w:leftChars="137" w:hanging="548" w:hangingChars="261"/>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（3）东莞市内设有分支机构情况介绍[应提供该分支机构的多证合一营业执照复印件等证明材料]（若无前述分支机构的无需介绍）。</w:t>
      </w:r>
    </w:p>
    <w:p w14:paraId="4954FC6C">
      <w:pPr>
        <w:autoSpaceDE w:val="0"/>
        <w:autoSpaceDN w:val="0"/>
        <w:adjustRightInd w:val="0"/>
        <w:spacing w:line="360" w:lineRule="auto"/>
        <w:ind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兹证明上述说明是真实、正确的，并提供了全部能提供的资料和数据，我们同意遵照贵方要求出示有关证明文件。</w:t>
      </w:r>
    </w:p>
    <w:p w14:paraId="6E0F273F">
      <w:pPr>
        <w:autoSpaceDE w:val="0"/>
        <w:autoSpaceDN w:val="0"/>
        <w:adjustRightInd w:val="0"/>
        <w:spacing w:line="360" w:lineRule="auto"/>
        <w:ind w:firstLine="420" w:firstLineChars="200"/>
        <w:rPr>
          <w:rFonts w:ascii="宋体" w:hAnsi="宋体" w:eastAsia="宋体" w:cs="宋体"/>
          <w:color w:val="auto"/>
          <w:szCs w:val="24"/>
          <w:highlight w:val="none"/>
        </w:rPr>
      </w:pPr>
    </w:p>
    <w:p w14:paraId="3DFFB2A2">
      <w:pPr>
        <w:autoSpaceDE w:val="0"/>
        <w:autoSpaceDN w:val="0"/>
        <w:adjustRightInd w:val="0"/>
        <w:spacing w:line="360" w:lineRule="auto"/>
        <w:ind w:right="368" w:rightChars="175"/>
        <w:jc w:val="right"/>
        <w:rPr>
          <w:rFonts w:ascii="宋体" w:hAnsi="宋体" w:eastAsia="宋体" w:cs="宋体"/>
          <w:color w:val="auto"/>
          <w:szCs w:val="24"/>
          <w:highlight w:val="none"/>
        </w:rPr>
      </w:pPr>
      <w:r>
        <w:rPr>
          <w:rFonts w:hint="eastAsia" w:ascii="宋体" w:hAnsi="宋体" w:eastAsia="宋体" w:cs="宋体"/>
          <w:color w:val="auto"/>
          <w:szCs w:val="24"/>
          <w:highlight w:val="none"/>
          <w:lang w:val="zh-CN"/>
        </w:rPr>
        <w:t>投标人</w:t>
      </w:r>
      <w:r>
        <w:rPr>
          <w:rFonts w:hint="eastAsia" w:ascii="宋体" w:hAnsi="宋体" w:eastAsia="宋体" w:cs="宋体"/>
          <w:color w:val="auto"/>
          <w:szCs w:val="21"/>
          <w:highlight w:val="none"/>
          <w:lang w:val="zh-CN"/>
        </w:rPr>
        <w:t>：</w:t>
      </w:r>
      <w:r>
        <w:rPr>
          <w:rFonts w:hint="eastAsia" w:ascii="宋体" w:hAnsi="宋体" w:eastAsia="宋体" w:cs="宋体"/>
          <w:color w:val="auto"/>
          <w:kern w:val="0"/>
          <w:szCs w:val="21"/>
          <w:highlight w:val="none"/>
          <w:lang w:val="zh-CN"/>
        </w:rPr>
        <w:t>（加盖投标人法人公章）</w:t>
      </w:r>
    </w:p>
    <w:p w14:paraId="5959BD0B">
      <w:pPr>
        <w:autoSpaceDE w:val="0"/>
        <w:autoSpaceDN w:val="0"/>
        <w:adjustRightInd w:val="0"/>
        <w:spacing w:line="360" w:lineRule="auto"/>
        <w:ind w:right="368" w:rightChars="175" w:firstLine="6237"/>
        <w:jc w:val="left"/>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  期：　年  月  日</w:t>
      </w:r>
    </w:p>
    <w:p w14:paraId="015E6BD7">
      <w:pPr>
        <w:keepNext w:val="0"/>
        <w:keepLines w:val="0"/>
        <w:pageBreakBefore w:val="0"/>
        <w:widowControl w:val="0"/>
        <w:tabs>
          <w:tab w:val="left" w:pos="567"/>
        </w:tabs>
        <w:kinsoku/>
        <w:wordWrap/>
        <w:overflowPunct/>
        <w:topLinePunct w:val="0"/>
        <w:autoSpaceDE w:val="0"/>
        <w:autoSpaceDN w:val="0"/>
        <w:bidi w:val="0"/>
        <w:adjustRightInd w:val="0"/>
        <w:snapToGrid/>
        <w:spacing w:line="360" w:lineRule="auto"/>
        <w:ind w:left="357" w:leftChars="-100" w:hanging="567"/>
        <w:jc w:val="left"/>
        <w:textAlignment w:val="auto"/>
        <w:outlineLvl w:val="2"/>
        <w:rPr>
          <w:rFonts w:ascii="宋体" w:hAnsi="宋体" w:eastAsia="宋体" w:cs="宋体"/>
          <w:b/>
          <w:color w:val="auto"/>
          <w:kern w:val="0"/>
          <w:sz w:val="32"/>
          <w:szCs w:val="32"/>
          <w:highlight w:val="none"/>
        </w:rPr>
      </w:pPr>
      <w:r>
        <w:rPr>
          <w:rFonts w:hint="eastAsia" w:ascii="宋体" w:hAnsi="宋体" w:eastAsia="宋体" w:cs="宋体"/>
          <w:color w:val="auto"/>
          <w:szCs w:val="24"/>
          <w:highlight w:val="none"/>
          <w:lang w:val="zh-CN"/>
        </w:rPr>
        <w:br w:type="page"/>
      </w:r>
      <w:bookmarkStart w:id="992" w:name="_Toc29014"/>
      <w:bookmarkStart w:id="993" w:name="_Toc9225"/>
      <w:bookmarkStart w:id="994" w:name="_Toc9485"/>
      <w:bookmarkStart w:id="995" w:name="_Toc4023"/>
      <w:bookmarkStart w:id="996" w:name="_Toc142508375"/>
      <w:bookmarkStart w:id="997" w:name="_Toc102860080"/>
      <w:bookmarkStart w:id="998" w:name="_Toc104991882"/>
      <w:bookmarkStart w:id="999" w:name="_Toc22710"/>
      <w:bookmarkStart w:id="1000" w:name="_Toc10443"/>
      <w:bookmarkStart w:id="1001" w:name="_Toc140596935"/>
      <w:bookmarkStart w:id="1002" w:name="_Toc94107216"/>
      <w:bookmarkStart w:id="1003" w:name="_Toc3053"/>
      <w:bookmarkStart w:id="1004" w:name="_Toc12589"/>
      <w:bookmarkStart w:id="1005" w:name="_Toc17332"/>
      <w:bookmarkStart w:id="1006" w:name="_Toc102860424"/>
      <w:bookmarkStart w:id="1007" w:name="_Toc486167715"/>
      <w:bookmarkStart w:id="1008" w:name="_Toc9051_WPSOffice_Level2"/>
      <w:bookmarkStart w:id="1009" w:name="_Toc533708128"/>
      <w:bookmarkStart w:id="1010" w:name="_Toc1977733"/>
      <w:r>
        <w:rPr>
          <w:rFonts w:hint="eastAsia" w:ascii="宋体" w:hAnsi="宋体" w:eastAsia="宋体" w:cs="宋体"/>
          <w:b/>
          <w:color w:val="auto"/>
          <w:sz w:val="32"/>
          <w:szCs w:val="32"/>
          <w:highlight w:val="none"/>
          <w:lang w:val="en-US" w:eastAsia="zh-CN"/>
        </w:rPr>
        <w:t>七</w:t>
      </w:r>
      <w:r>
        <w:rPr>
          <w:rFonts w:hint="eastAsia" w:ascii="宋体" w:hAnsi="宋体" w:eastAsia="宋体" w:cs="宋体"/>
          <w:b/>
          <w:color w:val="auto"/>
          <w:sz w:val="32"/>
          <w:szCs w:val="32"/>
          <w:highlight w:val="none"/>
          <w:lang w:val="zh-CN"/>
        </w:rPr>
        <w:t>、投标人财务状况表格式</w:t>
      </w:r>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p>
    <w:p w14:paraId="7374CA65">
      <w:pPr>
        <w:autoSpaceDE w:val="0"/>
        <w:autoSpaceDN w:val="0"/>
        <w:adjustRightInd w:val="0"/>
        <w:spacing w:line="360" w:lineRule="auto"/>
        <w:jc w:val="center"/>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 xml:space="preserve">投标人财务状况表 </w:t>
      </w:r>
    </w:p>
    <w:p w14:paraId="79538F2F">
      <w:pPr>
        <w:autoSpaceDE w:val="0"/>
        <w:autoSpaceDN w:val="0"/>
        <w:adjustRightIn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[价格单位：（人民币）元]</w:t>
      </w:r>
    </w:p>
    <w:tbl>
      <w:tblPr>
        <w:tblStyle w:val="3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66"/>
        <w:gridCol w:w="1944"/>
        <w:gridCol w:w="1946"/>
        <w:gridCol w:w="2713"/>
        <w:gridCol w:w="2060"/>
      </w:tblGrid>
      <w:tr w14:paraId="01EBD3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14:paraId="2166E5E5">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年  度</w:t>
            </w:r>
          </w:p>
        </w:tc>
        <w:tc>
          <w:tcPr>
            <w:tcW w:w="1944" w:type="dxa"/>
            <w:vAlign w:val="center"/>
          </w:tcPr>
          <w:p w14:paraId="5378258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总资产（元）</w:t>
            </w:r>
          </w:p>
        </w:tc>
        <w:tc>
          <w:tcPr>
            <w:tcW w:w="1946" w:type="dxa"/>
            <w:vAlign w:val="center"/>
          </w:tcPr>
          <w:p w14:paraId="3D2CC4E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净资产（元）</w:t>
            </w:r>
          </w:p>
        </w:tc>
        <w:tc>
          <w:tcPr>
            <w:tcW w:w="2713" w:type="dxa"/>
            <w:vAlign w:val="center"/>
          </w:tcPr>
          <w:p w14:paraId="6B8BF73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年营业额（元）</w:t>
            </w:r>
          </w:p>
        </w:tc>
        <w:tc>
          <w:tcPr>
            <w:tcW w:w="2060" w:type="dxa"/>
            <w:vAlign w:val="center"/>
          </w:tcPr>
          <w:p w14:paraId="74E48E0E">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年净利润（元）</w:t>
            </w:r>
          </w:p>
        </w:tc>
      </w:tr>
      <w:tr w14:paraId="2DA5CC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14:paraId="611BD3C2">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2021</w:t>
            </w:r>
          </w:p>
        </w:tc>
        <w:tc>
          <w:tcPr>
            <w:tcW w:w="1944" w:type="dxa"/>
            <w:vAlign w:val="center"/>
          </w:tcPr>
          <w:p w14:paraId="68F38CE7">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946" w:type="dxa"/>
            <w:vAlign w:val="center"/>
          </w:tcPr>
          <w:p w14:paraId="7128114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713" w:type="dxa"/>
            <w:vAlign w:val="center"/>
          </w:tcPr>
          <w:p w14:paraId="0E18A92D">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060" w:type="dxa"/>
            <w:vAlign w:val="center"/>
          </w:tcPr>
          <w:p w14:paraId="19FC6282">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r w14:paraId="3ED767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0DEC1027">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2022</w:t>
            </w:r>
          </w:p>
        </w:tc>
        <w:tc>
          <w:tcPr>
            <w:tcW w:w="1944" w:type="dxa"/>
            <w:vAlign w:val="center"/>
          </w:tcPr>
          <w:p w14:paraId="04E8AD4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946" w:type="dxa"/>
            <w:vAlign w:val="center"/>
          </w:tcPr>
          <w:p w14:paraId="104FA1C5">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713" w:type="dxa"/>
          </w:tcPr>
          <w:p w14:paraId="044BF4E9">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060" w:type="dxa"/>
            <w:vAlign w:val="center"/>
          </w:tcPr>
          <w:p w14:paraId="5F75CB65">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r w14:paraId="72A8E8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121EE663">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2023</w:t>
            </w:r>
          </w:p>
        </w:tc>
        <w:tc>
          <w:tcPr>
            <w:tcW w:w="1944" w:type="dxa"/>
            <w:vAlign w:val="center"/>
          </w:tcPr>
          <w:p w14:paraId="701304DD">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946" w:type="dxa"/>
            <w:vAlign w:val="center"/>
          </w:tcPr>
          <w:p w14:paraId="4BD693A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713" w:type="dxa"/>
          </w:tcPr>
          <w:p w14:paraId="28CE42AC">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060" w:type="dxa"/>
            <w:vAlign w:val="center"/>
          </w:tcPr>
          <w:p w14:paraId="7604E86E">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r w14:paraId="0A1125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5056" w:type="dxa"/>
            <w:gridSpan w:val="3"/>
            <w:vAlign w:val="center"/>
          </w:tcPr>
          <w:p w14:paraId="00FB78F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总计</w:t>
            </w:r>
          </w:p>
        </w:tc>
        <w:tc>
          <w:tcPr>
            <w:tcW w:w="2713" w:type="dxa"/>
          </w:tcPr>
          <w:p w14:paraId="361BB7D6">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060" w:type="dxa"/>
            <w:vAlign w:val="center"/>
          </w:tcPr>
          <w:p w14:paraId="4D0DC2F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bl>
    <w:p w14:paraId="7D72F45D">
      <w:pPr>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需提供对应年度经独立会计师事务所审计的审计报告及投标人财务状况表；若投标人为新成立或未进行独立会计师事务所审计的，本表中对应年度的财务信息应填写“/”，投标人的投标文件不作无效投标处理，但存在因不符合评标办法中的评分标准而导致对应项不得分。</w:t>
      </w:r>
    </w:p>
    <w:p w14:paraId="7BB80898">
      <w:pPr>
        <w:autoSpaceDE w:val="0"/>
        <w:autoSpaceDN w:val="0"/>
        <w:adjustRightInd w:val="0"/>
        <w:spacing w:line="360" w:lineRule="auto"/>
        <w:ind w:firstLine="5409" w:firstLineChars="2576"/>
        <w:rPr>
          <w:rFonts w:ascii="宋体" w:hAnsi="宋体" w:eastAsia="宋体" w:cs="宋体"/>
          <w:color w:val="auto"/>
          <w:szCs w:val="24"/>
          <w:highlight w:val="none"/>
          <w:lang w:val="zh-CN"/>
        </w:rPr>
      </w:pPr>
    </w:p>
    <w:p w14:paraId="2D2A1FD2">
      <w:pPr>
        <w:autoSpaceDE w:val="0"/>
        <w:autoSpaceDN w:val="0"/>
        <w:adjustRightInd w:val="0"/>
        <w:spacing w:line="360" w:lineRule="auto"/>
        <w:ind w:firstLine="5409" w:firstLineChars="2576"/>
        <w:rPr>
          <w:rFonts w:ascii="宋体" w:hAnsi="宋体" w:eastAsia="宋体" w:cs="宋体"/>
          <w:color w:val="auto"/>
          <w:szCs w:val="24"/>
          <w:highlight w:val="none"/>
          <w:lang w:val="zh-CN"/>
        </w:rPr>
      </w:pPr>
    </w:p>
    <w:p w14:paraId="4D2BE07F">
      <w:pPr>
        <w:autoSpaceDE w:val="0"/>
        <w:autoSpaceDN w:val="0"/>
        <w:adjustRightInd w:val="0"/>
        <w:spacing w:line="360" w:lineRule="auto"/>
        <w:ind w:firstLine="5409" w:firstLineChars="2576"/>
        <w:rPr>
          <w:rFonts w:ascii="宋体" w:hAnsi="宋体" w:eastAsia="宋体" w:cs="宋体"/>
          <w:color w:val="auto"/>
          <w:szCs w:val="24"/>
          <w:highlight w:val="none"/>
          <w:u w:val="single"/>
        </w:rPr>
      </w:pPr>
      <w:r>
        <w:rPr>
          <w:rFonts w:hint="eastAsia" w:ascii="宋体" w:hAnsi="宋体" w:eastAsia="宋体" w:cs="宋体"/>
          <w:color w:val="auto"/>
          <w:szCs w:val="24"/>
          <w:highlight w:val="none"/>
          <w:lang w:val="zh-CN"/>
        </w:rPr>
        <w:t>投标人：（加盖投标人</w:t>
      </w:r>
      <w:r>
        <w:rPr>
          <w:rFonts w:hint="eastAsia" w:ascii="宋体" w:hAnsi="宋体" w:eastAsia="宋体" w:cs="宋体"/>
          <w:color w:val="auto"/>
          <w:szCs w:val="24"/>
          <w:highlight w:val="none"/>
        </w:rPr>
        <w:t>法人</w:t>
      </w:r>
      <w:r>
        <w:rPr>
          <w:rFonts w:hint="eastAsia" w:ascii="宋体" w:hAnsi="宋体" w:eastAsia="宋体" w:cs="宋体"/>
          <w:color w:val="auto"/>
          <w:szCs w:val="24"/>
          <w:highlight w:val="none"/>
          <w:lang w:val="zh-CN"/>
        </w:rPr>
        <w:t>公章）</w:t>
      </w:r>
    </w:p>
    <w:p w14:paraId="59148357">
      <w:pPr>
        <w:autoSpaceDE w:val="0"/>
        <w:autoSpaceDN w:val="0"/>
        <w:adjustRightInd w:val="0"/>
        <w:spacing w:line="360" w:lineRule="auto"/>
        <w:ind w:firstLine="6249" w:firstLineChars="2976"/>
        <w:rPr>
          <w:rFonts w:ascii="宋体" w:hAnsi="宋体" w:eastAsia="宋体" w:cs="宋体"/>
          <w:b/>
          <w:bCs/>
          <w:color w:val="auto"/>
          <w:kern w:val="0"/>
          <w:szCs w:val="21"/>
          <w:highlight w:val="none"/>
        </w:rPr>
        <w:sectPr>
          <w:footerReference r:id="rId7" w:type="default"/>
          <w:pgSz w:w="11907" w:h="16840"/>
          <w:pgMar w:top="1701" w:right="1418" w:bottom="851" w:left="1418" w:header="720" w:footer="720" w:gutter="0"/>
          <w:cols w:space="720" w:num="1"/>
          <w:titlePg/>
          <w:docGrid w:linePitch="326" w:charSpace="0"/>
        </w:sectPr>
      </w:pPr>
      <w:r>
        <w:rPr>
          <w:rFonts w:hint="eastAsia" w:ascii="宋体" w:hAnsi="宋体" w:eastAsia="宋体" w:cs="宋体"/>
          <w:color w:val="auto"/>
          <w:szCs w:val="24"/>
          <w:highlight w:val="none"/>
          <w:lang w:val="zh-CN"/>
        </w:rPr>
        <w:t>日期：</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年</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月</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u w:val="single"/>
        </w:rPr>
        <w:t>日</w:t>
      </w:r>
    </w:p>
    <w:bookmarkEnd w:id="1007"/>
    <w:bookmarkEnd w:id="1008"/>
    <w:bookmarkEnd w:id="1009"/>
    <w:bookmarkEnd w:id="1010"/>
    <w:p w14:paraId="2BFCF110">
      <w:pPr>
        <w:tabs>
          <w:tab w:val="left" w:pos="567"/>
        </w:tabs>
        <w:autoSpaceDE w:val="0"/>
        <w:autoSpaceDN w:val="0"/>
        <w:adjustRightInd w:val="0"/>
        <w:spacing w:line="360" w:lineRule="auto"/>
        <w:jc w:val="left"/>
        <w:outlineLvl w:val="2"/>
        <w:rPr>
          <w:rFonts w:ascii="宋体" w:hAnsi="宋体" w:eastAsia="宋体" w:cs="宋体"/>
          <w:b/>
          <w:color w:val="auto"/>
          <w:kern w:val="0"/>
          <w:sz w:val="32"/>
          <w:szCs w:val="32"/>
          <w:highlight w:val="none"/>
          <w:lang w:val="zh-CN"/>
        </w:rPr>
      </w:pPr>
      <w:bookmarkStart w:id="1011" w:name="_Toc4077"/>
      <w:bookmarkStart w:id="1012" w:name="_Toc4941"/>
      <w:bookmarkStart w:id="1013" w:name="_Toc140596936"/>
      <w:bookmarkStart w:id="1014" w:name="_Toc104991883"/>
      <w:bookmarkStart w:id="1015" w:name="_Toc739_WPSOffice_Level2"/>
      <w:bookmarkStart w:id="1016" w:name="_Toc17995"/>
      <w:bookmarkStart w:id="1017" w:name="_Toc9118"/>
      <w:bookmarkStart w:id="1018" w:name="_Toc102860425"/>
      <w:bookmarkStart w:id="1019" w:name="_Toc94107217"/>
      <w:bookmarkStart w:id="1020" w:name="_Toc1265"/>
      <w:bookmarkStart w:id="1021" w:name="_Toc102860081"/>
      <w:bookmarkStart w:id="1022" w:name="_Toc4102"/>
      <w:bookmarkStart w:id="1023" w:name="_Toc26821"/>
      <w:bookmarkStart w:id="1024" w:name="_Toc1977736"/>
      <w:bookmarkStart w:id="1025" w:name="_Toc142508376"/>
      <w:bookmarkStart w:id="1026" w:name="_Toc486167716"/>
      <w:bookmarkStart w:id="1027" w:name="_Toc19173"/>
      <w:bookmarkStart w:id="1028" w:name="_Toc333"/>
      <w:bookmarkStart w:id="1029" w:name="_Toc533708130"/>
      <w:r>
        <w:rPr>
          <w:rFonts w:hint="eastAsia" w:ascii="宋体" w:hAnsi="宋体" w:eastAsia="宋体" w:cs="宋体"/>
          <w:b/>
          <w:color w:val="auto"/>
          <w:kern w:val="0"/>
          <w:sz w:val="32"/>
          <w:szCs w:val="32"/>
          <w:highlight w:val="none"/>
          <w:lang w:val="en-US" w:eastAsia="zh-CN"/>
        </w:rPr>
        <w:t>八</w:t>
      </w:r>
      <w:r>
        <w:rPr>
          <w:rFonts w:hint="eastAsia" w:ascii="宋体" w:hAnsi="宋体" w:eastAsia="宋体" w:cs="宋体"/>
          <w:b/>
          <w:color w:val="auto"/>
          <w:kern w:val="0"/>
          <w:sz w:val="32"/>
          <w:szCs w:val="32"/>
          <w:highlight w:val="none"/>
          <w:lang w:val="zh-CN"/>
        </w:rPr>
        <w:t>、合同条款偏离表格式</w:t>
      </w:r>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p>
    <w:p w14:paraId="066BC899">
      <w:pPr>
        <w:autoSpaceDE w:val="0"/>
        <w:autoSpaceDN w:val="0"/>
        <w:adjustRightInd w:val="0"/>
        <w:spacing w:line="360" w:lineRule="auto"/>
        <w:jc w:val="center"/>
        <w:rPr>
          <w:rFonts w:ascii="宋体" w:hAnsi="宋体" w:eastAsia="宋体" w:cs="宋体"/>
          <w:b/>
          <w:bCs/>
          <w:color w:val="auto"/>
          <w:kern w:val="0"/>
          <w:sz w:val="28"/>
          <w:szCs w:val="30"/>
          <w:highlight w:val="none"/>
          <w:lang w:val="zh-CN"/>
        </w:rPr>
      </w:pPr>
      <w:bookmarkStart w:id="1030" w:name="_Toc26412_WPSOffice_Level3"/>
      <w:r>
        <w:rPr>
          <w:rFonts w:hint="eastAsia" w:ascii="宋体" w:hAnsi="宋体" w:eastAsia="宋体" w:cs="宋体"/>
          <w:b/>
          <w:bCs/>
          <w:color w:val="auto"/>
          <w:kern w:val="0"/>
          <w:sz w:val="28"/>
          <w:szCs w:val="30"/>
          <w:highlight w:val="none"/>
          <w:lang w:val="zh-CN"/>
        </w:rPr>
        <w:t>东莞市樟村水质净化厂污泥处理处置服务项目（2025-2026年）合同条款偏离表</w:t>
      </w:r>
      <w:bookmarkEnd w:id="1030"/>
    </w:p>
    <w:tbl>
      <w:tblPr>
        <w:tblStyle w:val="3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9"/>
        <w:gridCol w:w="1425"/>
        <w:gridCol w:w="3056"/>
        <w:gridCol w:w="1344"/>
        <w:gridCol w:w="3526"/>
      </w:tblGrid>
      <w:tr w14:paraId="693D9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491" w:type="pct"/>
            <w:vMerge w:val="restart"/>
            <w:vAlign w:val="center"/>
          </w:tcPr>
          <w:p w14:paraId="441F6A8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2160" w:type="pct"/>
            <w:gridSpan w:val="2"/>
            <w:vAlign w:val="center"/>
          </w:tcPr>
          <w:p w14:paraId="58C7E29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招标文件要求</w:t>
            </w:r>
          </w:p>
        </w:tc>
        <w:tc>
          <w:tcPr>
            <w:tcW w:w="2348" w:type="pct"/>
            <w:gridSpan w:val="2"/>
            <w:vAlign w:val="center"/>
          </w:tcPr>
          <w:p w14:paraId="65B7034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投标文件内容</w:t>
            </w:r>
          </w:p>
        </w:tc>
      </w:tr>
      <w:tr w14:paraId="43CCC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491" w:type="pct"/>
            <w:vMerge w:val="continue"/>
            <w:vAlign w:val="center"/>
          </w:tcPr>
          <w:p w14:paraId="0E64ACF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687" w:type="pct"/>
            <w:vAlign w:val="center"/>
          </w:tcPr>
          <w:p w14:paraId="1314559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条款号</w:t>
            </w:r>
          </w:p>
        </w:tc>
        <w:tc>
          <w:tcPr>
            <w:tcW w:w="1473" w:type="pct"/>
            <w:vAlign w:val="center"/>
          </w:tcPr>
          <w:p w14:paraId="2A8D60D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简要内容</w:t>
            </w:r>
          </w:p>
        </w:tc>
        <w:tc>
          <w:tcPr>
            <w:tcW w:w="648" w:type="pct"/>
            <w:vAlign w:val="center"/>
          </w:tcPr>
          <w:p w14:paraId="6DF2C5D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偏离情况</w:t>
            </w:r>
          </w:p>
        </w:tc>
        <w:tc>
          <w:tcPr>
            <w:tcW w:w="1700" w:type="pct"/>
            <w:vAlign w:val="center"/>
          </w:tcPr>
          <w:p w14:paraId="6CFE2B3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具体偏离内容</w:t>
            </w:r>
          </w:p>
        </w:tc>
      </w:tr>
      <w:tr w14:paraId="0E933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91" w:type="pct"/>
            <w:vAlign w:val="center"/>
          </w:tcPr>
          <w:p w14:paraId="57B19C2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687" w:type="pct"/>
            <w:vAlign w:val="center"/>
          </w:tcPr>
          <w:p w14:paraId="03160669">
            <w:pPr>
              <w:pStyle w:val="62"/>
              <w:keepNext w:val="0"/>
              <w:keepLines w:val="0"/>
              <w:suppressLineNumbers w:val="0"/>
              <w:snapToGrid w:val="0"/>
              <w:spacing w:before="0" w:beforeAutospacing="0" w:after="0" w:afterAutospacing="0" w:line="240" w:lineRule="auto"/>
              <w:ind w:left="0" w:leftChars="0" w:right="0" w:rightChars="0" w:firstLine="0" w:firstLineChars="0"/>
              <w:jc w:val="center"/>
              <w:outlineLvl w:val="9"/>
              <w:rPr>
                <w:rFonts w:hint="default" w:ascii="宋体" w:hAnsi="宋体" w:eastAsia="宋体" w:cs="宋体"/>
                <w:color w:val="auto"/>
                <w:kern w:val="0"/>
                <w:szCs w:val="21"/>
                <w:highlight w:val="none"/>
              </w:rPr>
            </w:pPr>
            <w:r>
              <w:rPr>
                <w:rFonts w:hint="eastAsia" w:ascii="宋体" w:eastAsia="宋体" w:cs="宋体"/>
                <w:color w:val="auto"/>
                <w:sz w:val="21"/>
                <w:szCs w:val="21"/>
                <w:highlight w:val="none"/>
                <w:lang w:eastAsia="zh-CN"/>
              </w:rPr>
              <w:t>第</w:t>
            </w:r>
            <w:r>
              <w:rPr>
                <w:rFonts w:hint="eastAsia" w:ascii="宋体" w:hAnsi="宋体" w:eastAsia="宋体" w:cs="宋体"/>
                <w:color w:val="auto"/>
                <w:sz w:val="21"/>
                <w:szCs w:val="21"/>
                <w:highlight w:val="none"/>
              </w:rPr>
              <w:t>一</w:t>
            </w:r>
            <w:r>
              <w:rPr>
                <w:rFonts w:hint="eastAsia" w:ascii="宋体" w:eastAsia="宋体" w:cs="宋体"/>
                <w:color w:val="auto"/>
                <w:sz w:val="21"/>
                <w:szCs w:val="21"/>
                <w:highlight w:val="none"/>
                <w:lang w:eastAsia="zh-CN"/>
              </w:rPr>
              <w:t>条</w:t>
            </w:r>
          </w:p>
        </w:tc>
        <w:tc>
          <w:tcPr>
            <w:tcW w:w="1473" w:type="pct"/>
            <w:vAlign w:val="center"/>
          </w:tcPr>
          <w:p w14:paraId="417BBDD0">
            <w:pPr>
              <w:pStyle w:val="62"/>
              <w:keepNext w:val="0"/>
              <w:keepLines w:val="0"/>
              <w:suppressLineNumbers w:val="0"/>
              <w:snapToGrid w:val="0"/>
              <w:spacing w:before="0" w:beforeAutospacing="0" w:after="0" w:afterAutospacing="0" w:line="240" w:lineRule="auto"/>
              <w:ind w:left="0" w:leftChars="0" w:right="0" w:rightChars="0" w:firstLine="0" w:firstLineChars="0"/>
              <w:jc w:val="center"/>
              <w:outlineLvl w:val="9"/>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 w:val="21"/>
                <w:szCs w:val="21"/>
                <w:highlight w:val="none"/>
              </w:rPr>
              <w:t>服务范围及期限</w:t>
            </w:r>
          </w:p>
        </w:tc>
        <w:tc>
          <w:tcPr>
            <w:tcW w:w="648" w:type="pct"/>
            <w:vAlign w:val="center"/>
          </w:tcPr>
          <w:p w14:paraId="4AB50AC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1700" w:type="pct"/>
            <w:vAlign w:val="center"/>
          </w:tcPr>
          <w:p w14:paraId="4DC6620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62712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91" w:type="pct"/>
            <w:vAlign w:val="center"/>
          </w:tcPr>
          <w:p w14:paraId="2D412AC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w:t>
            </w:r>
          </w:p>
        </w:tc>
        <w:tc>
          <w:tcPr>
            <w:tcW w:w="687" w:type="pct"/>
            <w:vAlign w:val="center"/>
          </w:tcPr>
          <w:p w14:paraId="60ABF05C">
            <w:pPr>
              <w:pStyle w:val="62"/>
              <w:keepNext w:val="0"/>
              <w:keepLines w:val="0"/>
              <w:suppressLineNumbers w:val="0"/>
              <w:snapToGrid w:val="0"/>
              <w:spacing w:before="0" w:beforeAutospacing="0" w:after="0" w:afterAutospacing="0" w:line="240" w:lineRule="auto"/>
              <w:ind w:left="0" w:leftChars="0" w:right="0" w:rightChars="0" w:firstLine="0" w:firstLineChars="0"/>
              <w:jc w:val="center"/>
              <w:outlineLvl w:val="9"/>
              <w:rPr>
                <w:rFonts w:hint="eastAsia" w:asci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第二条</w:t>
            </w:r>
          </w:p>
        </w:tc>
        <w:tc>
          <w:tcPr>
            <w:tcW w:w="1473" w:type="pct"/>
            <w:vAlign w:val="center"/>
          </w:tcPr>
          <w:p w14:paraId="029106FB">
            <w:pPr>
              <w:pStyle w:val="62"/>
              <w:keepNext w:val="0"/>
              <w:keepLines w:val="0"/>
              <w:suppressLineNumbers w:val="0"/>
              <w:snapToGrid w:val="0"/>
              <w:spacing w:before="0" w:beforeAutospacing="0" w:after="0" w:afterAutospacing="0" w:line="240" w:lineRule="auto"/>
              <w:ind w:left="0" w:leftChars="0" w:right="0" w:rightChars="0" w:firstLine="0" w:firstLineChars="0"/>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风险特别约定</w:t>
            </w:r>
          </w:p>
        </w:tc>
        <w:tc>
          <w:tcPr>
            <w:tcW w:w="648" w:type="pct"/>
            <w:vAlign w:val="center"/>
          </w:tcPr>
          <w:p w14:paraId="56EE156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1700" w:type="pct"/>
            <w:vAlign w:val="center"/>
          </w:tcPr>
          <w:p w14:paraId="4A98827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7F3F6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91" w:type="pct"/>
            <w:vAlign w:val="center"/>
          </w:tcPr>
          <w:p w14:paraId="18DDD4E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w:t>
            </w:r>
          </w:p>
        </w:tc>
        <w:tc>
          <w:tcPr>
            <w:tcW w:w="687" w:type="pct"/>
            <w:vAlign w:val="center"/>
          </w:tcPr>
          <w:p w14:paraId="02B263BD">
            <w:pPr>
              <w:pStyle w:val="62"/>
              <w:keepNext w:val="0"/>
              <w:keepLines w:val="0"/>
              <w:suppressLineNumbers w:val="0"/>
              <w:snapToGrid w:val="0"/>
              <w:spacing w:before="0" w:beforeAutospacing="0" w:after="0" w:afterAutospacing="0" w:line="240" w:lineRule="auto"/>
              <w:ind w:left="0" w:leftChars="0" w:right="0" w:rightChars="0" w:firstLine="0" w:firstLineChars="0"/>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第</w:t>
            </w:r>
            <w:r>
              <w:rPr>
                <w:rFonts w:hint="eastAsia" w:asci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lang w:val="en-US" w:eastAsia="zh-CN"/>
              </w:rPr>
              <w:t>条</w:t>
            </w:r>
          </w:p>
        </w:tc>
        <w:tc>
          <w:tcPr>
            <w:tcW w:w="1473" w:type="pct"/>
            <w:vAlign w:val="center"/>
          </w:tcPr>
          <w:p w14:paraId="60E1DA2C">
            <w:pPr>
              <w:pStyle w:val="62"/>
              <w:keepNext w:val="0"/>
              <w:keepLines w:val="0"/>
              <w:suppressLineNumbers w:val="0"/>
              <w:snapToGrid w:val="0"/>
              <w:spacing w:before="0" w:beforeAutospacing="0" w:after="0" w:afterAutospacing="0" w:line="240" w:lineRule="auto"/>
              <w:ind w:left="0" w:leftChars="0" w:right="0" w:rightChars="0" w:firstLine="0" w:firstLineChars="0"/>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服务标准及要求</w:t>
            </w:r>
          </w:p>
        </w:tc>
        <w:tc>
          <w:tcPr>
            <w:tcW w:w="648" w:type="pct"/>
            <w:vAlign w:val="center"/>
          </w:tcPr>
          <w:p w14:paraId="3143262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1700" w:type="pct"/>
            <w:vAlign w:val="center"/>
          </w:tcPr>
          <w:p w14:paraId="66C75FB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490CD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91" w:type="pct"/>
            <w:vAlign w:val="center"/>
          </w:tcPr>
          <w:p w14:paraId="70859EAD">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w:t>
            </w:r>
          </w:p>
        </w:tc>
        <w:tc>
          <w:tcPr>
            <w:tcW w:w="687" w:type="pct"/>
            <w:vAlign w:val="center"/>
          </w:tcPr>
          <w:p w14:paraId="22145FB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eastAsia="宋体" w:cs="宋体"/>
                <w:color w:val="auto"/>
                <w:sz w:val="21"/>
                <w:szCs w:val="21"/>
                <w:highlight w:val="none"/>
                <w:lang w:eastAsia="zh-CN"/>
              </w:rPr>
              <w:t>第</w:t>
            </w:r>
            <w:r>
              <w:rPr>
                <w:rFonts w:hint="eastAsia" w:ascii="宋体" w:eastAsia="宋体" w:cs="宋体"/>
                <w:color w:val="auto"/>
                <w:sz w:val="21"/>
                <w:szCs w:val="21"/>
                <w:highlight w:val="none"/>
                <w:lang w:val="en-US" w:eastAsia="zh-CN"/>
              </w:rPr>
              <w:t>四</w:t>
            </w:r>
            <w:r>
              <w:rPr>
                <w:rFonts w:hint="eastAsia" w:ascii="宋体" w:eastAsia="宋体" w:cs="宋体"/>
                <w:color w:val="auto"/>
                <w:sz w:val="21"/>
                <w:szCs w:val="21"/>
                <w:highlight w:val="none"/>
                <w:lang w:eastAsia="zh-CN"/>
              </w:rPr>
              <w:t>条</w:t>
            </w:r>
          </w:p>
        </w:tc>
        <w:tc>
          <w:tcPr>
            <w:tcW w:w="1473" w:type="pct"/>
            <w:vAlign w:val="center"/>
          </w:tcPr>
          <w:p w14:paraId="25ECF816">
            <w:pPr>
              <w:keepNext w:val="0"/>
              <w:keepLines w:val="0"/>
              <w:suppressLineNumbers w:val="0"/>
              <w:autoSpaceDE/>
              <w:autoSpaceDN/>
              <w:adjustRightInd/>
              <w:snapToGrid w:val="0"/>
              <w:spacing w:before="0" w:beforeAutospacing="0" w:after="0" w:afterAutospacing="0" w:line="360" w:lineRule="auto"/>
              <w:ind w:left="0" w:right="0"/>
              <w:jc w:val="left"/>
              <w:outlineLvl w:val="1"/>
              <w:rPr>
                <w:rFonts w:hint="default" w:ascii="宋体" w:hAnsi="宋体" w:eastAsia="宋体" w:cs="Times New Roman"/>
                <w:b w:val="0"/>
                <w:bCs/>
                <w:color w:val="auto"/>
                <w:kern w:val="0"/>
                <w:szCs w:val="21"/>
                <w:highlight w:val="none"/>
              </w:rPr>
            </w:pPr>
            <w:bookmarkStart w:id="1031" w:name="_Toc13028"/>
            <w:bookmarkStart w:id="1032" w:name="_Toc13008"/>
            <w:bookmarkStart w:id="1033" w:name="_Toc32578"/>
            <w:bookmarkStart w:id="1034" w:name="_Toc6891"/>
            <w:bookmarkStart w:id="1035" w:name="_Toc7919"/>
            <w:r>
              <w:rPr>
                <w:rFonts w:hint="eastAsia" w:ascii="宋体" w:hAnsi="宋体" w:eastAsia="宋体" w:cs="宋体"/>
                <w:b w:val="0"/>
                <w:bCs/>
                <w:color w:val="auto"/>
                <w:szCs w:val="21"/>
                <w:highlight w:val="none"/>
              </w:rPr>
              <w:t>污泥计量、污泥含水率及检测、污泥处理处置服务费计费</w:t>
            </w:r>
            <w:bookmarkEnd w:id="1031"/>
            <w:bookmarkEnd w:id="1032"/>
            <w:bookmarkEnd w:id="1033"/>
            <w:bookmarkEnd w:id="1034"/>
            <w:bookmarkEnd w:id="1035"/>
          </w:p>
        </w:tc>
        <w:tc>
          <w:tcPr>
            <w:tcW w:w="648" w:type="pct"/>
            <w:vAlign w:val="center"/>
          </w:tcPr>
          <w:p w14:paraId="3FC51FF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1700" w:type="pct"/>
            <w:vAlign w:val="center"/>
          </w:tcPr>
          <w:p w14:paraId="28CA865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300C0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91" w:type="pct"/>
            <w:vAlign w:val="center"/>
          </w:tcPr>
          <w:p w14:paraId="7175113A">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w:t>
            </w:r>
          </w:p>
        </w:tc>
        <w:tc>
          <w:tcPr>
            <w:tcW w:w="687" w:type="pct"/>
            <w:vAlign w:val="center"/>
          </w:tcPr>
          <w:p w14:paraId="328DCE8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eastAsia="宋体" w:cs="宋体"/>
                <w:color w:val="auto"/>
                <w:sz w:val="21"/>
                <w:szCs w:val="21"/>
                <w:highlight w:val="none"/>
                <w:lang w:eastAsia="zh-CN"/>
              </w:rPr>
              <w:t>第</w:t>
            </w:r>
            <w:r>
              <w:rPr>
                <w:rFonts w:hint="eastAsia" w:ascii="宋体" w:hAnsi="宋体" w:eastAsia="宋体" w:cs="宋体"/>
                <w:color w:val="auto"/>
                <w:sz w:val="21"/>
                <w:szCs w:val="21"/>
                <w:highlight w:val="none"/>
                <w:lang w:val="en-US" w:eastAsia="zh-CN"/>
              </w:rPr>
              <w:t>五</w:t>
            </w:r>
            <w:r>
              <w:rPr>
                <w:rFonts w:hint="eastAsia" w:ascii="宋体" w:eastAsia="宋体" w:cs="宋体"/>
                <w:color w:val="auto"/>
                <w:sz w:val="21"/>
                <w:szCs w:val="21"/>
                <w:highlight w:val="none"/>
                <w:lang w:eastAsia="zh-CN"/>
              </w:rPr>
              <w:t>条</w:t>
            </w:r>
          </w:p>
        </w:tc>
        <w:tc>
          <w:tcPr>
            <w:tcW w:w="1473" w:type="pct"/>
            <w:vAlign w:val="center"/>
          </w:tcPr>
          <w:p w14:paraId="7C103F7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b w:val="0"/>
                <w:bCs/>
                <w:color w:val="auto"/>
                <w:kern w:val="0"/>
                <w:szCs w:val="21"/>
                <w:highlight w:val="none"/>
              </w:rPr>
            </w:pPr>
            <w:r>
              <w:rPr>
                <w:rFonts w:hint="eastAsia" w:ascii="宋体" w:hAnsi="宋体" w:eastAsia="宋体" w:cs="宋体"/>
                <w:b w:val="0"/>
                <w:bCs/>
                <w:color w:val="auto"/>
                <w:szCs w:val="21"/>
                <w:highlight w:val="none"/>
              </w:rPr>
              <w:t>合同价格</w:t>
            </w:r>
          </w:p>
        </w:tc>
        <w:tc>
          <w:tcPr>
            <w:tcW w:w="648" w:type="pct"/>
            <w:vAlign w:val="center"/>
          </w:tcPr>
          <w:p w14:paraId="65D0C61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1700" w:type="pct"/>
            <w:vAlign w:val="center"/>
          </w:tcPr>
          <w:p w14:paraId="5CEDBD1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4698B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91" w:type="pct"/>
            <w:vAlign w:val="center"/>
          </w:tcPr>
          <w:p w14:paraId="4C54A853">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6</w:t>
            </w:r>
          </w:p>
        </w:tc>
        <w:tc>
          <w:tcPr>
            <w:tcW w:w="687" w:type="pct"/>
            <w:vAlign w:val="center"/>
          </w:tcPr>
          <w:p w14:paraId="5DF15F5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eastAsia="宋体" w:cs="宋体"/>
                <w:color w:val="auto"/>
                <w:sz w:val="21"/>
                <w:szCs w:val="21"/>
                <w:highlight w:val="none"/>
                <w:lang w:eastAsia="zh-CN"/>
              </w:rPr>
              <w:t>第</w:t>
            </w:r>
            <w:r>
              <w:rPr>
                <w:rFonts w:hint="eastAsia" w:ascii="宋体" w:hAnsi="宋体" w:eastAsia="宋体" w:cs="宋体"/>
                <w:color w:val="auto"/>
                <w:sz w:val="21"/>
                <w:szCs w:val="21"/>
                <w:highlight w:val="none"/>
                <w:lang w:val="en-US" w:eastAsia="zh-CN"/>
              </w:rPr>
              <w:t>六</w:t>
            </w:r>
            <w:r>
              <w:rPr>
                <w:rFonts w:hint="eastAsia" w:ascii="宋体" w:eastAsia="宋体" w:cs="宋体"/>
                <w:color w:val="auto"/>
                <w:sz w:val="21"/>
                <w:szCs w:val="21"/>
                <w:highlight w:val="none"/>
                <w:lang w:eastAsia="zh-CN"/>
              </w:rPr>
              <w:t>条</w:t>
            </w:r>
          </w:p>
        </w:tc>
        <w:tc>
          <w:tcPr>
            <w:tcW w:w="1473" w:type="pct"/>
            <w:vAlign w:val="center"/>
          </w:tcPr>
          <w:p w14:paraId="326AF4E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b w:val="0"/>
                <w:bCs/>
                <w:color w:val="auto"/>
                <w:kern w:val="0"/>
                <w:szCs w:val="21"/>
                <w:highlight w:val="none"/>
              </w:rPr>
            </w:pPr>
            <w:r>
              <w:rPr>
                <w:rFonts w:hint="eastAsia" w:ascii="宋体" w:hAnsi="宋体" w:eastAsia="宋体" w:cs="宋体"/>
                <w:b w:val="0"/>
                <w:bCs/>
                <w:color w:val="auto"/>
                <w:szCs w:val="21"/>
                <w:highlight w:val="none"/>
              </w:rPr>
              <w:t>双方权利义务</w:t>
            </w:r>
          </w:p>
        </w:tc>
        <w:tc>
          <w:tcPr>
            <w:tcW w:w="648" w:type="pct"/>
            <w:vAlign w:val="center"/>
          </w:tcPr>
          <w:p w14:paraId="1E49B99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1700" w:type="pct"/>
            <w:vAlign w:val="center"/>
          </w:tcPr>
          <w:p w14:paraId="2999B4B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07A5A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91" w:type="pct"/>
            <w:vAlign w:val="center"/>
          </w:tcPr>
          <w:p w14:paraId="2254A208">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7</w:t>
            </w:r>
          </w:p>
        </w:tc>
        <w:tc>
          <w:tcPr>
            <w:tcW w:w="687" w:type="pct"/>
            <w:vAlign w:val="center"/>
          </w:tcPr>
          <w:p w14:paraId="3B93D78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eastAsia="宋体" w:cs="宋体"/>
                <w:color w:val="auto"/>
                <w:sz w:val="21"/>
                <w:szCs w:val="21"/>
                <w:highlight w:val="none"/>
                <w:lang w:eastAsia="zh-CN"/>
              </w:rPr>
              <w:t>第</w:t>
            </w:r>
            <w:r>
              <w:rPr>
                <w:rFonts w:hint="eastAsia" w:ascii="宋体" w:hAnsi="宋体" w:eastAsia="宋体" w:cs="宋体"/>
                <w:color w:val="auto"/>
                <w:sz w:val="21"/>
                <w:szCs w:val="21"/>
                <w:highlight w:val="none"/>
                <w:lang w:val="en-US" w:eastAsia="zh-CN"/>
              </w:rPr>
              <w:t>七</w:t>
            </w:r>
            <w:r>
              <w:rPr>
                <w:rFonts w:hint="eastAsia" w:ascii="宋体" w:eastAsia="宋体" w:cs="宋体"/>
                <w:color w:val="auto"/>
                <w:sz w:val="21"/>
                <w:szCs w:val="21"/>
                <w:highlight w:val="none"/>
                <w:lang w:eastAsia="zh-CN"/>
              </w:rPr>
              <w:t>条</w:t>
            </w:r>
          </w:p>
        </w:tc>
        <w:tc>
          <w:tcPr>
            <w:tcW w:w="1473" w:type="pct"/>
            <w:vAlign w:val="center"/>
          </w:tcPr>
          <w:p w14:paraId="2F4910C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b w:val="0"/>
                <w:bCs/>
                <w:color w:val="auto"/>
                <w:kern w:val="0"/>
                <w:szCs w:val="21"/>
                <w:highlight w:val="none"/>
              </w:rPr>
            </w:pPr>
            <w:r>
              <w:rPr>
                <w:rFonts w:hint="eastAsia" w:ascii="宋体" w:hAnsi="宋体" w:eastAsia="宋体" w:cs="Times New Roman"/>
                <w:b w:val="0"/>
                <w:bCs/>
                <w:color w:val="auto"/>
                <w:kern w:val="0"/>
                <w:szCs w:val="21"/>
                <w:highlight w:val="none"/>
                <w:lang w:val="en-US" w:eastAsia="zh-CN"/>
              </w:rPr>
              <w:t>履约担保</w:t>
            </w:r>
          </w:p>
        </w:tc>
        <w:tc>
          <w:tcPr>
            <w:tcW w:w="648" w:type="pct"/>
            <w:vAlign w:val="center"/>
          </w:tcPr>
          <w:p w14:paraId="0074A70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1700" w:type="pct"/>
            <w:vAlign w:val="center"/>
          </w:tcPr>
          <w:p w14:paraId="5583B73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24427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91" w:type="pct"/>
            <w:vAlign w:val="center"/>
          </w:tcPr>
          <w:p w14:paraId="27F89749">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8</w:t>
            </w:r>
          </w:p>
        </w:tc>
        <w:tc>
          <w:tcPr>
            <w:tcW w:w="687" w:type="pct"/>
            <w:vAlign w:val="center"/>
          </w:tcPr>
          <w:p w14:paraId="1D96FB6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eastAsia="宋体" w:cs="宋体"/>
                <w:color w:val="auto"/>
                <w:sz w:val="21"/>
                <w:szCs w:val="21"/>
                <w:highlight w:val="none"/>
                <w:lang w:eastAsia="zh-CN"/>
              </w:rPr>
              <w:t>第</w:t>
            </w:r>
            <w:r>
              <w:rPr>
                <w:rFonts w:hint="eastAsia" w:ascii="宋体" w:eastAsia="宋体" w:cs="宋体"/>
                <w:color w:val="auto"/>
                <w:sz w:val="21"/>
                <w:szCs w:val="21"/>
                <w:highlight w:val="none"/>
                <w:lang w:val="en-US" w:eastAsia="zh-CN"/>
              </w:rPr>
              <w:t>八</w:t>
            </w:r>
            <w:r>
              <w:rPr>
                <w:rFonts w:hint="eastAsia" w:ascii="宋体" w:eastAsia="宋体" w:cs="宋体"/>
                <w:color w:val="auto"/>
                <w:sz w:val="21"/>
                <w:szCs w:val="21"/>
                <w:highlight w:val="none"/>
                <w:lang w:eastAsia="zh-CN"/>
              </w:rPr>
              <w:t>条</w:t>
            </w:r>
          </w:p>
        </w:tc>
        <w:tc>
          <w:tcPr>
            <w:tcW w:w="1473" w:type="pct"/>
            <w:vAlign w:val="center"/>
          </w:tcPr>
          <w:p w14:paraId="55A6C4F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b w:val="0"/>
                <w:bCs/>
                <w:color w:val="auto"/>
                <w:kern w:val="0"/>
                <w:szCs w:val="21"/>
                <w:highlight w:val="none"/>
              </w:rPr>
            </w:pPr>
            <w:r>
              <w:rPr>
                <w:rFonts w:hint="eastAsia" w:ascii="宋体" w:hAnsi="宋体" w:eastAsia="宋体" w:cs="Times New Roman"/>
                <w:b w:val="0"/>
                <w:bCs/>
                <w:color w:val="auto"/>
                <w:kern w:val="0"/>
                <w:szCs w:val="21"/>
                <w:highlight w:val="none"/>
                <w:lang w:val="en-US" w:eastAsia="zh-CN"/>
              </w:rPr>
              <w:t>违约责任</w:t>
            </w:r>
          </w:p>
        </w:tc>
        <w:tc>
          <w:tcPr>
            <w:tcW w:w="648" w:type="pct"/>
            <w:vAlign w:val="center"/>
          </w:tcPr>
          <w:p w14:paraId="5A57D4D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1700" w:type="pct"/>
            <w:vAlign w:val="center"/>
          </w:tcPr>
          <w:p w14:paraId="151636F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4C756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91" w:type="pct"/>
            <w:vAlign w:val="center"/>
          </w:tcPr>
          <w:p w14:paraId="0997A7BA">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9</w:t>
            </w:r>
          </w:p>
        </w:tc>
        <w:tc>
          <w:tcPr>
            <w:tcW w:w="687" w:type="pct"/>
            <w:vAlign w:val="center"/>
          </w:tcPr>
          <w:p w14:paraId="034F375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eastAsia="宋体" w:cs="宋体"/>
                <w:color w:val="auto"/>
                <w:sz w:val="21"/>
                <w:szCs w:val="21"/>
                <w:highlight w:val="none"/>
                <w:lang w:eastAsia="zh-CN"/>
              </w:rPr>
              <w:t>第</w:t>
            </w:r>
            <w:r>
              <w:rPr>
                <w:rFonts w:hint="eastAsia" w:ascii="宋体" w:eastAsia="宋体" w:cs="宋体"/>
                <w:color w:val="auto"/>
                <w:sz w:val="21"/>
                <w:szCs w:val="21"/>
                <w:highlight w:val="none"/>
                <w:lang w:val="en-US" w:eastAsia="zh-CN"/>
              </w:rPr>
              <w:t>九</w:t>
            </w:r>
            <w:r>
              <w:rPr>
                <w:rFonts w:hint="eastAsia" w:ascii="宋体" w:eastAsia="宋体" w:cs="宋体"/>
                <w:color w:val="auto"/>
                <w:sz w:val="21"/>
                <w:szCs w:val="21"/>
                <w:highlight w:val="none"/>
                <w:lang w:eastAsia="zh-CN"/>
              </w:rPr>
              <w:t>条</w:t>
            </w:r>
          </w:p>
        </w:tc>
        <w:tc>
          <w:tcPr>
            <w:tcW w:w="1473" w:type="pct"/>
            <w:vAlign w:val="center"/>
          </w:tcPr>
          <w:p w14:paraId="16071C1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b w:val="0"/>
                <w:bCs/>
                <w:color w:val="auto"/>
                <w:kern w:val="0"/>
                <w:szCs w:val="21"/>
                <w:highlight w:val="none"/>
              </w:rPr>
            </w:pPr>
            <w:r>
              <w:rPr>
                <w:rFonts w:hint="eastAsia" w:ascii="宋体" w:hAnsi="宋体" w:eastAsia="宋体" w:cs="Times New Roman"/>
                <w:b w:val="0"/>
                <w:bCs/>
                <w:color w:val="auto"/>
                <w:kern w:val="0"/>
                <w:szCs w:val="21"/>
                <w:highlight w:val="none"/>
                <w:lang w:val="en-US" w:eastAsia="zh-CN"/>
              </w:rPr>
              <w:t xml:space="preserve">争议或纠纷处理 </w:t>
            </w:r>
          </w:p>
        </w:tc>
        <w:tc>
          <w:tcPr>
            <w:tcW w:w="648" w:type="pct"/>
            <w:vAlign w:val="center"/>
          </w:tcPr>
          <w:p w14:paraId="198E1B9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1700" w:type="pct"/>
            <w:vAlign w:val="center"/>
          </w:tcPr>
          <w:p w14:paraId="35277A9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0E563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91" w:type="pct"/>
            <w:vAlign w:val="center"/>
          </w:tcPr>
          <w:p w14:paraId="50DDF79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10</w:t>
            </w:r>
          </w:p>
        </w:tc>
        <w:tc>
          <w:tcPr>
            <w:tcW w:w="687" w:type="pct"/>
            <w:vAlign w:val="center"/>
          </w:tcPr>
          <w:p w14:paraId="461483E3">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eastAsia="宋体" w:cs="宋体"/>
                <w:color w:val="auto"/>
                <w:sz w:val="21"/>
                <w:szCs w:val="21"/>
                <w:highlight w:val="none"/>
                <w:lang w:eastAsia="zh-CN"/>
              </w:rPr>
            </w:pPr>
            <w:r>
              <w:rPr>
                <w:rFonts w:hint="eastAsia" w:ascii="宋体" w:eastAsia="宋体" w:cs="宋体"/>
                <w:color w:val="auto"/>
                <w:sz w:val="21"/>
                <w:szCs w:val="21"/>
                <w:highlight w:val="none"/>
                <w:lang w:eastAsia="zh-CN"/>
              </w:rPr>
              <w:t>第十条</w:t>
            </w:r>
          </w:p>
        </w:tc>
        <w:tc>
          <w:tcPr>
            <w:tcW w:w="1473" w:type="pct"/>
            <w:vAlign w:val="center"/>
          </w:tcPr>
          <w:p w14:paraId="69586C51">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Times New Roman"/>
                <w:b w:val="0"/>
                <w:bCs/>
                <w:color w:val="auto"/>
                <w:kern w:val="0"/>
                <w:szCs w:val="21"/>
                <w:highlight w:val="none"/>
                <w:lang w:val="en-US" w:eastAsia="zh-CN"/>
              </w:rPr>
            </w:pPr>
            <w:r>
              <w:rPr>
                <w:rFonts w:hint="eastAsia" w:ascii="宋体" w:hAnsi="宋体" w:eastAsia="宋体" w:cs="Times New Roman"/>
                <w:b w:val="0"/>
                <w:bCs/>
                <w:color w:val="auto"/>
                <w:kern w:val="0"/>
                <w:szCs w:val="21"/>
                <w:highlight w:val="none"/>
                <w:lang w:val="en-US" w:eastAsia="zh-CN"/>
              </w:rPr>
              <w:t>不可抗力</w:t>
            </w:r>
          </w:p>
        </w:tc>
        <w:tc>
          <w:tcPr>
            <w:tcW w:w="648" w:type="pct"/>
            <w:vAlign w:val="center"/>
          </w:tcPr>
          <w:p w14:paraId="5FFF489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1700" w:type="pct"/>
            <w:vAlign w:val="center"/>
          </w:tcPr>
          <w:p w14:paraId="1E33DA8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0E670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91" w:type="pct"/>
            <w:vAlign w:val="center"/>
          </w:tcPr>
          <w:p w14:paraId="514689E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11</w:t>
            </w:r>
          </w:p>
        </w:tc>
        <w:tc>
          <w:tcPr>
            <w:tcW w:w="687" w:type="pct"/>
            <w:vAlign w:val="center"/>
          </w:tcPr>
          <w:p w14:paraId="7E249BD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eastAsia="宋体" w:cs="宋体"/>
                <w:color w:val="auto"/>
                <w:sz w:val="21"/>
                <w:szCs w:val="21"/>
                <w:highlight w:val="none"/>
                <w:lang w:eastAsia="zh-CN"/>
              </w:rPr>
              <w:t>第十</w:t>
            </w:r>
            <w:r>
              <w:rPr>
                <w:rFonts w:hint="eastAsia" w:ascii="宋体" w:eastAsia="宋体" w:cs="宋体"/>
                <w:color w:val="auto"/>
                <w:sz w:val="21"/>
                <w:szCs w:val="21"/>
                <w:highlight w:val="none"/>
                <w:lang w:val="en-US" w:eastAsia="zh-CN"/>
              </w:rPr>
              <w:t>一</w:t>
            </w:r>
            <w:r>
              <w:rPr>
                <w:rFonts w:hint="eastAsia" w:ascii="宋体" w:eastAsia="宋体" w:cs="宋体"/>
                <w:color w:val="auto"/>
                <w:sz w:val="21"/>
                <w:szCs w:val="21"/>
                <w:highlight w:val="none"/>
                <w:lang w:eastAsia="zh-CN"/>
              </w:rPr>
              <w:t>条</w:t>
            </w:r>
          </w:p>
        </w:tc>
        <w:tc>
          <w:tcPr>
            <w:tcW w:w="1473" w:type="pct"/>
            <w:vAlign w:val="center"/>
          </w:tcPr>
          <w:p w14:paraId="2166FD7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b w:val="0"/>
                <w:bCs/>
                <w:color w:val="auto"/>
                <w:kern w:val="0"/>
                <w:szCs w:val="21"/>
                <w:highlight w:val="none"/>
              </w:rPr>
            </w:pPr>
            <w:r>
              <w:rPr>
                <w:rFonts w:hint="eastAsia" w:ascii="宋体" w:hAnsi="宋体" w:eastAsia="宋体" w:cs="宋体"/>
                <w:b w:val="0"/>
                <w:bCs/>
                <w:color w:val="auto"/>
                <w:szCs w:val="21"/>
                <w:highlight w:val="none"/>
              </w:rPr>
              <w:t>其他</w:t>
            </w:r>
          </w:p>
        </w:tc>
        <w:tc>
          <w:tcPr>
            <w:tcW w:w="648" w:type="pct"/>
            <w:vAlign w:val="center"/>
          </w:tcPr>
          <w:p w14:paraId="1ED3E07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1700" w:type="pct"/>
            <w:vAlign w:val="center"/>
          </w:tcPr>
          <w:p w14:paraId="351C6E6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221CB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91" w:type="pct"/>
            <w:vAlign w:val="center"/>
          </w:tcPr>
          <w:p w14:paraId="271F0EF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12</w:t>
            </w:r>
          </w:p>
        </w:tc>
        <w:tc>
          <w:tcPr>
            <w:tcW w:w="687" w:type="pct"/>
            <w:vAlign w:val="center"/>
          </w:tcPr>
          <w:p w14:paraId="58597274">
            <w:pPr>
              <w:pStyle w:val="62"/>
              <w:keepNext w:val="0"/>
              <w:keepLines w:val="0"/>
              <w:suppressLineNumbers w:val="0"/>
              <w:snapToGrid w:val="0"/>
              <w:spacing w:before="0" w:beforeAutospacing="0" w:after="0" w:afterAutospacing="0" w:line="240" w:lineRule="auto"/>
              <w:ind w:left="0" w:leftChars="0" w:right="0" w:rightChars="0" w:firstLine="0" w:firstLineChars="0"/>
              <w:jc w:val="center"/>
              <w:outlineLvl w:val="9"/>
              <w:rPr>
                <w:rFonts w:hint="eastAsia" w:ascii="宋体" w:eastAsia="宋体" w:cs="宋体"/>
                <w:color w:val="auto"/>
                <w:sz w:val="21"/>
                <w:szCs w:val="21"/>
                <w:highlight w:val="none"/>
                <w:lang w:eastAsia="zh-CN"/>
              </w:rPr>
            </w:pPr>
            <w:r>
              <w:rPr>
                <w:rFonts w:hint="eastAsia" w:ascii="宋体" w:hAnsi="宋体" w:eastAsia="宋体" w:cs="宋体"/>
                <w:color w:val="auto"/>
                <w:sz w:val="21"/>
                <w:szCs w:val="21"/>
                <w:highlight w:val="none"/>
              </w:rPr>
              <w:t>附件</w:t>
            </w:r>
            <w:r>
              <w:rPr>
                <w:rFonts w:hint="eastAsia" w:ascii="宋体" w:hAnsi="宋体" w:eastAsia="宋体" w:cs="宋体"/>
                <w:color w:val="auto"/>
                <w:sz w:val="21"/>
                <w:szCs w:val="21"/>
                <w:highlight w:val="none"/>
                <w:lang w:val="en-US" w:eastAsia="zh-CN"/>
              </w:rPr>
              <w:t>1</w:t>
            </w:r>
          </w:p>
        </w:tc>
        <w:tc>
          <w:tcPr>
            <w:tcW w:w="1473" w:type="pct"/>
            <w:vAlign w:val="center"/>
          </w:tcPr>
          <w:p w14:paraId="6BD33562">
            <w:pPr>
              <w:pStyle w:val="62"/>
              <w:keepNext w:val="0"/>
              <w:keepLines w:val="0"/>
              <w:suppressLineNumbers w:val="0"/>
              <w:snapToGrid w:val="0"/>
              <w:spacing w:before="0" w:beforeAutospacing="0" w:after="0" w:afterAutospacing="0" w:line="240" w:lineRule="auto"/>
              <w:ind w:left="0" w:leftChars="0" w:right="0" w:rightChars="0" w:firstLine="0" w:firstLineChars="0"/>
              <w:jc w:val="center"/>
              <w:outlineLvl w:val="9"/>
              <w:rPr>
                <w:rFonts w:hint="eastAsia" w:ascii="宋体" w:hAnsi="宋体" w:eastAsia="宋体" w:cs="Times New Roman"/>
                <w:color w:val="auto"/>
                <w:kern w:val="0"/>
                <w:szCs w:val="21"/>
                <w:highlight w:val="none"/>
                <w:lang w:val="en-US" w:eastAsia="zh-CN"/>
              </w:rPr>
            </w:pPr>
            <w:r>
              <w:rPr>
                <w:rFonts w:hint="eastAsia" w:ascii="宋体" w:hAnsi="宋体" w:eastAsia="宋体" w:cs="宋体"/>
                <w:color w:val="auto"/>
                <w:sz w:val="21"/>
                <w:szCs w:val="21"/>
                <w:highlight w:val="none"/>
              </w:rPr>
              <w:t>廉洁协议书</w:t>
            </w:r>
          </w:p>
        </w:tc>
        <w:tc>
          <w:tcPr>
            <w:tcW w:w="648" w:type="pct"/>
            <w:vAlign w:val="center"/>
          </w:tcPr>
          <w:p w14:paraId="3F9D59B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1700" w:type="pct"/>
            <w:vAlign w:val="center"/>
          </w:tcPr>
          <w:p w14:paraId="67EDAEA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09C8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91" w:type="pct"/>
            <w:vAlign w:val="center"/>
          </w:tcPr>
          <w:p w14:paraId="7D09661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13</w:t>
            </w:r>
          </w:p>
        </w:tc>
        <w:tc>
          <w:tcPr>
            <w:tcW w:w="687" w:type="pct"/>
            <w:vAlign w:val="center"/>
          </w:tcPr>
          <w:p w14:paraId="468D139A">
            <w:pPr>
              <w:pStyle w:val="62"/>
              <w:keepNext w:val="0"/>
              <w:keepLines w:val="0"/>
              <w:suppressLineNumbers w:val="0"/>
              <w:snapToGrid w:val="0"/>
              <w:spacing w:before="0" w:beforeAutospacing="0" w:after="0" w:afterAutospacing="0" w:line="240" w:lineRule="auto"/>
              <w:ind w:left="0" w:leftChars="0" w:right="0" w:rightChars="0" w:firstLine="0" w:firstLineChars="0"/>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sz w:val="21"/>
                <w:szCs w:val="21"/>
                <w:highlight w:val="none"/>
              </w:rPr>
              <w:t>附件</w:t>
            </w:r>
            <w:r>
              <w:rPr>
                <w:rFonts w:hint="eastAsia" w:ascii="宋体" w:eastAsia="宋体" w:cs="宋体"/>
                <w:color w:val="auto"/>
                <w:sz w:val="21"/>
                <w:szCs w:val="21"/>
                <w:highlight w:val="none"/>
                <w:lang w:val="en-US" w:eastAsia="zh-CN"/>
              </w:rPr>
              <w:t>2</w:t>
            </w:r>
          </w:p>
        </w:tc>
        <w:tc>
          <w:tcPr>
            <w:tcW w:w="1473" w:type="pct"/>
            <w:vAlign w:val="center"/>
          </w:tcPr>
          <w:p w14:paraId="36FD1290">
            <w:pPr>
              <w:pStyle w:val="62"/>
              <w:keepNext w:val="0"/>
              <w:keepLines w:val="0"/>
              <w:suppressLineNumbers w:val="0"/>
              <w:snapToGrid w:val="0"/>
              <w:spacing w:before="0" w:beforeAutospacing="0" w:after="0" w:afterAutospacing="0" w:line="240" w:lineRule="auto"/>
              <w:ind w:left="0" w:leftChars="0" w:right="0" w:rightChars="0" w:firstLine="0" w:firstLineChars="0"/>
              <w:jc w:val="center"/>
              <w:outlineLvl w:val="9"/>
              <w:rPr>
                <w:rFonts w:hint="default" w:ascii="宋体" w:hAnsi="宋体" w:eastAsia="宋体" w:cs="Times New Roman"/>
                <w:color w:val="auto"/>
                <w:kern w:val="0"/>
                <w:szCs w:val="21"/>
                <w:highlight w:val="none"/>
              </w:rPr>
            </w:pPr>
            <w:r>
              <w:rPr>
                <w:rFonts w:hint="eastAsia" w:ascii="宋体" w:hAnsi="宋体" w:eastAsia="宋体" w:cs="宋体"/>
                <w:color w:val="auto"/>
                <w:sz w:val="21"/>
                <w:szCs w:val="21"/>
                <w:highlight w:val="none"/>
                <w:lang w:eastAsia="zh-CN"/>
              </w:rPr>
              <w:t>安全生产管理协议</w:t>
            </w:r>
          </w:p>
        </w:tc>
        <w:tc>
          <w:tcPr>
            <w:tcW w:w="648" w:type="pct"/>
            <w:vAlign w:val="center"/>
          </w:tcPr>
          <w:p w14:paraId="0F78E72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1700" w:type="pct"/>
            <w:vAlign w:val="center"/>
          </w:tcPr>
          <w:p w14:paraId="315561D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6ADE9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91" w:type="pct"/>
            <w:vAlign w:val="center"/>
          </w:tcPr>
          <w:p w14:paraId="1C5E7A9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14</w:t>
            </w:r>
          </w:p>
        </w:tc>
        <w:tc>
          <w:tcPr>
            <w:tcW w:w="687" w:type="pct"/>
            <w:vAlign w:val="center"/>
          </w:tcPr>
          <w:p w14:paraId="376F92BE">
            <w:pPr>
              <w:pStyle w:val="62"/>
              <w:keepNext w:val="0"/>
              <w:keepLines w:val="0"/>
              <w:suppressLineNumbers w:val="0"/>
              <w:snapToGrid w:val="0"/>
              <w:spacing w:before="0" w:beforeAutospacing="0" w:after="0" w:afterAutospacing="0" w:line="240" w:lineRule="auto"/>
              <w:ind w:left="0" w:leftChars="0" w:right="0" w:rightChars="0" w:firstLine="0" w:firstLineChars="0"/>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附件</w:t>
            </w:r>
            <w:r>
              <w:rPr>
                <w:rFonts w:hint="eastAsia" w:ascii="宋体" w:eastAsia="宋体" w:cs="宋体"/>
                <w:color w:val="auto"/>
                <w:sz w:val="21"/>
                <w:szCs w:val="21"/>
                <w:highlight w:val="none"/>
                <w:lang w:val="en-US" w:eastAsia="zh-CN"/>
              </w:rPr>
              <w:t>4</w:t>
            </w:r>
          </w:p>
        </w:tc>
        <w:tc>
          <w:tcPr>
            <w:tcW w:w="1473" w:type="pct"/>
            <w:vAlign w:val="center"/>
          </w:tcPr>
          <w:p w14:paraId="66D08BE4">
            <w:pPr>
              <w:pStyle w:val="62"/>
              <w:keepNext w:val="0"/>
              <w:keepLines w:val="0"/>
              <w:suppressLineNumbers w:val="0"/>
              <w:snapToGrid w:val="0"/>
              <w:spacing w:before="0" w:beforeAutospacing="0" w:after="0" w:afterAutospacing="0" w:line="240" w:lineRule="auto"/>
              <w:ind w:left="0" w:leftChars="0" w:right="0" w:rightChars="0" w:firstLine="0" w:firstLineChars="0"/>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服务单位履约评价表</w:t>
            </w:r>
          </w:p>
        </w:tc>
        <w:tc>
          <w:tcPr>
            <w:tcW w:w="648" w:type="pct"/>
            <w:vAlign w:val="center"/>
          </w:tcPr>
          <w:p w14:paraId="57CB461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1700" w:type="pct"/>
            <w:vAlign w:val="center"/>
          </w:tcPr>
          <w:p w14:paraId="4AD47C0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63782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91" w:type="pct"/>
            <w:vAlign w:val="center"/>
          </w:tcPr>
          <w:p w14:paraId="7F7AF09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15</w:t>
            </w:r>
          </w:p>
        </w:tc>
        <w:tc>
          <w:tcPr>
            <w:tcW w:w="687" w:type="pct"/>
            <w:vAlign w:val="center"/>
          </w:tcPr>
          <w:p w14:paraId="40D50983">
            <w:pPr>
              <w:pStyle w:val="62"/>
              <w:keepNext w:val="0"/>
              <w:keepLines w:val="0"/>
              <w:suppressLineNumbers w:val="0"/>
              <w:snapToGrid w:val="0"/>
              <w:spacing w:before="0" w:beforeAutospacing="0" w:after="0" w:afterAutospacing="0" w:line="240" w:lineRule="auto"/>
              <w:ind w:left="0" w:leftChars="0" w:right="0" w:rightChars="0" w:firstLine="0" w:firstLine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p>
        </w:tc>
        <w:tc>
          <w:tcPr>
            <w:tcW w:w="1473" w:type="pct"/>
            <w:vAlign w:val="center"/>
          </w:tcPr>
          <w:p w14:paraId="64C9791F">
            <w:pPr>
              <w:pStyle w:val="62"/>
              <w:keepNext w:val="0"/>
              <w:keepLines w:val="0"/>
              <w:suppressLineNumbers w:val="0"/>
              <w:snapToGrid w:val="0"/>
              <w:spacing w:before="0" w:beforeAutospacing="0" w:after="0" w:afterAutospacing="0" w:line="240" w:lineRule="auto"/>
              <w:ind w:left="0" w:leftChars="0" w:right="0" w:rightChars="0" w:firstLine="0" w:firstLineChars="0"/>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不可撤销银行履约保函</w:t>
            </w:r>
          </w:p>
        </w:tc>
        <w:tc>
          <w:tcPr>
            <w:tcW w:w="648" w:type="pct"/>
            <w:vAlign w:val="center"/>
          </w:tcPr>
          <w:p w14:paraId="1B79772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1700" w:type="pct"/>
            <w:vAlign w:val="center"/>
          </w:tcPr>
          <w:p w14:paraId="2EC7964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3F078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91" w:type="pct"/>
            <w:vAlign w:val="center"/>
          </w:tcPr>
          <w:p w14:paraId="7AD4E0F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16</w:t>
            </w:r>
          </w:p>
        </w:tc>
        <w:tc>
          <w:tcPr>
            <w:tcW w:w="687" w:type="pct"/>
            <w:vAlign w:val="center"/>
          </w:tcPr>
          <w:p w14:paraId="16A79BD8">
            <w:pPr>
              <w:pStyle w:val="62"/>
              <w:keepNext w:val="0"/>
              <w:keepLines w:val="0"/>
              <w:suppressLineNumbers w:val="0"/>
              <w:snapToGrid w:val="0"/>
              <w:spacing w:before="0" w:beforeAutospacing="0" w:after="0" w:afterAutospacing="0" w:line="240" w:lineRule="auto"/>
              <w:ind w:left="0" w:leftChars="0" w:right="0" w:rightChars="0" w:firstLine="0" w:firstLine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w:t>
            </w:r>
          </w:p>
        </w:tc>
        <w:tc>
          <w:tcPr>
            <w:tcW w:w="1473" w:type="pct"/>
            <w:vAlign w:val="center"/>
          </w:tcPr>
          <w:p w14:paraId="62619E17">
            <w:pPr>
              <w:pStyle w:val="62"/>
              <w:keepNext w:val="0"/>
              <w:keepLines w:val="0"/>
              <w:suppressLineNumbers w:val="0"/>
              <w:snapToGrid w:val="0"/>
              <w:spacing w:before="0" w:beforeAutospacing="0" w:after="0" w:afterAutospacing="0" w:line="240" w:lineRule="auto"/>
              <w:ind w:left="0" w:leftChars="0" w:right="0" w:rightChars="0" w:firstLine="0" w:firstLineChars="0"/>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履约保证保险凭证</w:t>
            </w:r>
          </w:p>
        </w:tc>
        <w:tc>
          <w:tcPr>
            <w:tcW w:w="648" w:type="pct"/>
            <w:vAlign w:val="center"/>
          </w:tcPr>
          <w:p w14:paraId="2A94436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1700" w:type="pct"/>
            <w:vAlign w:val="center"/>
          </w:tcPr>
          <w:p w14:paraId="4720143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3C276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491" w:type="pct"/>
            <w:vAlign w:val="center"/>
          </w:tcPr>
          <w:p w14:paraId="65F7709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17</w:t>
            </w:r>
          </w:p>
        </w:tc>
        <w:tc>
          <w:tcPr>
            <w:tcW w:w="687" w:type="pct"/>
            <w:vAlign w:val="center"/>
          </w:tcPr>
          <w:p w14:paraId="6AABA5D2">
            <w:pPr>
              <w:pStyle w:val="62"/>
              <w:keepNext w:val="0"/>
              <w:keepLines w:val="0"/>
              <w:suppressLineNumbers w:val="0"/>
              <w:snapToGrid w:val="0"/>
              <w:spacing w:before="0" w:beforeAutospacing="0" w:after="0" w:afterAutospacing="0" w:line="240" w:lineRule="auto"/>
              <w:ind w:left="0" w:leftChars="0" w:right="0" w:rightChars="0" w:firstLine="0" w:firstLineChars="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w:t>
            </w:r>
          </w:p>
        </w:tc>
        <w:tc>
          <w:tcPr>
            <w:tcW w:w="1473" w:type="pct"/>
            <w:vAlign w:val="center"/>
          </w:tcPr>
          <w:p w14:paraId="50C29B27">
            <w:pPr>
              <w:pStyle w:val="62"/>
              <w:keepNext w:val="0"/>
              <w:keepLines w:val="0"/>
              <w:suppressLineNumbers w:val="0"/>
              <w:snapToGrid w:val="0"/>
              <w:spacing w:before="0" w:beforeAutospacing="0" w:after="0" w:afterAutospacing="0" w:line="240" w:lineRule="auto"/>
              <w:ind w:left="0" w:leftChars="0" w:right="0" w:rightChars="0" w:firstLine="0" w:firstLineChars="0"/>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担保公司履约担保书</w:t>
            </w:r>
          </w:p>
        </w:tc>
        <w:tc>
          <w:tcPr>
            <w:tcW w:w="648" w:type="pct"/>
            <w:vAlign w:val="center"/>
          </w:tcPr>
          <w:p w14:paraId="65E2A4C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1700" w:type="pct"/>
            <w:vAlign w:val="center"/>
          </w:tcPr>
          <w:p w14:paraId="0045D0D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bl>
    <w:p w14:paraId="398CA059">
      <w:pPr>
        <w:autoSpaceDE w:val="0"/>
        <w:autoSpaceDN w:val="0"/>
        <w:adjustRightInd w:val="0"/>
        <w:snapToGrid w:val="0"/>
        <w:spacing w:line="360" w:lineRule="auto"/>
        <w:ind w:left="186" w:leftChars="-158" w:hanging="518" w:hangingChars="247"/>
        <w:jc w:val="left"/>
        <w:rPr>
          <w:rFonts w:ascii="宋体" w:hAnsi="宋体" w:eastAsia="宋体" w:cs="Times New Roman"/>
          <w:color w:val="auto"/>
          <w:szCs w:val="24"/>
          <w:highlight w:val="none"/>
          <w:lang w:val="zh-CN"/>
        </w:rPr>
      </w:pPr>
    </w:p>
    <w:p w14:paraId="510FAD8B">
      <w:pPr>
        <w:autoSpaceDE w:val="0"/>
        <w:autoSpaceDN w:val="0"/>
        <w:adjustRightInd w:val="0"/>
        <w:snapToGrid w:val="0"/>
        <w:spacing w:line="360" w:lineRule="auto"/>
        <w:ind w:left="166" w:leftChars="-101" w:hanging="378" w:hangingChars="18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备注：</w:t>
      </w:r>
    </w:p>
    <w:p w14:paraId="3514E721">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Times New Roman"/>
          <w:b/>
          <w:color w:val="auto"/>
          <w:kern w:val="0"/>
          <w:szCs w:val="21"/>
          <w:highlight w:val="none"/>
          <w:u w:val="single"/>
        </w:rPr>
        <w:t>投标人应对照招标文件合同格式内合同条款及附件，逐条、如实地填写“偏离情况”项。“偏离情况”项为正偏离（或负偏离）的，必须在“具体偏离内容”项内详细说明与招标文件的偏离内容，“偏离情况”项为无偏离的，在“具体偏离内容”项内填“无”。若发现虚假填写本表，或对合同及其附件响应有负偏离的，按无效投标文件处理。若发现此表未逐条填写视为完全满足招标文件要求</w:t>
      </w:r>
      <w:r>
        <w:rPr>
          <w:rFonts w:hint="eastAsia" w:ascii="宋体" w:hAnsi="宋体" w:eastAsia="宋体" w:cs="Times New Roman"/>
          <w:b/>
          <w:color w:val="auto"/>
          <w:kern w:val="0"/>
          <w:szCs w:val="21"/>
          <w:highlight w:val="none"/>
        </w:rPr>
        <w:t>。</w:t>
      </w:r>
    </w:p>
    <w:p w14:paraId="6B75D216">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（2）偏离情况（投标文件对招标文件合同条款的响应程度）分为：正偏离、负偏离、无偏离。正偏离是指投标人提供的</w:t>
      </w:r>
      <w:r>
        <w:rPr>
          <w:rFonts w:hint="eastAsia" w:ascii="宋体" w:hAnsi="宋体" w:eastAsia="宋体" w:cs="宋体"/>
          <w:color w:val="auto"/>
          <w:szCs w:val="21"/>
          <w:highlight w:val="none"/>
          <w:lang w:val="en-US" w:eastAsia="zh-CN"/>
        </w:rPr>
        <w:t>相关服务</w:t>
      </w:r>
      <w:r>
        <w:rPr>
          <w:rFonts w:hint="eastAsia" w:ascii="宋体" w:hAnsi="宋体" w:eastAsia="宋体" w:cs="宋体"/>
          <w:color w:val="auto"/>
          <w:szCs w:val="21"/>
          <w:highlight w:val="none"/>
        </w:rPr>
        <w:t>商务条件优于招标文件的要求；负偏离是指投标人提供的</w:t>
      </w:r>
      <w:r>
        <w:rPr>
          <w:rFonts w:hint="eastAsia" w:ascii="宋体" w:hAnsi="宋体" w:eastAsia="宋体" w:cs="宋体"/>
          <w:color w:val="auto"/>
          <w:szCs w:val="21"/>
          <w:highlight w:val="none"/>
          <w:lang w:val="en-US" w:eastAsia="zh-CN"/>
        </w:rPr>
        <w:t>相关服务</w:t>
      </w:r>
      <w:r>
        <w:rPr>
          <w:rFonts w:hint="eastAsia" w:ascii="宋体" w:hAnsi="宋体" w:eastAsia="宋体" w:cs="宋体"/>
          <w:color w:val="auto"/>
          <w:szCs w:val="21"/>
          <w:highlight w:val="none"/>
        </w:rPr>
        <w:t>商务条件不满足或不完全满足招标文件的要求；无偏离是指投标人提供的</w:t>
      </w:r>
      <w:r>
        <w:rPr>
          <w:rFonts w:hint="eastAsia" w:ascii="宋体" w:hAnsi="宋体" w:eastAsia="宋体" w:cs="宋体"/>
          <w:color w:val="auto"/>
          <w:szCs w:val="21"/>
          <w:highlight w:val="none"/>
          <w:lang w:val="en-US" w:eastAsia="zh-CN"/>
        </w:rPr>
        <w:t>相关服务</w:t>
      </w:r>
      <w:r>
        <w:rPr>
          <w:rFonts w:hint="eastAsia" w:ascii="宋体" w:hAnsi="宋体" w:eastAsia="宋体" w:cs="宋体"/>
          <w:color w:val="auto"/>
          <w:szCs w:val="21"/>
          <w:highlight w:val="none"/>
        </w:rPr>
        <w:t>商务条件完全满足招标文件的要求。</w:t>
      </w:r>
    </w:p>
    <w:p w14:paraId="372F63E7">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3）招标文件“第五篇 相关保函格式”作为重要的商务条款，投标人的响应情况列入本合同条款偏离表。</w:t>
      </w:r>
    </w:p>
    <w:p w14:paraId="2D54A1DF">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4</w:t>
      </w:r>
      <w:r>
        <w:rPr>
          <w:rFonts w:hint="eastAsia" w:ascii="宋体" w:hAnsi="宋体" w:eastAsia="宋体" w:cs="宋体"/>
          <w:color w:val="auto"/>
          <w:szCs w:val="21"/>
          <w:highlight w:val="none"/>
        </w:rPr>
        <w:t>）如投标人差异内容较多可另附页说明，并在本偏离表“具体偏离内容”项注明其在投标文件中的具体页码。</w:t>
      </w:r>
    </w:p>
    <w:p w14:paraId="3FA69E25">
      <w:pPr>
        <w:spacing w:line="360" w:lineRule="auto"/>
        <w:ind w:left="357" w:leftChars="-100" w:hanging="567" w:hangingChars="270"/>
        <w:rPr>
          <w:rFonts w:ascii="宋体" w:hAnsi="宋体" w:eastAsia="宋体" w:cs="宋体"/>
          <w:color w:val="auto"/>
          <w:szCs w:val="21"/>
          <w:highlight w:val="none"/>
        </w:rPr>
      </w:pPr>
    </w:p>
    <w:p w14:paraId="7B4F0A05">
      <w:pPr>
        <w:spacing w:line="360" w:lineRule="auto"/>
        <w:ind w:left="357" w:leftChars="-100" w:hanging="567" w:hangingChars="270"/>
        <w:rPr>
          <w:rFonts w:ascii="宋体" w:hAnsi="宋体" w:eastAsia="宋体" w:cs="宋体"/>
          <w:color w:val="auto"/>
          <w:szCs w:val="21"/>
          <w:highlight w:val="none"/>
        </w:rPr>
      </w:pPr>
    </w:p>
    <w:p w14:paraId="7D66B37E">
      <w:pPr>
        <w:spacing w:line="360" w:lineRule="auto"/>
        <w:ind w:left="357" w:leftChars="-100" w:hanging="567" w:hangingChars="270"/>
        <w:rPr>
          <w:rFonts w:ascii="宋体" w:hAnsi="宋体" w:eastAsia="宋体" w:cs="宋体"/>
          <w:color w:val="auto"/>
          <w:szCs w:val="21"/>
          <w:highlight w:val="none"/>
        </w:rPr>
      </w:pPr>
    </w:p>
    <w:p w14:paraId="60B60B41">
      <w:pPr>
        <w:spacing w:line="360" w:lineRule="auto"/>
        <w:ind w:right="368" w:rightChars="175" w:firstLine="5355" w:firstLineChars="2550"/>
        <w:jc w:val="left"/>
        <w:rPr>
          <w:rFonts w:ascii="宋体" w:hAnsi="宋体" w:eastAsia="宋体" w:cs="宋体"/>
          <w:color w:val="auto"/>
          <w:kern w:val="0"/>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lang w:val="zh-CN"/>
        </w:rPr>
        <w:t>（加盖投标人法人公章）</w:t>
      </w:r>
    </w:p>
    <w:p w14:paraId="5A9D10FD">
      <w:pPr>
        <w:autoSpaceDE w:val="0"/>
        <w:autoSpaceDN w:val="0"/>
        <w:adjustRightInd w:val="0"/>
        <w:spacing w:line="360" w:lineRule="auto"/>
        <w:ind w:firstLine="5355" w:firstLineChars="255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    期：  年  月  日</w:t>
      </w:r>
    </w:p>
    <w:p w14:paraId="204BA262">
      <w:pPr>
        <w:tabs>
          <w:tab w:val="left" w:pos="567"/>
        </w:tabs>
        <w:autoSpaceDE w:val="0"/>
        <w:autoSpaceDN w:val="0"/>
        <w:adjustRightInd w:val="0"/>
        <w:spacing w:line="360" w:lineRule="auto"/>
        <w:jc w:val="left"/>
        <w:outlineLvl w:val="2"/>
        <w:rPr>
          <w:rFonts w:ascii="宋体" w:hAnsi="宋体" w:eastAsia="宋体" w:cs="宋体"/>
          <w:b/>
          <w:color w:val="auto"/>
          <w:kern w:val="0"/>
          <w:sz w:val="32"/>
          <w:szCs w:val="32"/>
          <w:highlight w:val="none"/>
        </w:rPr>
      </w:pPr>
      <w:r>
        <w:rPr>
          <w:rFonts w:hint="eastAsia" w:ascii="宋体" w:hAnsi="宋体" w:eastAsia="宋体" w:cs="宋体"/>
          <w:b/>
          <w:bCs/>
          <w:color w:val="auto"/>
          <w:kern w:val="0"/>
          <w:sz w:val="30"/>
          <w:szCs w:val="30"/>
          <w:highlight w:val="none"/>
          <w:lang w:val="zh-CN"/>
        </w:rPr>
        <w:br w:type="page"/>
      </w:r>
      <w:bookmarkStart w:id="1036" w:name="_Toc102860426"/>
      <w:bookmarkStart w:id="1037" w:name="_Toc5473"/>
      <w:bookmarkStart w:id="1038" w:name="_Toc140596937"/>
      <w:bookmarkStart w:id="1039" w:name="_Toc15095"/>
      <w:bookmarkStart w:id="1040" w:name="_Toc142508377"/>
      <w:bookmarkStart w:id="1041" w:name="_Toc21064"/>
      <w:bookmarkStart w:id="1042" w:name="_Toc12095"/>
      <w:bookmarkStart w:id="1043" w:name="_Toc104991884"/>
      <w:bookmarkStart w:id="1044" w:name="_Toc31992"/>
      <w:bookmarkStart w:id="1045" w:name="_Toc102860082"/>
      <w:bookmarkStart w:id="1046" w:name="_Toc29505"/>
      <w:bookmarkStart w:id="1047" w:name="_Toc13179"/>
      <w:bookmarkStart w:id="1048" w:name="_Toc21022"/>
      <w:bookmarkStart w:id="1049" w:name="_Toc22309"/>
      <w:bookmarkStart w:id="1050" w:name="_Toc94107218"/>
      <w:bookmarkStart w:id="1051" w:name="_Toc27980_WPSOffice_Level2"/>
      <w:bookmarkStart w:id="1052" w:name="_Toc486167717"/>
      <w:r>
        <w:rPr>
          <w:rFonts w:hint="eastAsia" w:ascii="宋体" w:hAnsi="宋体" w:eastAsia="宋体" w:cs="宋体"/>
          <w:b/>
          <w:color w:val="auto"/>
          <w:kern w:val="0"/>
          <w:sz w:val="32"/>
          <w:szCs w:val="32"/>
          <w:highlight w:val="none"/>
          <w:lang w:val="en-US" w:eastAsia="zh-CN"/>
        </w:rPr>
        <w:t>九</w:t>
      </w:r>
      <w:r>
        <w:rPr>
          <w:rFonts w:hint="eastAsia" w:ascii="宋体" w:hAnsi="宋体" w:eastAsia="宋体" w:cs="宋体"/>
          <w:b/>
          <w:color w:val="auto"/>
          <w:kern w:val="0"/>
          <w:sz w:val="32"/>
          <w:szCs w:val="32"/>
          <w:highlight w:val="none"/>
        </w:rPr>
        <w:t>、业绩表格式</w:t>
      </w:r>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p>
    <w:p w14:paraId="6F115E88">
      <w:pPr>
        <w:autoSpaceDE w:val="0"/>
        <w:autoSpaceDN w:val="0"/>
        <w:adjustRightInd w:val="0"/>
        <w:spacing w:line="360" w:lineRule="auto"/>
        <w:ind w:firstLine="0"/>
        <w:jc w:val="center"/>
        <w:rPr>
          <w:rFonts w:hint="eastAsia" w:ascii="宋体" w:hAnsi="宋体" w:eastAsia="宋体" w:cs="Times New Roman"/>
          <w:b/>
          <w:bCs/>
          <w:color w:val="auto"/>
          <w:sz w:val="30"/>
          <w:szCs w:val="30"/>
          <w:highlight w:val="none"/>
          <w:lang w:val="zh-CN"/>
        </w:rPr>
      </w:pPr>
      <w:r>
        <w:rPr>
          <w:rFonts w:hint="eastAsia" w:ascii="宋体" w:hAnsi="宋体" w:eastAsia="宋体" w:cs="Times New Roman"/>
          <w:b/>
          <w:bCs/>
          <w:color w:val="auto"/>
          <w:sz w:val="30"/>
          <w:szCs w:val="30"/>
          <w:highlight w:val="none"/>
          <w:lang w:val="zh-CN"/>
        </w:rPr>
        <w:t>投标人</w:t>
      </w:r>
      <w:r>
        <w:rPr>
          <w:rFonts w:hint="eastAsia" w:ascii="宋体" w:hAnsi="宋体" w:eastAsia="宋体" w:cs="Times New Roman"/>
          <w:b/>
          <w:bCs/>
          <w:color w:val="auto"/>
          <w:sz w:val="30"/>
          <w:szCs w:val="30"/>
          <w:highlight w:val="none"/>
          <w:lang w:val="en-US" w:eastAsia="zh-CN"/>
        </w:rPr>
        <w:t>具有</w:t>
      </w:r>
      <w:r>
        <w:rPr>
          <w:rFonts w:hint="eastAsia" w:ascii="宋体" w:hAnsi="宋体" w:eastAsia="宋体" w:cs="Times New Roman"/>
          <w:b/>
          <w:bCs/>
          <w:color w:val="auto"/>
          <w:sz w:val="30"/>
          <w:szCs w:val="30"/>
          <w:highlight w:val="none"/>
          <w:lang w:val="zh-CN"/>
        </w:rPr>
        <w:t>已完成或正在执行运营服务的水质净化厂或生活污水处理厂污泥处理处置服务业绩表</w:t>
      </w:r>
      <w:r>
        <w:rPr>
          <w:rFonts w:hint="eastAsia" w:ascii="宋体" w:hAnsi="宋体" w:eastAsia="宋体" w:cs="Times New Roman"/>
          <w:b/>
          <w:bCs/>
          <w:color w:val="auto"/>
          <w:sz w:val="30"/>
          <w:szCs w:val="30"/>
          <w:highlight w:val="none"/>
          <w:lang w:val="zh-CN" w:eastAsia="zh-CN"/>
        </w:rPr>
        <w:t>（合同服务结束日期为2022年1月1日或以后）</w:t>
      </w:r>
    </w:p>
    <w:tbl>
      <w:tblPr>
        <w:tblStyle w:val="37"/>
        <w:tblW w:w="426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528"/>
        <w:gridCol w:w="1024"/>
        <w:gridCol w:w="1432"/>
        <w:gridCol w:w="956"/>
        <w:gridCol w:w="956"/>
        <w:gridCol w:w="956"/>
        <w:gridCol w:w="1114"/>
        <w:gridCol w:w="956"/>
        <w:gridCol w:w="788"/>
      </w:tblGrid>
      <w:tr w14:paraId="79CB9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627" w:hRule="exact"/>
          <w:jc w:val="center"/>
        </w:trPr>
        <w:tc>
          <w:tcPr>
            <w:tcW w:w="303" w:type="pct"/>
            <w:noWrap w:val="0"/>
            <w:vAlign w:val="center"/>
          </w:tcPr>
          <w:p w14:paraId="533B396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587" w:type="pct"/>
            <w:noWrap w:val="0"/>
            <w:vAlign w:val="center"/>
          </w:tcPr>
          <w:p w14:paraId="4C3F85F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821" w:type="pct"/>
            <w:noWrap w:val="0"/>
            <w:vAlign w:val="center"/>
          </w:tcPr>
          <w:p w14:paraId="71F2CC5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水质净化厂或生活污水处理厂</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lang w:eastAsia="zh-CN"/>
              </w:rPr>
              <w:t>污水设计或实际处理规模</w:t>
            </w:r>
          </w:p>
        </w:tc>
        <w:tc>
          <w:tcPr>
            <w:tcW w:w="548" w:type="pct"/>
            <w:noWrap w:val="0"/>
            <w:vAlign w:val="center"/>
          </w:tcPr>
          <w:p w14:paraId="3A180C3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服务内容</w:t>
            </w:r>
          </w:p>
        </w:tc>
        <w:tc>
          <w:tcPr>
            <w:tcW w:w="548" w:type="pct"/>
            <w:noWrap w:val="0"/>
            <w:vAlign w:val="center"/>
          </w:tcPr>
          <w:p w14:paraId="785E5F9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污泥类别</w:t>
            </w:r>
          </w:p>
        </w:tc>
        <w:tc>
          <w:tcPr>
            <w:tcW w:w="548" w:type="pct"/>
            <w:noWrap w:val="0"/>
            <w:vAlign w:val="center"/>
          </w:tcPr>
          <w:p w14:paraId="7E1F53A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w:t>
            </w:r>
            <w:r>
              <w:rPr>
                <w:rFonts w:hint="eastAsia" w:ascii="宋体" w:hAnsi="宋体" w:eastAsia="宋体" w:cs="宋体"/>
                <w:color w:val="auto"/>
                <w:sz w:val="21"/>
                <w:szCs w:val="21"/>
                <w:highlight w:val="none"/>
                <w:lang w:eastAsia="zh-CN"/>
              </w:rPr>
              <w:t>服务</w:t>
            </w:r>
            <w:r>
              <w:rPr>
                <w:rFonts w:hint="eastAsia" w:ascii="宋体" w:hAnsi="宋体" w:eastAsia="宋体" w:cs="宋体"/>
                <w:color w:val="auto"/>
                <w:sz w:val="21"/>
                <w:szCs w:val="21"/>
                <w:highlight w:val="none"/>
              </w:rPr>
              <w:t>期限</w:t>
            </w:r>
          </w:p>
        </w:tc>
        <w:tc>
          <w:tcPr>
            <w:tcW w:w="639" w:type="pct"/>
            <w:noWrap w:val="0"/>
            <w:vAlign w:val="center"/>
          </w:tcPr>
          <w:p w14:paraId="51888B6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eastAsia="zh-CN"/>
              </w:rPr>
              <w:t>合同服务结束</w:t>
            </w:r>
            <w:r>
              <w:rPr>
                <w:rFonts w:hint="eastAsia" w:ascii="宋体" w:hAnsi="宋体" w:eastAsia="宋体" w:cs="宋体"/>
                <w:color w:val="auto"/>
                <w:sz w:val="21"/>
                <w:szCs w:val="21"/>
                <w:highlight w:val="none"/>
              </w:rPr>
              <w:t>日期</w:t>
            </w:r>
          </w:p>
        </w:tc>
        <w:tc>
          <w:tcPr>
            <w:tcW w:w="548" w:type="pct"/>
            <w:noWrap w:val="0"/>
            <w:vAlign w:val="center"/>
          </w:tcPr>
          <w:p w14:paraId="1636A09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业主联系人及电话</w:t>
            </w:r>
          </w:p>
        </w:tc>
        <w:tc>
          <w:tcPr>
            <w:tcW w:w="452" w:type="pct"/>
            <w:noWrap w:val="0"/>
            <w:vAlign w:val="center"/>
          </w:tcPr>
          <w:p w14:paraId="3DA92D9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45467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303" w:type="pct"/>
            <w:noWrap w:val="0"/>
            <w:vAlign w:val="center"/>
          </w:tcPr>
          <w:p w14:paraId="5908B37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587" w:type="pct"/>
            <w:noWrap w:val="0"/>
            <w:vAlign w:val="center"/>
          </w:tcPr>
          <w:p w14:paraId="5B92B87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821" w:type="pct"/>
            <w:noWrap w:val="0"/>
            <w:vAlign w:val="center"/>
          </w:tcPr>
          <w:p w14:paraId="52ABD13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548" w:type="pct"/>
            <w:noWrap w:val="0"/>
            <w:vAlign w:val="center"/>
          </w:tcPr>
          <w:p w14:paraId="0BCA4DC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548" w:type="pct"/>
            <w:noWrap w:val="0"/>
            <w:vAlign w:val="center"/>
          </w:tcPr>
          <w:p w14:paraId="12FBAA4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548" w:type="pct"/>
            <w:noWrap w:val="0"/>
            <w:vAlign w:val="center"/>
          </w:tcPr>
          <w:p w14:paraId="327A518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639" w:type="pct"/>
            <w:noWrap w:val="0"/>
            <w:vAlign w:val="center"/>
          </w:tcPr>
          <w:p w14:paraId="6BC829B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548" w:type="pct"/>
            <w:noWrap w:val="0"/>
            <w:vAlign w:val="center"/>
          </w:tcPr>
          <w:p w14:paraId="43D2879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2" w:type="pct"/>
            <w:noWrap w:val="0"/>
            <w:vAlign w:val="center"/>
          </w:tcPr>
          <w:p w14:paraId="5019391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5BF25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303" w:type="pct"/>
            <w:noWrap w:val="0"/>
            <w:vAlign w:val="center"/>
          </w:tcPr>
          <w:p w14:paraId="73D4125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587" w:type="pct"/>
            <w:noWrap w:val="0"/>
            <w:vAlign w:val="center"/>
          </w:tcPr>
          <w:p w14:paraId="43B114D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821" w:type="pct"/>
            <w:noWrap w:val="0"/>
            <w:vAlign w:val="center"/>
          </w:tcPr>
          <w:p w14:paraId="2C2D677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548" w:type="pct"/>
            <w:noWrap w:val="0"/>
            <w:vAlign w:val="center"/>
          </w:tcPr>
          <w:p w14:paraId="71FBE03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548" w:type="pct"/>
            <w:noWrap w:val="0"/>
            <w:vAlign w:val="center"/>
          </w:tcPr>
          <w:p w14:paraId="0732604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548" w:type="pct"/>
            <w:noWrap w:val="0"/>
            <w:vAlign w:val="center"/>
          </w:tcPr>
          <w:p w14:paraId="6990E39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639" w:type="pct"/>
            <w:noWrap w:val="0"/>
            <w:vAlign w:val="center"/>
          </w:tcPr>
          <w:p w14:paraId="45ED451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548" w:type="pct"/>
            <w:noWrap w:val="0"/>
            <w:vAlign w:val="center"/>
          </w:tcPr>
          <w:p w14:paraId="311DEAE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2" w:type="pct"/>
            <w:noWrap w:val="0"/>
            <w:vAlign w:val="center"/>
          </w:tcPr>
          <w:p w14:paraId="3E946C9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5F44E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303" w:type="pct"/>
            <w:noWrap w:val="0"/>
            <w:vAlign w:val="center"/>
          </w:tcPr>
          <w:p w14:paraId="5B3C153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587" w:type="pct"/>
            <w:noWrap w:val="0"/>
            <w:vAlign w:val="center"/>
          </w:tcPr>
          <w:p w14:paraId="264F6CB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821" w:type="pct"/>
            <w:noWrap w:val="0"/>
            <w:vAlign w:val="center"/>
          </w:tcPr>
          <w:p w14:paraId="772895F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548" w:type="pct"/>
            <w:noWrap w:val="0"/>
            <w:vAlign w:val="center"/>
          </w:tcPr>
          <w:p w14:paraId="7B2ECF7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548" w:type="pct"/>
            <w:noWrap w:val="0"/>
            <w:vAlign w:val="center"/>
          </w:tcPr>
          <w:p w14:paraId="287F189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548" w:type="pct"/>
            <w:noWrap w:val="0"/>
            <w:vAlign w:val="center"/>
          </w:tcPr>
          <w:p w14:paraId="1D4B1E1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639" w:type="pct"/>
            <w:noWrap w:val="0"/>
            <w:vAlign w:val="center"/>
          </w:tcPr>
          <w:p w14:paraId="6564C42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548" w:type="pct"/>
            <w:noWrap w:val="0"/>
            <w:vAlign w:val="center"/>
          </w:tcPr>
          <w:p w14:paraId="6957733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2" w:type="pct"/>
            <w:noWrap w:val="0"/>
            <w:vAlign w:val="center"/>
          </w:tcPr>
          <w:p w14:paraId="07969F3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6A8B3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303" w:type="pct"/>
            <w:noWrap w:val="0"/>
            <w:vAlign w:val="center"/>
          </w:tcPr>
          <w:p w14:paraId="4200691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587" w:type="pct"/>
            <w:noWrap w:val="0"/>
            <w:vAlign w:val="center"/>
          </w:tcPr>
          <w:p w14:paraId="1CE42CB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821" w:type="pct"/>
            <w:noWrap w:val="0"/>
            <w:vAlign w:val="center"/>
          </w:tcPr>
          <w:p w14:paraId="22CD9A5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548" w:type="pct"/>
            <w:noWrap w:val="0"/>
            <w:vAlign w:val="center"/>
          </w:tcPr>
          <w:p w14:paraId="493667D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548" w:type="pct"/>
            <w:noWrap w:val="0"/>
            <w:vAlign w:val="center"/>
          </w:tcPr>
          <w:p w14:paraId="4CF5F98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548" w:type="pct"/>
            <w:noWrap w:val="0"/>
            <w:vAlign w:val="center"/>
          </w:tcPr>
          <w:p w14:paraId="55E15D6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639" w:type="pct"/>
            <w:noWrap w:val="0"/>
            <w:vAlign w:val="center"/>
          </w:tcPr>
          <w:p w14:paraId="47896BD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548" w:type="pct"/>
            <w:noWrap w:val="0"/>
            <w:vAlign w:val="center"/>
          </w:tcPr>
          <w:p w14:paraId="1BDE121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452" w:type="pct"/>
            <w:noWrap w:val="0"/>
            <w:vAlign w:val="center"/>
          </w:tcPr>
          <w:p w14:paraId="111D65B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bl>
    <w:p w14:paraId="11E23297">
      <w:pPr>
        <w:autoSpaceDE w:val="0"/>
        <w:autoSpaceDN w:val="0"/>
        <w:adjustRightInd w:val="0"/>
        <w:snapToGrid w:val="0"/>
        <w:spacing w:line="360" w:lineRule="auto"/>
        <w:ind w:left="186" w:leftChars="-158" w:hanging="518" w:hangingChars="247"/>
        <w:jc w:val="left"/>
        <w:rPr>
          <w:rFonts w:ascii="宋体" w:hAnsi="宋体" w:eastAsia="宋体" w:cs="Times New Roman"/>
          <w:color w:val="auto"/>
          <w:szCs w:val="24"/>
          <w:highlight w:val="none"/>
          <w:lang w:val="zh-CN"/>
        </w:rPr>
      </w:pPr>
    </w:p>
    <w:p w14:paraId="550E7072">
      <w:pPr>
        <w:autoSpaceDE w:val="0"/>
        <w:autoSpaceDN w:val="0"/>
        <w:adjustRightInd w:val="0"/>
        <w:snapToGrid w:val="0"/>
        <w:spacing w:line="360" w:lineRule="auto"/>
        <w:ind w:left="483" w:leftChars="-41" w:hanging="569" w:hangingChars="270"/>
        <w:jc w:val="left"/>
        <w:rPr>
          <w:rFonts w:ascii="宋体" w:hAnsi="宋体" w:eastAsia="宋体" w:cs="Times New Roman"/>
          <w:b/>
          <w:bCs/>
          <w:color w:val="auto"/>
          <w:szCs w:val="24"/>
          <w:highlight w:val="none"/>
          <w:lang w:val="zh-CN"/>
        </w:rPr>
      </w:pPr>
      <w:r>
        <w:rPr>
          <w:rFonts w:hint="eastAsia" w:ascii="宋体" w:hAnsi="宋体" w:eastAsia="宋体" w:cs="Times New Roman"/>
          <w:b/>
          <w:bCs/>
          <w:color w:val="auto"/>
          <w:szCs w:val="24"/>
          <w:highlight w:val="none"/>
          <w:lang w:val="zh-CN"/>
        </w:rPr>
        <w:t>备注：</w:t>
      </w:r>
    </w:p>
    <w:p w14:paraId="675BD474">
      <w:pPr>
        <w:autoSpaceDE w:val="0"/>
        <w:autoSpaceDN w:val="0"/>
        <w:adjustRightInd w:val="0"/>
        <w:snapToGrid w:val="0"/>
        <w:spacing w:line="360" w:lineRule="auto"/>
        <w:ind w:left="483" w:leftChars="-41" w:hanging="569" w:hangingChars="270"/>
        <w:jc w:val="left"/>
        <w:rPr>
          <w:rFonts w:ascii="宋体" w:hAnsi="宋体" w:eastAsia="宋体" w:cs="Times New Roman"/>
          <w:b/>
          <w:bCs/>
          <w:color w:val="auto"/>
          <w:szCs w:val="24"/>
          <w:highlight w:val="none"/>
          <w:lang w:val="zh-CN"/>
        </w:rPr>
      </w:pPr>
      <w:r>
        <w:rPr>
          <w:rFonts w:hint="eastAsia" w:ascii="宋体" w:hAnsi="宋体" w:eastAsia="宋体" w:cs="Times New Roman"/>
          <w:b/>
          <w:bCs/>
          <w:color w:val="auto"/>
          <w:szCs w:val="24"/>
          <w:highlight w:val="none"/>
          <w:lang w:val="zh-CN"/>
        </w:rPr>
        <w:t>（1）</w:t>
      </w:r>
      <w:r>
        <w:rPr>
          <w:rFonts w:ascii="宋体" w:hAnsi="宋体" w:eastAsia="宋体" w:cs="Times New Roman"/>
          <w:b/>
          <w:bCs/>
          <w:color w:val="auto"/>
          <w:szCs w:val="24"/>
          <w:highlight w:val="none"/>
          <w:lang w:val="zh-CN"/>
        </w:rPr>
        <w:t>业绩按</w:t>
      </w:r>
      <w:r>
        <w:rPr>
          <w:rFonts w:hint="eastAsia" w:ascii="宋体" w:hAnsi="宋体" w:eastAsia="宋体" w:cs="Times New Roman"/>
          <w:b/>
          <w:bCs/>
          <w:color w:val="auto"/>
          <w:szCs w:val="24"/>
          <w:highlight w:val="none"/>
          <w:lang w:val="zh-CN"/>
        </w:rPr>
        <w:t>水质净化厂或生活污水处理厂</w:t>
      </w:r>
      <w:r>
        <w:rPr>
          <w:rFonts w:hint="eastAsia" w:ascii="宋体" w:hAnsi="宋体" w:eastAsia="宋体" w:cs="Times New Roman"/>
          <w:b/>
          <w:bCs/>
          <w:color w:val="auto"/>
          <w:szCs w:val="24"/>
          <w:highlight w:val="none"/>
          <w:lang w:val="en-US" w:eastAsia="zh-CN"/>
        </w:rPr>
        <w:t>的</w:t>
      </w:r>
      <w:r>
        <w:rPr>
          <w:rFonts w:hint="eastAsia" w:ascii="宋体" w:hAnsi="宋体" w:eastAsia="宋体" w:cs="Times New Roman"/>
          <w:b/>
          <w:bCs/>
          <w:color w:val="auto"/>
          <w:szCs w:val="24"/>
          <w:highlight w:val="none"/>
          <w:lang w:val="zh-CN"/>
        </w:rPr>
        <w:t>污水设计或实际处理规模</w:t>
      </w:r>
      <w:r>
        <w:rPr>
          <w:rFonts w:ascii="宋体" w:hAnsi="宋体" w:eastAsia="宋体" w:cs="Times New Roman"/>
          <w:b/>
          <w:bCs/>
          <w:color w:val="auto"/>
          <w:szCs w:val="24"/>
          <w:highlight w:val="none"/>
          <w:lang w:val="zh-CN"/>
        </w:rPr>
        <w:t>从</w:t>
      </w:r>
      <w:r>
        <w:rPr>
          <w:rFonts w:hint="eastAsia" w:ascii="宋体" w:hAnsi="宋体" w:eastAsia="宋体" w:cs="Times New Roman"/>
          <w:b/>
          <w:bCs/>
          <w:color w:val="auto"/>
          <w:szCs w:val="24"/>
          <w:highlight w:val="none"/>
          <w:lang w:val="zh-CN"/>
        </w:rPr>
        <w:t>大</w:t>
      </w:r>
      <w:r>
        <w:rPr>
          <w:rFonts w:ascii="宋体" w:hAnsi="宋体" w:eastAsia="宋体" w:cs="Times New Roman"/>
          <w:b/>
          <w:bCs/>
          <w:color w:val="auto"/>
          <w:szCs w:val="24"/>
          <w:highlight w:val="none"/>
          <w:lang w:val="zh-CN"/>
        </w:rPr>
        <w:t>到</w:t>
      </w:r>
      <w:r>
        <w:rPr>
          <w:rFonts w:hint="eastAsia" w:ascii="宋体" w:hAnsi="宋体" w:eastAsia="宋体" w:cs="Times New Roman"/>
          <w:b/>
          <w:bCs/>
          <w:color w:val="auto"/>
          <w:szCs w:val="24"/>
          <w:highlight w:val="none"/>
          <w:lang w:val="zh-CN"/>
        </w:rPr>
        <w:t>小</w:t>
      </w:r>
      <w:r>
        <w:rPr>
          <w:rFonts w:ascii="宋体" w:hAnsi="宋体" w:eastAsia="宋体" w:cs="Times New Roman"/>
          <w:b/>
          <w:bCs/>
          <w:color w:val="auto"/>
          <w:szCs w:val="24"/>
          <w:highlight w:val="none"/>
          <w:lang w:val="zh-CN"/>
        </w:rPr>
        <w:t>的方式排列</w:t>
      </w:r>
      <w:r>
        <w:rPr>
          <w:rFonts w:hint="eastAsia" w:ascii="宋体" w:hAnsi="宋体" w:eastAsia="宋体" w:cs="Times New Roman"/>
          <w:b/>
          <w:bCs/>
          <w:color w:val="auto"/>
          <w:szCs w:val="24"/>
          <w:highlight w:val="none"/>
          <w:lang w:val="zh-CN"/>
        </w:rPr>
        <w:t>；</w:t>
      </w:r>
      <w:r>
        <w:rPr>
          <w:rFonts w:hint="eastAsia" w:ascii="宋体" w:hAnsi="宋体" w:eastAsia="宋体" w:cs="宋体"/>
          <w:b/>
          <w:bCs/>
          <w:color w:val="auto"/>
          <w:szCs w:val="21"/>
          <w:highlight w:val="none"/>
          <w:lang w:val="zh-CN"/>
        </w:rPr>
        <w:t>同一个单项合同的业绩可以同时在资格业绩和评分业绩重复放置。</w:t>
      </w:r>
    </w:p>
    <w:p w14:paraId="461A8454">
      <w:pPr>
        <w:autoSpaceDE w:val="0"/>
        <w:autoSpaceDN w:val="0"/>
        <w:adjustRightInd w:val="0"/>
        <w:snapToGrid w:val="0"/>
        <w:spacing w:line="360" w:lineRule="auto"/>
        <w:ind w:left="483" w:leftChars="-41" w:hanging="569" w:hangingChars="270"/>
        <w:jc w:val="left"/>
        <w:rPr>
          <w:rFonts w:hint="eastAsia" w:ascii="宋体" w:hAnsi="宋体" w:eastAsia="宋体" w:cs="Times New Roman"/>
          <w:b/>
          <w:bCs/>
          <w:color w:val="auto"/>
          <w:szCs w:val="24"/>
          <w:highlight w:val="none"/>
          <w:lang w:val="zh-CN"/>
        </w:rPr>
      </w:pPr>
      <w:r>
        <w:rPr>
          <w:rFonts w:hint="eastAsia" w:ascii="宋体" w:hAnsi="宋体" w:eastAsia="宋体" w:cs="Times New Roman"/>
          <w:b/>
          <w:bCs/>
          <w:color w:val="auto"/>
          <w:szCs w:val="24"/>
          <w:highlight w:val="none"/>
          <w:lang w:val="zh-CN"/>
        </w:rPr>
        <w:t>（</w:t>
      </w:r>
      <w:r>
        <w:rPr>
          <w:rFonts w:hint="eastAsia" w:ascii="宋体" w:hAnsi="宋体" w:eastAsia="宋体" w:cs="Times New Roman"/>
          <w:b/>
          <w:bCs/>
          <w:color w:val="auto"/>
          <w:szCs w:val="24"/>
          <w:highlight w:val="none"/>
          <w:lang w:val="en-US" w:eastAsia="zh-CN"/>
        </w:rPr>
        <w:t>2</w:t>
      </w:r>
      <w:r>
        <w:rPr>
          <w:rFonts w:hint="eastAsia" w:ascii="宋体" w:hAnsi="宋体" w:eastAsia="宋体" w:cs="Times New Roman"/>
          <w:b/>
          <w:bCs/>
          <w:color w:val="auto"/>
          <w:szCs w:val="24"/>
          <w:highlight w:val="none"/>
          <w:lang w:val="zh-CN"/>
        </w:rPr>
        <w:t>）业绩须附合同复印件(合同服务提供方为投标人)；</w:t>
      </w:r>
    </w:p>
    <w:p w14:paraId="308ACED3">
      <w:pPr>
        <w:autoSpaceDE w:val="0"/>
        <w:autoSpaceDN w:val="0"/>
        <w:adjustRightInd w:val="0"/>
        <w:snapToGrid w:val="0"/>
        <w:spacing w:line="360" w:lineRule="auto"/>
        <w:ind w:left="483" w:leftChars="-41" w:hanging="569" w:hangingChars="270"/>
        <w:jc w:val="left"/>
        <w:rPr>
          <w:rFonts w:hint="eastAsia" w:ascii="宋体" w:hAnsi="宋体" w:eastAsia="宋体" w:cs="Times New Roman"/>
          <w:b/>
          <w:bCs/>
          <w:color w:val="auto"/>
          <w:szCs w:val="24"/>
          <w:highlight w:val="none"/>
          <w:lang w:val="zh-CN"/>
        </w:rPr>
      </w:pPr>
      <w:r>
        <w:rPr>
          <w:rFonts w:hint="eastAsia" w:ascii="宋体" w:hAnsi="宋体" w:eastAsia="宋体" w:cs="Times New Roman"/>
          <w:b/>
          <w:bCs/>
          <w:color w:val="auto"/>
          <w:szCs w:val="24"/>
          <w:highlight w:val="none"/>
          <w:lang w:val="zh-CN"/>
        </w:rPr>
        <w:t>（</w:t>
      </w:r>
      <w:r>
        <w:rPr>
          <w:rFonts w:hint="eastAsia" w:ascii="宋体" w:hAnsi="宋体" w:eastAsia="宋体" w:cs="Times New Roman"/>
          <w:b/>
          <w:bCs/>
          <w:color w:val="auto"/>
          <w:szCs w:val="24"/>
          <w:highlight w:val="none"/>
          <w:lang w:val="en-US" w:eastAsia="zh-CN"/>
        </w:rPr>
        <w:t>3</w:t>
      </w:r>
      <w:r>
        <w:rPr>
          <w:rFonts w:hint="eastAsia" w:ascii="宋体" w:hAnsi="宋体" w:eastAsia="宋体" w:cs="Times New Roman"/>
          <w:b/>
          <w:bCs/>
          <w:color w:val="auto"/>
          <w:szCs w:val="24"/>
          <w:highlight w:val="none"/>
          <w:lang w:val="zh-CN"/>
        </w:rPr>
        <w:t>）若合同无法反映评分要求条件【</w:t>
      </w:r>
      <w:r>
        <w:rPr>
          <w:rFonts w:hint="eastAsia" w:ascii="宋体" w:hAnsi="宋体" w:eastAsia="宋体" w:cs="Times New Roman"/>
          <w:b/>
          <w:bCs/>
          <w:color w:val="auto"/>
          <w:szCs w:val="24"/>
          <w:highlight w:val="none"/>
          <w:lang w:val="zh-CN" w:eastAsia="zh-CN"/>
        </w:rPr>
        <w:t>合同服务结束日期为2022年1月1日或以后</w:t>
      </w:r>
      <w:r>
        <w:rPr>
          <w:rFonts w:hint="eastAsia" w:ascii="宋体" w:hAnsi="宋体" w:eastAsia="宋体" w:cs="Times New Roman"/>
          <w:b/>
          <w:bCs/>
          <w:color w:val="auto"/>
          <w:szCs w:val="24"/>
          <w:highlight w:val="none"/>
          <w:lang w:val="zh-CN"/>
        </w:rPr>
        <w:t>、服务内容、污泥类别、水质净化厂或生活污水处理厂</w:t>
      </w:r>
      <w:r>
        <w:rPr>
          <w:rFonts w:hint="eastAsia" w:ascii="宋体" w:hAnsi="宋体" w:eastAsia="宋体" w:cs="Times New Roman"/>
          <w:b/>
          <w:bCs/>
          <w:color w:val="auto"/>
          <w:szCs w:val="24"/>
          <w:highlight w:val="none"/>
          <w:lang w:val="en-US" w:eastAsia="zh-CN"/>
        </w:rPr>
        <w:t>的</w:t>
      </w:r>
      <w:r>
        <w:rPr>
          <w:rFonts w:hint="eastAsia" w:ascii="宋体" w:hAnsi="宋体" w:eastAsia="宋体" w:cs="Times New Roman"/>
          <w:b/>
          <w:bCs/>
          <w:color w:val="auto"/>
          <w:szCs w:val="24"/>
          <w:highlight w:val="none"/>
          <w:lang w:val="zh-CN"/>
        </w:rPr>
        <w:t>污水设计或实际处理规模、合同服务期限】，</w:t>
      </w:r>
      <w:r>
        <w:rPr>
          <w:rFonts w:hint="eastAsia" w:ascii="宋体" w:hAnsi="宋体" w:eastAsia="宋体" w:cs="Times New Roman"/>
          <w:b/>
          <w:bCs/>
          <w:color w:val="auto"/>
          <w:szCs w:val="24"/>
          <w:highlight w:val="none"/>
          <w:lang w:val="en-US" w:eastAsia="zh-CN"/>
        </w:rPr>
        <w:t>还</w:t>
      </w:r>
      <w:r>
        <w:rPr>
          <w:rFonts w:hint="eastAsia" w:ascii="宋体" w:hAnsi="宋体" w:eastAsia="宋体" w:cs="Times New Roman"/>
          <w:b/>
          <w:bCs/>
          <w:color w:val="auto"/>
          <w:szCs w:val="24"/>
          <w:highlight w:val="none"/>
          <w:lang w:val="zh-CN"/>
        </w:rPr>
        <w:t>需同时提供服务购买方出具的书面补充情况说明文件复印件(书面补充说明文件复印件能显示合同服务购买方公章)，否则不得分；</w:t>
      </w:r>
    </w:p>
    <w:p w14:paraId="7DC4B620">
      <w:pPr>
        <w:autoSpaceDE w:val="0"/>
        <w:autoSpaceDN w:val="0"/>
        <w:adjustRightInd w:val="0"/>
        <w:snapToGrid w:val="0"/>
        <w:spacing w:line="360" w:lineRule="auto"/>
        <w:ind w:left="483" w:leftChars="-41" w:hanging="569" w:hangingChars="270"/>
        <w:jc w:val="left"/>
        <w:rPr>
          <w:rFonts w:hint="eastAsia" w:ascii="宋体" w:hAnsi="宋体" w:eastAsia="宋体" w:cs="Times New Roman"/>
          <w:b/>
          <w:bCs/>
          <w:color w:val="auto"/>
          <w:szCs w:val="24"/>
          <w:highlight w:val="none"/>
          <w:lang w:val="zh-CN"/>
        </w:rPr>
      </w:pPr>
      <w:r>
        <w:rPr>
          <w:rFonts w:hint="eastAsia" w:ascii="宋体" w:hAnsi="宋体" w:eastAsia="宋体" w:cs="Times New Roman"/>
          <w:b/>
          <w:bCs/>
          <w:color w:val="auto"/>
          <w:szCs w:val="24"/>
          <w:highlight w:val="none"/>
          <w:lang w:val="zh-CN"/>
        </w:rPr>
        <w:t>（</w:t>
      </w:r>
      <w:r>
        <w:rPr>
          <w:rFonts w:hint="eastAsia" w:ascii="宋体" w:hAnsi="宋体" w:eastAsia="宋体" w:cs="Times New Roman"/>
          <w:b/>
          <w:bCs/>
          <w:color w:val="auto"/>
          <w:szCs w:val="24"/>
          <w:highlight w:val="none"/>
          <w:lang w:val="en-US" w:eastAsia="zh-CN"/>
        </w:rPr>
        <w:t>4</w:t>
      </w:r>
      <w:r>
        <w:rPr>
          <w:rFonts w:hint="eastAsia" w:ascii="宋体" w:hAnsi="宋体" w:eastAsia="宋体" w:cs="Times New Roman"/>
          <w:b/>
          <w:bCs/>
          <w:color w:val="auto"/>
          <w:szCs w:val="24"/>
          <w:highlight w:val="none"/>
          <w:lang w:val="zh-CN"/>
        </w:rPr>
        <w:t>）污泥处理处置服务业绩的污泥类别须为水质净化厂或生活污水处理厂污泥，服务内容须包含水质净化厂或生活污水处理厂污泥处理处置（包含污泥的脱水减量化和脱水泥块的处置），否则不得分；</w:t>
      </w:r>
    </w:p>
    <w:p w14:paraId="70A00A22">
      <w:pPr>
        <w:autoSpaceDE w:val="0"/>
        <w:autoSpaceDN w:val="0"/>
        <w:adjustRightInd w:val="0"/>
        <w:snapToGrid w:val="0"/>
        <w:spacing w:line="360" w:lineRule="auto"/>
        <w:ind w:left="483" w:leftChars="-41" w:hanging="569" w:hangingChars="270"/>
        <w:jc w:val="left"/>
        <w:rPr>
          <w:rFonts w:hint="eastAsia" w:ascii="宋体" w:hAnsi="宋体" w:eastAsia="宋体" w:cs="Times New Roman"/>
          <w:b/>
          <w:bCs/>
          <w:color w:val="auto"/>
          <w:szCs w:val="24"/>
          <w:highlight w:val="none"/>
          <w:lang w:val="zh-CN"/>
        </w:rPr>
      </w:pPr>
      <w:r>
        <w:rPr>
          <w:rFonts w:hint="eastAsia" w:ascii="宋体" w:hAnsi="宋体" w:eastAsia="宋体" w:cs="Times New Roman"/>
          <w:b/>
          <w:bCs/>
          <w:color w:val="auto"/>
          <w:szCs w:val="24"/>
          <w:highlight w:val="none"/>
          <w:lang w:val="zh-CN"/>
        </w:rPr>
        <w:t>（</w:t>
      </w:r>
      <w:r>
        <w:rPr>
          <w:rFonts w:hint="eastAsia" w:ascii="宋体" w:hAnsi="宋体" w:eastAsia="宋体" w:cs="Times New Roman"/>
          <w:b/>
          <w:bCs/>
          <w:color w:val="auto"/>
          <w:szCs w:val="24"/>
          <w:highlight w:val="none"/>
          <w:lang w:val="en-US" w:eastAsia="zh-CN"/>
        </w:rPr>
        <w:t>5</w:t>
      </w:r>
      <w:r>
        <w:rPr>
          <w:rFonts w:hint="eastAsia" w:ascii="宋体" w:hAnsi="宋体" w:eastAsia="宋体" w:cs="Times New Roman"/>
          <w:b/>
          <w:bCs/>
          <w:color w:val="auto"/>
          <w:szCs w:val="24"/>
          <w:highlight w:val="none"/>
          <w:lang w:val="zh-CN"/>
        </w:rPr>
        <w:t>）水质净化厂或生活污水处理厂</w:t>
      </w:r>
      <w:r>
        <w:rPr>
          <w:rFonts w:hint="eastAsia" w:ascii="宋体" w:hAnsi="宋体" w:eastAsia="宋体" w:cs="Times New Roman"/>
          <w:b/>
          <w:bCs/>
          <w:color w:val="auto"/>
          <w:szCs w:val="24"/>
          <w:highlight w:val="none"/>
          <w:lang w:val="en-US" w:eastAsia="zh-CN"/>
        </w:rPr>
        <w:t>的</w:t>
      </w:r>
      <w:r>
        <w:rPr>
          <w:rFonts w:hint="eastAsia" w:ascii="宋体" w:hAnsi="宋体" w:eastAsia="宋体" w:cs="Times New Roman"/>
          <w:b/>
          <w:bCs/>
          <w:color w:val="auto"/>
          <w:szCs w:val="24"/>
          <w:highlight w:val="none"/>
          <w:lang w:val="zh-CN"/>
        </w:rPr>
        <w:t>污水设计处理规模与污水实际处理规模不一致的，以较大处理规模为准；若单个业绩合同中包含多个水质净化厂或生活污水处理厂污泥处理处置服务项目，评分时按合同中单个水质净化厂或生活污水处理厂污水处理规模最高的计算该业绩合同得分，同一业绩合同不重复得分；</w:t>
      </w:r>
    </w:p>
    <w:p w14:paraId="281E5941">
      <w:pPr>
        <w:autoSpaceDE w:val="0"/>
        <w:autoSpaceDN w:val="0"/>
        <w:adjustRightInd w:val="0"/>
        <w:snapToGrid w:val="0"/>
        <w:spacing w:line="360" w:lineRule="auto"/>
        <w:ind w:left="483" w:leftChars="-41" w:hanging="569" w:hangingChars="270"/>
        <w:jc w:val="left"/>
        <w:rPr>
          <w:rFonts w:hint="eastAsia" w:ascii="宋体" w:hAnsi="宋体" w:eastAsia="宋体" w:cs="Times New Roman"/>
          <w:b/>
          <w:bCs/>
          <w:color w:val="auto"/>
          <w:szCs w:val="24"/>
          <w:highlight w:val="none"/>
          <w:lang w:val="zh-CN"/>
        </w:rPr>
      </w:pPr>
      <w:r>
        <w:rPr>
          <w:rFonts w:hint="eastAsia" w:ascii="宋体" w:hAnsi="宋体" w:eastAsia="宋体" w:cs="Times New Roman"/>
          <w:b/>
          <w:bCs/>
          <w:color w:val="auto"/>
          <w:szCs w:val="24"/>
          <w:highlight w:val="none"/>
          <w:lang w:val="zh-CN"/>
        </w:rPr>
        <w:t>（</w:t>
      </w:r>
      <w:r>
        <w:rPr>
          <w:rFonts w:hint="eastAsia" w:ascii="宋体" w:hAnsi="宋体" w:eastAsia="宋体" w:cs="Times New Roman"/>
          <w:b/>
          <w:bCs/>
          <w:color w:val="auto"/>
          <w:szCs w:val="24"/>
          <w:highlight w:val="none"/>
          <w:lang w:val="en-US" w:eastAsia="zh-CN"/>
        </w:rPr>
        <w:t>6</w:t>
      </w:r>
      <w:r>
        <w:rPr>
          <w:rFonts w:hint="eastAsia" w:ascii="宋体" w:hAnsi="宋体" w:eastAsia="宋体" w:cs="Times New Roman"/>
          <w:b/>
          <w:bCs/>
          <w:color w:val="auto"/>
          <w:szCs w:val="24"/>
          <w:highlight w:val="none"/>
          <w:lang w:val="zh-CN"/>
        </w:rPr>
        <w:t>）污泥处理处置服务业绩合同服务期限要求大于或等于1年，小于1年的业绩合同在评标时不予考虑；</w:t>
      </w:r>
    </w:p>
    <w:p w14:paraId="2E62A6EF">
      <w:pPr>
        <w:autoSpaceDE w:val="0"/>
        <w:autoSpaceDN w:val="0"/>
        <w:adjustRightInd w:val="0"/>
        <w:snapToGrid w:val="0"/>
        <w:spacing w:line="360" w:lineRule="auto"/>
        <w:ind w:left="483" w:leftChars="-41" w:hanging="569" w:hangingChars="270"/>
        <w:jc w:val="left"/>
        <w:rPr>
          <w:rFonts w:ascii="宋体" w:hAnsi="宋体" w:eastAsia="宋体" w:cs="宋体"/>
          <w:b/>
          <w:bCs/>
          <w:color w:val="auto"/>
          <w:kern w:val="0"/>
          <w:szCs w:val="21"/>
          <w:highlight w:val="none"/>
        </w:rPr>
      </w:pPr>
      <w:r>
        <w:rPr>
          <w:rFonts w:hint="eastAsia" w:ascii="宋体" w:hAnsi="宋体" w:eastAsia="宋体" w:cs="Times New Roman"/>
          <w:b/>
          <w:bCs/>
          <w:color w:val="auto"/>
          <w:szCs w:val="24"/>
          <w:highlight w:val="none"/>
          <w:lang w:val="zh-CN"/>
        </w:rPr>
        <w:t>（</w:t>
      </w:r>
      <w:r>
        <w:rPr>
          <w:rFonts w:hint="eastAsia" w:ascii="宋体" w:hAnsi="宋体" w:eastAsia="宋体" w:cs="Times New Roman"/>
          <w:b/>
          <w:bCs/>
          <w:color w:val="auto"/>
          <w:szCs w:val="24"/>
          <w:highlight w:val="none"/>
          <w:lang w:val="en-US" w:eastAsia="zh-CN"/>
        </w:rPr>
        <w:t>7</w:t>
      </w:r>
      <w:r>
        <w:rPr>
          <w:rFonts w:hint="eastAsia" w:ascii="宋体" w:hAnsi="宋体" w:eastAsia="宋体" w:cs="Times New Roman"/>
          <w:b/>
          <w:bCs/>
          <w:color w:val="auto"/>
          <w:szCs w:val="24"/>
          <w:highlight w:val="none"/>
          <w:lang w:val="zh-CN"/>
        </w:rPr>
        <w:t>）未按上述要求</w:t>
      </w:r>
      <w:r>
        <w:rPr>
          <w:rFonts w:hint="eastAsia" w:ascii="宋体" w:hAnsi="宋体" w:eastAsia="宋体" w:cs="宋体"/>
          <w:b/>
          <w:bCs/>
          <w:color w:val="auto"/>
          <w:szCs w:val="24"/>
          <w:highlight w:val="none"/>
          <w:lang w:val="zh-CN"/>
        </w:rPr>
        <w:t>在此格式下</w:t>
      </w:r>
      <w:r>
        <w:rPr>
          <w:rFonts w:hint="eastAsia" w:ascii="宋体" w:hAnsi="宋体" w:eastAsia="宋体" w:cs="Times New Roman"/>
          <w:b/>
          <w:bCs/>
          <w:color w:val="auto"/>
          <w:szCs w:val="24"/>
          <w:highlight w:val="none"/>
          <w:lang w:val="zh-CN"/>
        </w:rPr>
        <w:t>提供证明材料的业绩，或</w:t>
      </w:r>
      <w:r>
        <w:rPr>
          <w:rFonts w:hint="eastAsia" w:ascii="宋体" w:hAnsi="宋体" w:eastAsia="宋体" w:cs="宋体"/>
          <w:b/>
          <w:bCs/>
          <w:color w:val="auto"/>
          <w:szCs w:val="24"/>
          <w:highlight w:val="none"/>
          <w:lang w:val="zh-CN"/>
        </w:rPr>
        <w:t>在此格式下</w:t>
      </w:r>
      <w:r>
        <w:rPr>
          <w:rFonts w:hint="eastAsia" w:ascii="宋体" w:hAnsi="宋体" w:eastAsia="宋体" w:cs="Times New Roman"/>
          <w:b/>
          <w:bCs/>
          <w:color w:val="auto"/>
          <w:szCs w:val="24"/>
          <w:highlight w:val="none"/>
          <w:lang w:val="zh-CN"/>
        </w:rPr>
        <w:t>所附材料无法证明填报项目符合本项评分要求的业绩，在评标时将不予考虑</w:t>
      </w:r>
      <w:r>
        <w:rPr>
          <w:rFonts w:hint="eastAsia" w:ascii="宋体" w:hAnsi="宋体" w:eastAsia="宋体" w:cs="Times New Roman"/>
          <w:b/>
          <w:bCs/>
          <w:color w:val="auto"/>
          <w:kern w:val="0"/>
          <w:szCs w:val="21"/>
          <w:highlight w:val="none"/>
        </w:rPr>
        <w:t>。</w:t>
      </w:r>
    </w:p>
    <w:p w14:paraId="77D9A042">
      <w:pPr>
        <w:autoSpaceDE w:val="0"/>
        <w:autoSpaceDN w:val="0"/>
        <w:adjustRightInd w:val="0"/>
        <w:spacing w:line="360" w:lineRule="auto"/>
        <w:ind w:firstLine="5040" w:firstLineChars="2400"/>
        <w:jc w:val="left"/>
        <w:rPr>
          <w:rFonts w:ascii="宋体" w:hAnsi="宋体" w:eastAsia="宋体" w:cs="Times New Roman"/>
          <w:color w:val="auto"/>
          <w:szCs w:val="24"/>
          <w:highlight w:val="none"/>
          <w:lang w:val="zh-CN"/>
        </w:rPr>
      </w:pPr>
    </w:p>
    <w:p w14:paraId="2E39461A">
      <w:pPr>
        <w:autoSpaceDE w:val="0"/>
        <w:autoSpaceDN w:val="0"/>
        <w:adjustRightInd w:val="0"/>
        <w:spacing w:line="360" w:lineRule="auto"/>
        <w:ind w:firstLine="5040" w:firstLineChars="2400"/>
        <w:jc w:val="left"/>
        <w:rPr>
          <w:rFonts w:ascii="宋体" w:hAnsi="宋体" w:eastAsia="宋体" w:cs="Times New Roman"/>
          <w:color w:val="auto"/>
          <w:kern w:val="0"/>
          <w:szCs w:val="21"/>
          <w:highlight w:val="none"/>
        </w:rPr>
      </w:pPr>
      <w:r>
        <w:rPr>
          <w:rFonts w:hint="eastAsia" w:ascii="宋体" w:hAnsi="宋体" w:eastAsia="宋体" w:cs="Times New Roman"/>
          <w:color w:val="auto"/>
          <w:szCs w:val="24"/>
          <w:highlight w:val="none"/>
          <w:lang w:val="zh-CN"/>
        </w:rPr>
        <w:t>投标人：（加盖投标人法人公章）</w:t>
      </w:r>
    </w:p>
    <w:p w14:paraId="40DE0732">
      <w:pPr>
        <w:autoSpaceDE w:val="0"/>
        <w:autoSpaceDN w:val="0"/>
        <w:adjustRightInd w:val="0"/>
        <w:spacing w:line="360" w:lineRule="auto"/>
        <w:ind w:firstLine="5040" w:firstLineChars="2400"/>
        <w:jc w:val="left"/>
        <w:rPr>
          <w:rFonts w:ascii="宋体" w:hAnsi="宋体" w:eastAsia="宋体" w:cs="Times New Roman"/>
          <w:b/>
          <w:bCs/>
          <w:color w:val="auto"/>
          <w:sz w:val="30"/>
          <w:szCs w:val="30"/>
          <w:highlight w:val="none"/>
          <w:lang w:val="zh-CN"/>
        </w:rPr>
      </w:pPr>
      <w:r>
        <w:rPr>
          <w:rFonts w:hint="eastAsia" w:ascii="宋体" w:hAnsi="宋体" w:eastAsia="宋体" w:cs="Times New Roman"/>
          <w:color w:val="auto"/>
          <w:szCs w:val="24"/>
          <w:highlight w:val="none"/>
          <w:lang w:val="zh-CN"/>
        </w:rPr>
        <w:t>日期：   年   月   日</w:t>
      </w:r>
    </w:p>
    <w:bookmarkEnd w:id="1051"/>
    <w:bookmarkEnd w:id="1052"/>
    <w:p w14:paraId="1BB63751">
      <w:pPr>
        <w:pageBreakBefore/>
        <w:spacing w:before="120" w:after="120" w:line="360" w:lineRule="auto"/>
        <w:jc w:val="left"/>
        <w:outlineLvl w:val="2"/>
        <w:rPr>
          <w:rFonts w:ascii="宋体" w:hAnsi="宋体" w:eastAsia="宋体" w:cs="宋体"/>
          <w:b/>
          <w:bCs/>
          <w:color w:val="auto"/>
          <w:kern w:val="0"/>
          <w:sz w:val="32"/>
          <w:szCs w:val="32"/>
          <w:highlight w:val="none"/>
          <w:lang w:val="zh-CN"/>
        </w:rPr>
      </w:pPr>
      <w:bookmarkStart w:id="1053" w:name="_Toc19890"/>
      <w:bookmarkStart w:id="1054" w:name="_Toc142508378"/>
      <w:bookmarkStart w:id="1055" w:name="_Toc16126"/>
      <w:bookmarkStart w:id="1056" w:name="_Toc7102"/>
      <w:bookmarkStart w:id="1057" w:name="_Toc32133"/>
      <w:bookmarkStart w:id="1058" w:name="_Toc102860083"/>
      <w:bookmarkStart w:id="1059" w:name="_Toc104991885"/>
      <w:bookmarkStart w:id="1060" w:name="_Toc1977737"/>
      <w:bookmarkStart w:id="1061" w:name="_Toc102860427"/>
      <w:bookmarkStart w:id="1062" w:name="_Toc18413"/>
      <w:bookmarkStart w:id="1063" w:name="_Toc18175_WPSOffice_Level2"/>
      <w:bookmarkStart w:id="1064" w:name="_Toc140596938"/>
      <w:bookmarkStart w:id="1065" w:name="_Toc486167719"/>
      <w:bookmarkStart w:id="1066" w:name="_Toc31965"/>
      <w:bookmarkStart w:id="1067" w:name="_Toc23240"/>
      <w:bookmarkStart w:id="1068" w:name="_Toc19950"/>
      <w:bookmarkStart w:id="1069" w:name="_Toc10151"/>
      <w:bookmarkStart w:id="1070" w:name="_Toc94107220"/>
      <w:bookmarkStart w:id="1071" w:name="_Toc533708132"/>
      <w:r>
        <w:rPr>
          <w:rFonts w:hint="eastAsia" w:ascii="宋体" w:hAnsi="宋体" w:eastAsia="宋体" w:cs="宋体"/>
          <w:b/>
          <w:bCs/>
          <w:color w:val="auto"/>
          <w:kern w:val="0"/>
          <w:sz w:val="32"/>
          <w:szCs w:val="32"/>
          <w:highlight w:val="none"/>
          <w:lang w:val="zh-CN"/>
        </w:rPr>
        <w:t>十、投标保证金汇入情况说明</w:t>
      </w:r>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p>
    <w:p w14:paraId="738BC988">
      <w:pPr>
        <w:autoSpaceDE w:val="0"/>
        <w:autoSpaceDN w:val="0"/>
        <w:adjustRightInd w:val="0"/>
        <w:spacing w:line="360" w:lineRule="auto"/>
        <w:jc w:val="left"/>
        <w:rPr>
          <w:rFonts w:ascii="宋体" w:hAnsi="宋体" w:eastAsia="宋体" w:cs="宋体"/>
          <w:color w:val="auto"/>
          <w:szCs w:val="24"/>
          <w:highlight w:val="none"/>
        </w:rPr>
      </w:pPr>
    </w:p>
    <w:p w14:paraId="35DB0393">
      <w:pPr>
        <w:autoSpaceDE w:val="0"/>
        <w:autoSpaceDN w:val="0"/>
        <w:adjustRightInd w:val="0"/>
        <w:spacing w:line="360" w:lineRule="auto"/>
        <w:jc w:val="center"/>
        <w:rPr>
          <w:rFonts w:ascii="宋体" w:hAnsi="宋体" w:eastAsia="宋体" w:cs="宋体"/>
          <w:b/>
          <w:bCs/>
          <w:color w:val="auto"/>
          <w:kern w:val="0"/>
          <w:sz w:val="24"/>
          <w:szCs w:val="24"/>
          <w:highlight w:val="none"/>
        </w:rPr>
      </w:pPr>
      <w:bookmarkStart w:id="1072" w:name="_Toc31832_WPSOffice_Level3"/>
      <w:r>
        <w:rPr>
          <w:rFonts w:hint="eastAsia" w:ascii="宋体" w:hAnsi="宋体" w:eastAsia="宋体" w:cs="宋体"/>
          <w:b/>
          <w:bCs/>
          <w:color w:val="auto"/>
          <w:kern w:val="0"/>
          <w:sz w:val="24"/>
          <w:szCs w:val="24"/>
          <w:highlight w:val="none"/>
        </w:rPr>
        <w:t>投标保证金汇入情况说明</w:t>
      </w:r>
      <w:bookmarkEnd w:id="1072"/>
    </w:p>
    <w:p w14:paraId="5C142FCA">
      <w:pPr>
        <w:autoSpaceDE w:val="0"/>
        <w:autoSpaceDN w:val="0"/>
        <w:adjustRightInd w:val="0"/>
        <w:spacing w:line="360" w:lineRule="auto"/>
        <w:jc w:val="center"/>
        <w:rPr>
          <w:rFonts w:ascii="宋体" w:hAnsi="宋体" w:eastAsia="宋体" w:cs="宋体"/>
          <w:b/>
          <w:bCs/>
          <w:color w:val="auto"/>
          <w:kern w:val="0"/>
          <w:szCs w:val="24"/>
          <w:highlight w:val="none"/>
        </w:rPr>
      </w:pPr>
    </w:p>
    <w:p w14:paraId="6CDB9802">
      <w:pPr>
        <w:spacing w:line="360" w:lineRule="auto"/>
        <w:ind w:firstLine="424" w:firstLineChars="202"/>
        <w:rPr>
          <w:rFonts w:ascii="宋体" w:hAnsi="宋体" w:eastAsia="宋体" w:cs="宋体"/>
          <w:color w:val="auto"/>
          <w:szCs w:val="21"/>
          <w:highlight w:val="none"/>
        </w:rPr>
      </w:pPr>
      <w:r>
        <w:rPr>
          <w:rFonts w:hint="eastAsia" w:ascii="宋体" w:hAnsi="宋体" w:eastAsia="宋体" w:cs="Times New Roman"/>
          <w:color w:val="auto"/>
          <w:kern w:val="0"/>
          <w:szCs w:val="21"/>
          <w:highlight w:val="none"/>
          <w:lang w:val="en-US" w:eastAsia="zh-CN"/>
        </w:rPr>
        <w:t>东莞市樟村水质净化有限公司</w:t>
      </w:r>
      <w:r>
        <w:rPr>
          <w:rFonts w:hint="eastAsia" w:ascii="宋体" w:hAnsi="宋体" w:eastAsia="宋体" w:cs="宋体"/>
          <w:color w:val="auto"/>
          <w:szCs w:val="21"/>
          <w:highlight w:val="none"/>
        </w:rPr>
        <w:t>：</w:t>
      </w:r>
    </w:p>
    <w:p w14:paraId="36660468">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本单位已按</w:t>
      </w:r>
      <w:r>
        <w:rPr>
          <w:rFonts w:hint="eastAsia" w:ascii="宋体" w:hAnsi="宋体" w:eastAsia="宋体" w:cs="宋体"/>
          <w:color w:val="auto"/>
          <w:szCs w:val="21"/>
          <w:highlight w:val="none"/>
          <w:u w:val="single"/>
          <w:lang w:val="zh-CN"/>
        </w:rPr>
        <w:t>东莞市樟村水质净化厂污泥处理处置服务项目（2025-2026年）</w:t>
      </w:r>
      <w:r>
        <w:rPr>
          <w:rFonts w:hint="eastAsia" w:ascii="宋体" w:hAnsi="宋体" w:eastAsia="宋体" w:cs="宋体"/>
          <w:color w:val="auto"/>
          <w:szCs w:val="21"/>
          <w:highlight w:val="none"/>
        </w:rPr>
        <w:t>（招标编号：</w:t>
      </w:r>
      <w:r>
        <w:rPr>
          <w:rFonts w:hint="eastAsia" w:ascii="宋体" w:hAnsi="宋体" w:eastAsia="宋体" w:cs="宋体"/>
          <w:color w:val="auto"/>
          <w:szCs w:val="21"/>
          <w:highlight w:val="none"/>
          <w:u w:val="single"/>
          <w:lang w:eastAsia="zh-CN"/>
        </w:rPr>
        <w:t>DGDS2025-013</w:t>
      </w:r>
      <w:r>
        <w:rPr>
          <w:rFonts w:hint="eastAsia" w:ascii="宋体" w:hAnsi="宋体" w:eastAsia="宋体" w:cs="宋体"/>
          <w:color w:val="auto"/>
          <w:szCs w:val="21"/>
          <w:highlight w:val="none"/>
        </w:rPr>
        <w:t>）的招标文件要求，于</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日前以</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付款形式）方式汇入指定账户（账户名称：</w:t>
      </w:r>
      <w:r>
        <w:rPr>
          <w:rFonts w:hint="eastAsia" w:ascii="宋体" w:hAnsi="宋体" w:eastAsia="宋体" w:cs="宋体"/>
          <w:b/>
          <w:color w:val="auto"/>
          <w:szCs w:val="21"/>
          <w:highlight w:val="none"/>
          <w:u w:val="single"/>
        </w:rPr>
        <w:t xml:space="preserve">                    </w:t>
      </w:r>
      <w:r>
        <w:rPr>
          <w:rFonts w:hint="eastAsia" w:ascii="宋体" w:hAnsi="宋体" w:eastAsia="宋体" w:cs="宋体"/>
          <w:color w:val="auto"/>
          <w:szCs w:val="21"/>
          <w:highlight w:val="none"/>
        </w:rPr>
        <w:t>，账号：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lang w:val="zh-CN"/>
        </w:rPr>
        <w:t xml:space="preserve"> </w:t>
      </w:r>
      <w:r>
        <w:rPr>
          <w:rFonts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rPr>
        <w:t>）。</w:t>
      </w:r>
    </w:p>
    <w:p w14:paraId="5EA3CA82">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本单位投标保证金的汇款情况：（详见附件－投标保证金进</w:t>
      </w:r>
      <w:r>
        <w:rPr>
          <w:rFonts w:hint="eastAsia" w:ascii="宋体" w:hAnsi="宋体" w:eastAsia="宋体" w:cs="宋体"/>
          <w:color w:val="auto"/>
          <w:szCs w:val="21"/>
          <w:highlight w:val="none"/>
          <w:lang w:val="en-US" w:eastAsia="zh-CN"/>
        </w:rPr>
        <w:t>账</w:t>
      </w:r>
      <w:r>
        <w:rPr>
          <w:rFonts w:hint="eastAsia" w:ascii="宋体" w:hAnsi="宋体" w:eastAsia="宋体" w:cs="宋体"/>
          <w:color w:val="auto"/>
          <w:szCs w:val="21"/>
          <w:highlight w:val="none"/>
        </w:rPr>
        <w:t>单）</w:t>
      </w:r>
    </w:p>
    <w:p w14:paraId="4BEE94D4">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汇出时间：</w:t>
      </w:r>
      <w:r>
        <w:rPr>
          <w:rFonts w:hint="eastAsia" w:ascii="宋体" w:hAnsi="宋体" w:eastAsia="宋体" w:cs="宋体"/>
          <w:color w:val="auto"/>
          <w:szCs w:val="21"/>
          <w:highlight w:val="none"/>
          <w:u w:val="single"/>
        </w:rPr>
        <w:t xml:space="preserve">    年   月    日</w:t>
      </w:r>
    </w:p>
    <w:p w14:paraId="5B2BA4E8">
      <w:pPr>
        <w:spacing w:line="360" w:lineRule="auto"/>
        <w:ind w:firstLine="424" w:firstLineChars="202"/>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汇款金额：</w:t>
      </w:r>
      <w:r>
        <w:rPr>
          <w:rFonts w:hint="eastAsia" w:ascii="宋体" w:hAnsi="宋体" w:eastAsia="宋体" w:cs="宋体"/>
          <w:color w:val="auto"/>
          <w:szCs w:val="21"/>
          <w:highlight w:val="none"/>
          <w:u w:val="single"/>
          <w:lang w:eastAsia="zh-CN"/>
        </w:rPr>
        <w:t>（大写）人民币      元（小写：¥      元）</w:t>
      </w:r>
    </w:p>
    <w:p w14:paraId="5FC9DDD9">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汇款账户名称：</w:t>
      </w:r>
      <w:r>
        <w:rPr>
          <w:rFonts w:hint="eastAsia" w:ascii="宋体" w:hAnsi="宋体" w:eastAsia="宋体" w:cs="宋体"/>
          <w:color w:val="auto"/>
          <w:szCs w:val="21"/>
          <w:highlight w:val="none"/>
          <w:u w:val="single"/>
        </w:rPr>
        <w:t>（必须是投标时使用的账户名）</w:t>
      </w:r>
    </w:p>
    <w:p w14:paraId="220F598B">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账号：</w:t>
      </w:r>
      <w:r>
        <w:rPr>
          <w:rFonts w:hint="eastAsia" w:ascii="宋体" w:hAnsi="宋体" w:eastAsia="宋体" w:cs="宋体"/>
          <w:color w:val="auto"/>
          <w:szCs w:val="21"/>
          <w:highlight w:val="none"/>
          <w:u w:val="single"/>
        </w:rPr>
        <w:t>（必须是投标时使用的账号）</w:t>
      </w:r>
    </w:p>
    <w:p w14:paraId="23829418">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 xml:space="preserve">省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 xml:space="preserve">市         </w:t>
      </w:r>
    </w:p>
    <w:p w14:paraId="4D9CF9EC">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本单位谨承诺上述资料是正确、真实的，如因上述证明与事实不符导致的一切损失，本单位保证承担赔偿等一切法律责任。</w:t>
      </w:r>
    </w:p>
    <w:p w14:paraId="1FAC7788">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保证金退回时，请按上述资料退回。</w:t>
      </w:r>
    </w:p>
    <w:p w14:paraId="6B0AD414">
      <w:pPr>
        <w:spacing w:line="360" w:lineRule="auto"/>
        <w:ind w:right="844" w:rightChars="402" w:firstLine="424" w:firstLineChars="202"/>
        <w:jc w:val="right"/>
        <w:rPr>
          <w:rFonts w:ascii="宋体" w:hAnsi="宋体" w:eastAsia="宋体" w:cs="宋体"/>
          <w:color w:val="auto"/>
          <w:szCs w:val="24"/>
          <w:highlight w:val="none"/>
        </w:rPr>
      </w:pPr>
      <w:r>
        <w:rPr>
          <w:rFonts w:hint="eastAsia" w:ascii="宋体" w:hAnsi="宋体" w:eastAsia="宋体" w:cs="宋体"/>
          <w:color w:val="auto"/>
          <w:szCs w:val="24"/>
          <w:highlight w:val="none"/>
        </w:rPr>
        <w:t>（</w:t>
      </w:r>
      <w:r>
        <w:rPr>
          <w:rFonts w:hint="eastAsia" w:ascii="宋体" w:hAnsi="宋体" w:eastAsia="宋体" w:cs="宋体"/>
          <w:bCs/>
          <w:color w:val="auto"/>
          <w:szCs w:val="24"/>
          <w:highlight w:val="none"/>
        </w:rPr>
        <w:t>投标人法人公章</w:t>
      </w:r>
      <w:r>
        <w:rPr>
          <w:rFonts w:hint="eastAsia" w:ascii="宋体" w:hAnsi="宋体" w:eastAsia="宋体" w:cs="宋体"/>
          <w:color w:val="auto"/>
          <w:szCs w:val="24"/>
          <w:highlight w:val="none"/>
        </w:rPr>
        <w:t>）</w:t>
      </w:r>
    </w:p>
    <w:p w14:paraId="3D8C1101">
      <w:pPr>
        <w:spacing w:line="360" w:lineRule="auto"/>
        <w:ind w:right="628" w:rightChars="299" w:firstLine="7774" w:firstLineChars="3702"/>
        <w:jc w:val="left"/>
        <w:rPr>
          <w:rFonts w:ascii="宋体" w:hAnsi="宋体" w:eastAsia="宋体" w:cs="宋体"/>
          <w:color w:val="auto"/>
          <w:szCs w:val="24"/>
          <w:highlight w:val="none"/>
        </w:rPr>
      </w:pPr>
      <w:r>
        <w:rPr>
          <w:rFonts w:hint="eastAsia" w:ascii="宋体" w:hAnsi="宋体" w:eastAsia="宋体" w:cs="宋体"/>
          <w:color w:val="auto"/>
          <w:szCs w:val="24"/>
          <w:highlight w:val="none"/>
        </w:rPr>
        <w:t>年   月   日</w:t>
      </w:r>
    </w:p>
    <w:p w14:paraId="0DCD2692">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单位名称：</w:t>
      </w:r>
    </w:p>
    <w:p w14:paraId="262E92B8">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单位地址：</w:t>
      </w:r>
    </w:p>
    <w:p w14:paraId="74F928FA">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联系人：</w:t>
      </w:r>
    </w:p>
    <w:p w14:paraId="527C8C32">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 xml:space="preserve">单位电话：                    </w:t>
      </w:r>
    </w:p>
    <w:p w14:paraId="403A136C">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联系人手机：</w:t>
      </w:r>
    </w:p>
    <w:p w14:paraId="2F67CB38">
      <w:pPr>
        <w:spacing w:line="360" w:lineRule="auto"/>
        <w:ind w:left="340" w:leftChars="162" w:firstLine="425"/>
        <w:rPr>
          <w:rFonts w:ascii="宋体" w:hAnsi="宋体" w:eastAsia="宋体" w:cs="宋体"/>
          <w:b/>
          <w:bCs/>
          <w:color w:val="auto"/>
          <w:szCs w:val="21"/>
          <w:highlight w:val="none"/>
        </w:rPr>
      </w:pPr>
      <w:bookmarkStart w:id="1073" w:name="_Toc26208_WPSOffice_Level3"/>
      <w:r>
        <w:rPr>
          <w:rFonts w:hint="eastAsia" w:ascii="宋体" w:hAnsi="宋体" w:eastAsia="宋体" w:cs="宋体"/>
          <w:b/>
          <w:bCs/>
          <w:color w:val="auto"/>
          <w:szCs w:val="21"/>
          <w:highlight w:val="none"/>
        </w:rPr>
        <w:t>附：1、我方投标保证金汇款凭证（复印件）</w:t>
      </w:r>
      <w:bookmarkEnd w:id="1073"/>
    </w:p>
    <w:p w14:paraId="0C1F09F9">
      <w:pPr>
        <w:spacing w:line="360" w:lineRule="auto"/>
        <w:ind w:left="340" w:leftChars="162" w:firstLine="839" w:firstLineChars="398"/>
        <w:rPr>
          <w:rFonts w:ascii="宋体" w:hAnsi="宋体" w:eastAsia="宋体" w:cs="宋体"/>
          <w:b/>
          <w:bCs/>
          <w:color w:val="auto"/>
          <w:szCs w:val="21"/>
          <w:highlight w:val="none"/>
        </w:rPr>
      </w:pPr>
      <w:bookmarkStart w:id="1074" w:name="_Toc12992_WPSOffice_Level3"/>
      <w:r>
        <w:rPr>
          <w:rFonts w:hint="eastAsia" w:ascii="宋体" w:hAnsi="宋体" w:eastAsia="宋体" w:cs="宋体"/>
          <w:b/>
          <w:bCs/>
          <w:color w:val="auto"/>
          <w:szCs w:val="21"/>
          <w:highlight w:val="none"/>
        </w:rPr>
        <w:t>2、我方基本账户开户许可证（复印件）</w:t>
      </w:r>
      <w:bookmarkEnd w:id="1074"/>
    </w:p>
    <w:p w14:paraId="2D1EB36B">
      <w:pPr>
        <w:spacing w:line="360" w:lineRule="auto"/>
        <w:ind w:left="340" w:leftChars="162" w:firstLine="736" w:firstLineChars="349"/>
        <w:rPr>
          <w:rFonts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注：本情况说明手写无效。</w:t>
      </w:r>
    </w:p>
    <w:p w14:paraId="37860D8A">
      <w:pPr>
        <w:autoSpaceDE w:val="0"/>
        <w:autoSpaceDN w:val="0"/>
        <w:adjustRightInd w:val="0"/>
        <w:spacing w:line="360" w:lineRule="auto"/>
        <w:ind w:firstLine="5145" w:firstLineChars="2450"/>
        <w:rPr>
          <w:rFonts w:ascii="宋体" w:hAnsi="宋体" w:eastAsia="宋体" w:cs="宋体"/>
          <w:color w:val="auto"/>
          <w:szCs w:val="24"/>
          <w:highlight w:val="none"/>
          <w:lang w:val="zh-CN"/>
        </w:rPr>
      </w:pPr>
    </w:p>
    <w:p w14:paraId="77DFE328">
      <w:pPr>
        <w:spacing w:line="360" w:lineRule="auto"/>
        <w:ind w:left="340" w:leftChars="162" w:firstLine="736" w:firstLineChars="349"/>
        <w:rPr>
          <w:rFonts w:ascii="宋体" w:hAnsi="宋体" w:eastAsia="宋体" w:cs="宋体"/>
          <w:b/>
          <w:color w:val="auto"/>
          <w:kern w:val="0"/>
          <w:szCs w:val="21"/>
          <w:highlight w:val="none"/>
        </w:rPr>
      </w:pPr>
      <w:bookmarkStart w:id="1075" w:name="_Toc533708134"/>
      <w:bookmarkStart w:id="1076" w:name="_Toc486167721"/>
    </w:p>
    <w:p w14:paraId="1EB12029">
      <w:pPr>
        <w:spacing w:line="360" w:lineRule="auto"/>
        <w:ind w:left="340" w:leftChars="162" w:firstLine="1121" w:firstLineChars="349"/>
        <w:rPr>
          <w:rFonts w:hint="eastAsia" w:ascii="宋体" w:hAnsi="宋体" w:eastAsia="宋体" w:cs="宋体"/>
          <w:b/>
          <w:bCs/>
          <w:color w:val="auto"/>
          <w:kern w:val="0"/>
          <w:sz w:val="32"/>
          <w:szCs w:val="32"/>
          <w:highlight w:val="none"/>
          <w:lang w:val="zh-CN"/>
        </w:rPr>
      </w:pPr>
      <w:bookmarkStart w:id="1077" w:name="_Toc94107221"/>
      <w:bookmarkStart w:id="1078" w:name="_Toc102860084"/>
      <w:bookmarkStart w:id="1079" w:name="_Toc1977738"/>
      <w:bookmarkStart w:id="1080" w:name="_Toc24616"/>
      <w:bookmarkStart w:id="1081" w:name="_Toc102860428"/>
      <w:bookmarkStart w:id="1082" w:name="_Toc140596939"/>
      <w:bookmarkStart w:id="1083" w:name="_Toc142508379"/>
      <w:bookmarkStart w:id="1084" w:name="_Toc104991886"/>
    </w:p>
    <w:p w14:paraId="03C67779">
      <w:pPr>
        <w:spacing w:line="360" w:lineRule="auto"/>
        <w:ind w:left="340" w:leftChars="162" w:firstLine="1121" w:firstLineChars="349"/>
        <w:rPr>
          <w:rFonts w:hint="eastAsia" w:ascii="宋体" w:hAnsi="宋体" w:eastAsia="宋体" w:cs="宋体"/>
          <w:b/>
          <w:bCs/>
          <w:color w:val="auto"/>
          <w:kern w:val="0"/>
          <w:sz w:val="32"/>
          <w:szCs w:val="32"/>
          <w:highlight w:val="none"/>
          <w:lang w:val="zh-CN"/>
        </w:rPr>
      </w:pPr>
    </w:p>
    <w:p w14:paraId="6D3FD776">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sectPr>
          <w:pgSz w:w="12240" w:h="15840"/>
          <w:pgMar w:top="1191" w:right="1043" w:bottom="1191" w:left="1043" w:header="720" w:footer="720" w:gutter="0"/>
          <w:cols w:space="720" w:num="1"/>
          <w:titlePg/>
          <w:docGrid w:linePitch="326" w:charSpace="0"/>
        </w:sectPr>
      </w:pPr>
      <w:bookmarkStart w:id="1085" w:name="_Toc26453"/>
      <w:bookmarkStart w:id="1086" w:name="_Toc5389"/>
      <w:bookmarkStart w:id="1087" w:name="_Toc26662"/>
      <w:bookmarkStart w:id="1088" w:name="_Toc29939"/>
      <w:bookmarkStart w:id="1089" w:name="_Toc2007"/>
      <w:bookmarkStart w:id="1090" w:name="_Toc14359"/>
      <w:bookmarkStart w:id="1091" w:name="_Toc29652"/>
      <w:bookmarkStart w:id="1092" w:name="_Toc29723"/>
      <w:r>
        <w:rPr>
          <w:rFonts w:hint="eastAsia" w:ascii="宋体" w:hAnsi="宋体" w:eastAsia="宋体" w:cs="宋体"/>
          <w:b/>
          <w:bCs/>
          <w:color w:val="auto"/>
          <w:kern w:val="0"/>
          <w:sz w:val="32"/>
          <w:szCs w:val="32"/>
          <w:highlight w:val="none"/>
          <w:lang w:val="zh-CN"/>
        </w:rPr>
        <w:t>十</w:t>
      </w:r>
      <w:r>
        <w:rPr>
          <w:rFonts w:hint="eastAsia" w:ascii="宋体" w:hAnsi="宋体" w:eastAsia="宋体" w:cs="宋体"/>
          <w:b/>
          <w:bCs/>
          <w:color w:val="auto"/>
          <w:kern w:val="0"/>
          <w:sz w:val="32"/>
          <w:szCs w:val="32"/>
          <w:highlight w:val="none"/>
          <w:lang w:val="en-US" w:eastAsia="zh-CN"/>
        </w:rPr>
        <w:t>一</w:t>
      </w:r>
      <w:r>
        <w:rPr>
          <w:rFonts w:hint="eastAsia" w:ascii="宋体" w:hAnsi="宋体" w:eastAsia="宋体" w:cs="宋体"/>
          <w:b/>
          <w:bCs/>
          <w:color w:val="auto"/>
          <w:kern w:val="0"/>
          <w:sz w:val="32"/>
          <w:szCs w:val="32"/>
          <w:highlight w:val="none"/>
          <w:lang w:val="zh-CN"/>
        </w:rPr>
        <w:t>、投标人资格证明文件以外的其他资质证书、知识产权证书及获得的相关获奖、认证证书、社会评价资料证明文件复印件等投标人认为有需要证明其具备为本次招标项目提供服务能力的有关其它商务文件（不做强制要求）</w:t>
      </w:r>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p>
    <w:p w14:paraId="53320016">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pPr>
      <w:bookmarkStart w:id="1093" w:name="_Toc7148"/>
      <w:bookmarkStart w:id="1094" w:name="_Toc1977739"/>
      <w:bookmarkStart w:id="1095" w:name="_Toc18038"/>
      <w:bookmarkStart w:id="1096" w:name="_Toc102860429"/>
      <w:bookmarkStart w:id="1097" w:name="_Toc10117"/>
      <w:bookmarkStart w:id="1098" w:name="_Toc94107222"/>
      <w:bookmarkStart w:id="1099" w:name="_Toc140596940"/>
      <w:bookmarkStart w:id="1100" w:name="_Toc102860085"/>
      <w:bookmarkStart w:id="1101" w:name="_Toc31916"/>
      <w:bookmarkStart w:id="1102" w:name="_Toc17980"/>
      <w:bookmarkStart w:id="1103" w:name="_Toc18365"/>
      <w:bookmarkStart w:id="1104" w:name="_Toc27482"/>
      <w:bookmarkStart w:id="1105" w:name="_Toc38"/>
      <w:bookmarkStart w:id="1106" w:name="_Toc28419"/>
      <w:bookmarkStart w:id="1107" w:name="_Toc142508380"/>
      <w:bookmarkStart w:id="1108" w:name="_Toc104991887"/>
      <w:r>
        <w:rPr>
          <w:rFonts w:hint="eastAsia" w:ascii="宋体" w:hAnsi="宋体" w:eastAsia="宋体" w:cs="宋体"/>
          <w:b/>
          <w:color w:val="auto"/>
          <w:kern w:val="0"/>
          <w:sz w:val="32"/>
          <w:szCs w:val="32"/>
          <w:highlight w:val="none"/>
        </w:rPr>
        <w:t>十</w:t>
      </w:r>
      <w:r>
        <w:rPr>
          <w:rFonts w:hint="eastAsia" w:ascii="宋体" w:hAnsi="宋体" w:eastAsia="宋体" w:cs="宋体"/>
          <w:b/>
          <w:color w:val="auto"/>
          <w:kern w:val="0"/>
          <w:sz w:val="32"/>
          <w:szCs w:val="32"/>
          <w:highlight w:val="none"/>
          <w:lang w:val="en-US" w:eastAsia="zh-CN"/>
        </w:rPr>
        <w:t>二</w:t>
      </w:r>
      <w:r>
        <w:rPr>
          <w:rFonts w:hint="eastAsia" w:ascii="宋体" w:hAnsi="宋体" w:eastAsia="宋体" w:cs="宋体"/>
          <w:b/>
          <w:color w:val="auto"/>
          <w:kern w:val="0"/>
          <w:sz w:val="32"/>
          <w:szCs w:val="32"/>
          <w:highlight w:val="none"/>
        </w:rPr>
        <w:t>、技术响应文件格式</w:t>
      </w:r>
      <w:bookmarkEnd w:id="1075"/>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p>
    <w:p w14:paraId="76D303C4">
      <w:pPr>
        <w:tabs>
          <w:tab w:val="left" w:pos="8640"/>
        </w:tabs>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投标人应按照招标文件投标人须知关于投标文件组成部分的要求编制技术文件，主要包括但不限于以下内容：</w:t>
      </w:r>
    </w:p>
    <w:p w14:paraId="0A729447">
      <w:pPr>
        <w:spacing w:line="360" w:lineRule="auto"/>
        <w:ind w:left="443" w:leftChars="77" w:hanging="281" w:hangingChars="134"/>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1、用户需求响应程度（即1</w:t>
      </w:r>
      <w:r>
        <w:rPr>
          <w:rFonts w:hint="eastAsia" w:ascii="宋体" w:hAnsi="宋体" w:eastAsia="宋体" w:cs="宋体"/>
          <w:color w:val="auto"/>
          <w:kern w:val="0"/>
          <w:szCs w:val="21"/>
          <w:highlight w:val="none"/>
          <w:lang w:val="en-US" w:eastAsia="zh-CN"/>
        </w:rPr>
        <w:t>2</w:t>
      </w:r>
      <w:r>
        <w:rPr>
          <w:rFonts w:ascii="宋体" w:hAnsi="宋体" w:eastAsia="宋体" w:cs="宋体"/>
          <w:color w:val="auto"/>
          <w:kern w:val="0"/>
          <w:szCs w:val="21"/>
          <w:highlight w:val="none"/>
        </w:rPr>
        <w:t>.1</w:t>
      </w:r>
      <w:r>
        <w:rPr>
          <w:rFonts w:hint="eastAsia" w:ascii="宋体" w:hAnsi="宋体" w:eastAsia="宋体" w:cs="宋体"/>
          <w:color w:val="auto"/>
          <w:kern w:val="0"/>
          <w:szCs w:val="21"/>
          <w:highlight w:val="none"/>
        </w:rPr>
        <w:t>用户需求偏离表格式）；</w:t>
      </w:r>
    </w:p>
    <w:p w14:paraId="09C31FF5">
      <w:pPr>
        <w:spacing w:line="360" w:lineRule="auto"/>
        <w:ind w:left="443" w:leftChars="77" w:hanging="281" w:hangingChars="134"/>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项目服务总方案</w:t>
      </w:r>
      <w:r>
        <w:rPr>
          <w:rFonts w:hint="eastAsia" w:ascii="宋体" w:hAnsi="宋体" w:eastAsia="宋体" w:cs="宋体"/>
          <w:color w:val="auto"/>
          <w:kern w:val="0"/>
          <w:szCs w:val="21"/>
          <w:highlight w:val="none"/>
        </w:rPr>
        <w:t>；</w:t>
      </w:r>
    </w:p>
    <w:p w14:paraId="62B75F16">
      <w:pPr>
        <w:spacing w:line="360" w:lineRule="auto"/>
        <w:ind w:left="443" w:leftChars="77" w:hanging="281" w:hangingChars="134"/>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3、项目衔接方案；</w:t>
      </w:r>
    </w:p>
    <w:p w14:paraId="6FEB7625">
      <w:pPr>
        <w:spacing w:line="360" w:lineRule="auto"/>
        <w:ind w:left="443" w:leftChars="77" w:hanging="281" w:hangingChars="134"/>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污泥减量化（脱水至含水率≤50%）方案</w:t>
      </w:r>
      <w:r>
        <w:rPr>
          <w:rFonts w:hint="eastAsia" w:ascii="宋体" w:hAnsi="宋体" w:eastAsia="宋体" w:cs="宋体"/>
          <w:color w:val="auto"/>
          <w:kern w:val="0"/>
          <w:szCs w:val="21"/>
          <w:highlight w:val="none"/>
        </w:rPr>
        <w:t>；</w:t>
      </w:r>
    </w:p>
    <w:p w14:paraId="38D6B5E8">
      <w:pPr>
        <w:spacing w:line="360" w:lineRule="auto"/>
        <w:ind w:left="443" w:leftChars="77" w:hanging="281" w:hangingChars="134"/>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泥块外运及最终处置方案</w:t>
      </w:r>
      <w:r>
        <w:rPr>
          <w:rFonts w:hint="eastAsia" w:ascii="宋体" w:hAnsi="宋体" w:eastAsia="宋体" w:cs="宋体"/>
          <w:color w:val="auto"/>
          <w:kern w:val="0"/>
          <w:szCs w:val="21"/>
          <w:highlight w:val="none"/>
        </w:rPr>
        <w:t>；</w:t>
      </w:r>
    </w:p>
    <w:p w14:paraId="37971CED">
      <w:pPr>
        <w:spacing w:line="360" w:lineRule="auto"/>
        <w:ind w:left="443" w:leftChars="77" w:hanging="281" w:hangingChars="134"/>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、投标人认为有必要提供的其它材料（不做强制要求）。</w:t>
      </w:r>
    </w:p>
    <w:p w14:paraId="76765F63">
      <w:pPr>
        <w:pStyle w:val="20"/>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br w:type="page"/>
      </w:r>
      <w:bookmarkEnd w:id="1076"/>
      <w:bookmarkStart w:id="1109" w:name="_Toc140596941"/>
      <w:bookmarkStart w:id="1110" w:name="_Toc533708135"/>
      <w:bookmarkStart w:id="1111" w:name="_Toc142508381"/>
      <w:bookmarkStart w:id="1112" w:name="_Toc102860086"/>
      <w:bookmarkStart w:id="1113" w:name="_Toc1977740"/>
      <w:bookmarkStart w:id="1114" w:name="_Toc94107223"/>
      <w:bookmarkStart w:id="1115" w:name="_Toc102860430"/>
      <w:bookmarkStart w:id="1116" w:name="_Toc104991888"/>
    </w:p>
    <w:p w14:paraId="2C4C1871">
      <w:pPr>
        <w:pStyle w:val="20"/>
        <w:spacing w:line="360" w:lineRule="auto"/>
        <w:jc w:val="center"/>
        <w:rPr>
          <w:rFonts w:hint="eastAsia" w:ascii="宋体" w:hAnsi="宋体" w:eastAsia="宋体" w:cs="宋体"/>
          <w:b/>
          <w:color w:val="auto"/>
          <w:kern w:val="0"/>
          <w:szCs w:val="21"/>
          <w:highlight w:val="none"/>
        </w:rPr>
      </w:pPr>
    </w:p>
    <w:p w14:paraId="706EF2F0">
      <w:pPr>
        <w:pStyle w:val="20"/>
        <w:spacing w:line="360" w:lineRule="auto"/>
        <w:jc w:val="center"/>
        <w:rPr>
          <w:rFonts w:hint="eastAsia" w:ascii="宋体" w:hAnsi="宋体" w:eastAsia="宋体" w:cs="宋体"/>
          <w:b/>
          <w:color w:val="auto"/>
          <w:kern w:val="0"/>
          <w:szCs w:val="21"/>
          <w:highlight w:val="none"/>
        </w:rPr>
      </w:pPr>
    </w:p>
    <w:p w14:paraId="55CA59D9">
      <w:pPr>
        <w:pStyle w:val="20"/>
        <w:spacing w:line="360" w:lineRule="auto"/>
        <w:jc w:val="center"/>
        <w:rPr>
          <w:rFonts w:hint="eastAsia" w:ascii="宋体" w:hAnsi="宋体" w:eastAsia="宋体" w:cs="宋体"/>
          <w:b/>
          <w:color w:val="auto"/>
          <w:kern w:val="0"/>
          <w:szCs w:val="21"/>
          <w:highlight w:val="none"/>
        </w:rPr>
      </w:pPr>
    </w:p>
    <w:p w14:paraId="16AA1510">
      <w:pPr>
        <w:pStyle w:val="20"/>
        <w:spacing w:line="360" w:lineRule="auto"/>
        <w:jc w:val="center"/>
        <w:rPr>
          <w:rFonts w:hint="eastAsia" w:ascii="宋体" w:hAnsi="宋体" w:eastAsia="宋体" w:cs="宋体"/>
          <w:b/>
          <w:color w:val="auto"/>
          <w:kern w:val="0"/>
          <w:szCs w:val="21"/>
          <w:highlight w:val="none"/>
        </w:rPr>
      </w:pPr>
    </w:p>
    <w:p w14:paraId="77EB8C86">
      <w:pPr>
        <w:pStyle w:val="20"/>
        <w:spacing w:line="360" w:lineRule="auto"/>
        <w:jc w:val="center"/>
        <w:rPr>
          <w:rFonts w:hint="eastAsia" w:ascii="宋体" w:hAnsi="宋体" w:eastAsia="宋体" w:cs="宋体"/>
          <w:b/>
          <w:color w:val="auto"/>
          <w:kern w:val="0"/>
          <w:szCs w:val="21"/>
          <w:highlight w:val="none"/>
        </w:rPr>
      </w:pPr>
    </w:p>
    <w:p w14:paraId="64F9F268">
      <w:pPr>
        <w:pStyle w:val="20"/>
        <w:spacing w:line="360" w:lineRule="auto"/>
        <w:jc w:val="center"/>
        <w:rPr>
          <w:rFonts w:hint="eastAsia" w:ascii="宋体" w:hAnsi="宋体" w:eastAsia="宋体" w:cs="宋体"/>
          <w:b/>
          <w:color w:val="auto"/>
          <w:kern w:val="0"/>
          <w:szCs w:val="21"/>
          <w:highlight w:val="none"/>
        </w:rPr>
      </w:pPr>
    </w:p>
    <w:p w14:paraId="74204672">
      <w:pPr>
        <w:pStyle w:val="20"/>
        <w:spacing w:line="360" w:lineRule="auto"/>
        <w:jc w:val="center"/>
        <w:rPr>
          <w:rFonts w:hint="eastAsia" w:ascii="宋体" w:hAnsi="宋体" w:eastAsia="宋体" w:cs="宋体"/>
          <w:b/>
          <w:color w:val="auto"/>
          <w:kern w:val="0"/>
          <w:szCs w:val="21"/>
          <w:highlight w:val="none"/>
        </w:rPr>
      </w:pPr>
    </w:p>
    <w:p w14:paraId="23EA5E8E">
      <w:pPr>
        <w:pStyle w:val="20"/>
        <w:spacing w:line="360" w:lineRule="auto"/>
        <w:jc w:val="center"/>
        <w:rPr>
          <w:rFonts w:hint="eastAsia" w:ascii="宋体" w:hAnsi="宋体" w:eastAsia="宋体" w:cs="宋体"/>
          <w:b/>
          <w:color w:val="auto"/>
          <w:kern w:val="0"/>
          <w:szCs w:val="21"/>
          <w:highlight w:val="none"/>
        </w:rPr>
      </w:pPr>
    </w:p>
    <w:p w14:paraId="2BCE6ABE">
      <w:pPr>
        <w:pStyle w:val="20"/>
        <w:spacing w:line="360" w:lineRule="auto"/>
        <w:jc w:val="center"/>
        <w:rPr>
          <w:rFonts w:hint="eastAsia" w:ascii="宋体" w:hAnsi="宋体" w:eastAsia="宋体" w:cs="宋体"/>
          <w:color w:val="auto"/>
          <w:sz w:val="84"/>
          <w:highlight w:val="none"/>
        </w:rPr>
      </w:pPr>
      <w:r>
        <w:rPr>
          <w:rFonts w:hint="eastAsia" w:ascii="宋体" w:hAnsi="宋体" w:eastAsia="宋体" w:cs="宋体"/>
          <w:color w:val="auto"/>
          <w:sz w:val="84"/>
          <w:highlight w:val="none"/>
        </w:rPr>
        <w:t>投 标 文 件</w:t>
      </w:r>
    </w:p>
    <w:p w14:paraId="7630BA4E">
      <w:pPr>
        <w:pStyle w:val="20"/>
        <w:spacing w:line="360" w:lineRule="auto"/>
        <w:rPr>
          <w:rFonts w:hint="eastAsia" w:ascii="宋体" w:hAnsi="宋体" w:eastAsia="宋体" w:cs="宋体"/>
          <w:color w:val="auto"/>
          <w:highlight w:val="none"/>
        </w:rPr>
      </w:pPr>
    </w:p>
    <w:p w14:paraId="12C00941">
      <w:pPr>
        <w:pStyle w:val="20"/>
        <w:spacing w:line="360" w:lineRule="auto"/>
        <w:rPr>
          <w:rFonts w:hint="eastAsia" w:ascii="宋体" w:hAnsi="宋体" w:eastAsia="宋体" w:cs="宋体"/>
          <w:color w:val="auto"/>
          <w:highlight w:val="none"/>
        </w:rPr>
      </w:pPr>
    </w:p>
    <w:p w14:paraId="1589D9EE">
      <w:pPr>
        <w:pStyle w:val="20"/>
        <w:spacing w:line="360" w:lineRule="auto"/>
        <w:rPr>
          <w:rFonts w:hint="eastAsia" w:ascii="宋体" w:hAnsi="宋体" w:eastAsia="宋体" w:cs="宋体"/>
          <w:color w:val="auto"/>
          <w:highlight w:val="none"/>
        </w:rPr>
      </w:pPr>
    </w:p>
    <w:p w14:paraId="73EA8283">
      <w:pPr>
        <w:pStyle w:val="20"/>
        <w:spacing w:line="360" w:lineRule="auto"/>
        <w:rPr>
          <w:rFonts w:hint="eastAsia" w:ascii="宋体" w:hAnsi="宋体" w:eastAsia="宋体" w:cs="宋体"/>
          <w:color w:val="auto"/>
          <w:highlight w:val="none"/>
        </w:rPr>
      </w:pPr>
    </w:p>
    <w:p w14:paraId="4AFBA5D5">
      <w:pPr>
        <w:pStyle w:val="20"/>
        <w:spacing w:line="360" w:lineRule="auto"/>
        <w:rPr>
          <w:rFonts w:hint="eastAsia" w:ascii="宋体" w:hAnsi="宋体" w:eastAsia="宋体" w:cs="宋体"/>
          <w:color w:val="auto"/>
          <w:highlight w:val="none"/>
        </w:rPr>
      </w:pPr>
    </w:p>
    <w:p w14:paraId="7D8B6E52">
      <w:pPr>
        <w:pStyle w:val="20"/>
        <w:spacing w:line="360" w:lineRule="auto"/>
        <w:rPr>
          <w:rFonts w:hint="eastAsia" w:ascii="宋体" w:hAnsi="宋体" w:eastAsia="宋体" w:cs="宋体"/>
          <w:color w:val="auto"/>
          <w:highlight w:val="none"/>
        </w:rPr>
      </w:pPr>
    </w:p>
    <w:p w14:paraId="34174F2F">
      <w:pPr>
        <w:pStyle w:val="20"/>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招标编号：</w:t>
      </w:r>
      <w:r>
        <w:rPr>
          <w:rFonts w:hint="eastAsia" w:ascii="宋体" w:hAnsi="宋体" w:eastAsia="宋体" w:cs="宋体"/>
          <w:color w:val="auto"/>
          <w:sz w:val="30"/>
          <w:highlight w:val="none"/>
          <w:u w:val="single"/>
        </w:rPr>
        <w:t xml:space="preserve">                      </w:t>
      </w:r>
    </w:p>
    <w:p w14:paraId="018513AB">
      <w:pPr>
        <w:pStyle w:val="20"/>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项目名称：</w:t>
      </w:r>
      <w:r>
        <w:rPr>
          <w:rFonts w:hint="eastAsia" w:ascii="宋体" w:hAnsi="宋体" w:eastAsia="宋体" w:cs="宋体"/>
          <w:color w:val="auto"/>
          <w:sz w:val="30"/>
          <w:highlight w:val="none"/>
          <w:u w:val="single"/>
        </w:rPr>
        <w:t xml:space="preserve">                      </w:t>
      </w:r>
    </w:p>
    <w:p w14:paraId="43CE4BC3">
      <w:pPr>
        <w:pStyle w:val="20"/>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投标文件内容：</w:t>
      </w:r>
      <w:r>
        <w:rPr>
          <w:rFonts w:hint="eastAsia" w:ascii="宋体" w:hAnsi="宋体" w:eastAsia="宋体" w:cs="宋体"/>
          <w:color w:val="auto"/>
          <w:sz w:val="30"/>
          <w:highlight w:val="none"/>
          <w:u w:val="single"/>
        </w:rPr>
        <w:t xml:space="preserve"> 投标文件</w:t>
      </w:r>
      <w:r>
        <w:rPr>
          <w:rFonts w:hint="eastAsia" w:ascii="宋体" w:hAnsi="宋体" w:cs="宋体"/>
          <w:color w:val="auto"/>
          <w:sz w:val="30"/>
          <w:highlight w:val="none"/>
          <w:u w:val="single"/>
          <w:lang w:val="en-US" w:eastAsia="zh-CN"/>
        </w:rPr>
        <w:t>技术</w:t>
      </w:r>
      <w:r>
        <w:rPr>
          <w:rFonts w:hint="eastAsia" w:ascii="宋体" w:hAnsi="宋体" w:eastAsia="宋体" w:cs="宋体"/>
          <w:color w:val="auto"/>
          <w:sz w:val="30"/>
          <w:highlight w:val="none"/>
          <w:u w:val="single"/>
        </w:rPr>
        <w:t xml:space="preserve">部分 </w:t>
      </w:r>
    </w:p>
    <w:p w14:paraId="5A9AA987">
      <w:pPr>
        <w:pStyle w:val="20"/>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招标人：</w:t>
      </w:r>
      <w:r>
        <w:rPr>
          <w:rFonts w:hint="eastAsia" w:ascii="宋体" w:hAnsi="宋体" w:eastAsia="宋体" w:cs="宋体"/>
          <w:color w:val="auto"/>
          <w:sz w:val="30"/>
          <w:highlight w:val="none"/>
          <w:u w:val="single"/>
        </w:rPr>
        <w:t xml:space="preserve">                        </w:t>
      </w:r>
    </w:p>
    <w:p w14:paraId="1BBEA9A4">
      <w:pPr>
        <w:pStyle w:val="20"/>
        <w:spacing w:line="360" w:lineRule="auto"/>
        <w:ind w:firstLine="1875" w:firstLineChars="625"/>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投标人：</w:t>
      </w:r>
      <w:r>
        <w:rPr>
          <w:rFonts w:hint="eastAsia" w:ascii="宋体" w:hAnsi="宋体" w:eastAsia="宋体" w:cs="宋体"/>
          <w:color w:val="auto"/>
          <w:sz w:val="30"/>
          <w:highlight w:val="none"/>
          <w:u w:val="single"/>
        </w:rPr>
        <w:t xml:space="preserve">                        </w:t>
      </w:r>
    </w:p>
    <w:p w14:paraId="45C2E9AB">
      <w:pPr>
        <w:pStyle w:val="20"/>
        <w:spacing w:line="360" w:lineRule="auto"/>
        <w:ind w:firstLine="1875" w:firstLineChars="625"/>
        <w:rPr>
          <w:rFonts w:hint="eastAsia" w:ascii="宋体" w:hAnsi="宋体" w:eastAsia="宋体" w:cs="宋体"/>
          <w:color w:val="auto"/>
          <w:sz w:val="30"/>
          <w:highlight w:val="none"/>
        </w:rPr>
      </w:pPr>
      <w:r>
        <w:rPr>
          <w:rFonts w:hint="eastAsia" w:ascii="宋体" w:hAnsi="宋体" w:eastAsia="宋体" w:cs="宋体"/>
          <w:color w:val="auto"/>
          <w:sz w:val="30"/>
          <w:highlight w:val="none"/>
        </w:rPr>
        <w:t>日  期：</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年</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月</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日</w:t>
      </w:r>
    </w:p>
    <w:p w14:paraId="2485A953">
      <w:pPr>
        <w:pStyle w:val="20"/>
        <w:spacing w:line="360" w:lineRule="auto"/>
        <w:rPr>
          <w:rFonts w:hint="eastAsia" w:ascii="宋体" w:hAnsi="宋体" w:eastAsia="宋体" w:cs="宋体"/>
          <w:color w:val="auto"/>
          <w:highlight w:val="none"/>
        </w:rPr>
      </w:pPr>
    </w:p>
    <w:p w14:paraId="3B842C3B">
      <w:pPr>
        <w:pStyle w:val="2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6EEFFF2D">
      <w:pPr>
        <w:pStyle w:val="20"/>
        <w:spacing w:line="360" w:lineRule="auto"/>
        <w:rPr>
          <w:rFonts w:hint="eastAsia" w:ascii="宋体" w:hAnsi="宋体" w:eastAsia="宋体" w:cs="宋体"/>
          <w:color w:val="auto"/>
          <w:highlight w:val="none"/>
        </w:rPr>
      </w:pPr>
    </w:p>
    <w:p w14:paraId="50953BAA">
      <w:pPr>
        <w:pBdr>
          <w:bottom w:val="single" w:color="auto" w:sz="6" w:space="0"/>
        </w:pBdr>
        <w:spacing w:line="480" w:lineRule="auto"/>
        <w:ind w:firstLine="472" w:firstLineChars="224"/>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投标文件</w:t>
      </w:r>
      <w:r>
        <w:rPr>
          <w:rFonts w:hint="eastAsia" w:ascii="宋体" w:hAnsi="宋体" w:eastAsia="宋体" w:cs="宋体"/>
          <w:b/>
          <w:bCs/>
          <w:color w:val="auto"/>
          <w:szCs w:val="21"/>
          <w:highlight w:val="none"/>
          <w:lang w:val="en-US" w:eastAsia="zh-CN"/>
        </w:rPr>
        <w:t>技术</w:t>
      </w:r>
      <w:r>
        <w:rPr>
          <w:rFonts w:hint="eastAsia" w:ascii="宋体" w:hAnsi="宋体" w:eastAsia="宋体" w:cs="宋体"/>
          <w:b/>
          <w:bCs/>
          <w:color w:val="auto"/>
          <w:szCs w:val="21"/>
          <w:highlight w:val="none"/>
        </w:rPr>
        <w:t>评审部分索引表</w:t>
      </w:r>
    </w:p>
    <w:tbl>
      <w:tblPr>
        <w:tblStyle w:val="37"/>
        <w:tblW w:w="499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1379"/>
        <w:gridCol w:w="2773"/>
        <w:gridCol w:w="2171"/>
        <w:gridCol w:w="4045"/>
      </w:tblGrid>
      <w:tr w14:paraId="455F1F7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665" w:type="pct"/>
            <w:vAlign w:val="center"/>
          </w:tcPr>
          <w:p w14:paraId="1174C18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1337" w:type="pct"/>
            <w:vAlign w:val="center"/>
          </w:tcPr>
          <w:p w14:paraId="1C0E1C2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评标项目</w:t>
            </w:r>
          </w:p>
        </w:tc>
        <w:tc>
          <w:tcPr>
            <w:tcW w:w="1047" w:type="pct"/>
            <w:vAlign w:val="center"/>
          </w:tcPr>
          <w:p w14:paraId="3E21E32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招标文件上的满分值</w:t>
            </w:r>
          </w:p>
        </w:tc>
        <w:tc>
          <w:tcPr>
            <w:tcW w:w="1950" w:type="pct"/>
            <w:tcBorders>
              <w:left w:val="single" w:color="auto" w:sz="4" w:space="0"/>
            </w:tcBorders>
            <w:vAlign w:val="center"/>
          </w:tcPr>
          <w:p w14:paraId="7DD3734F">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页码索引</w:t>
            </w:r>
          </w:p>
        </w:tc>
      </w:tr>
      <w:tr w14:paraId="02F4741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665" w:type="pct"/>
            <w:vAlign w:val="center"/>
          </w:tcPr>
          <w:p w14:paraId="4893EED6">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1337" w:type="pct"/>
            <w:vAlign w:val="center"/>
          </w:tcPr>
          <w:p w14:paraId="4243890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1047" w:type="pct"/>
            <w:vAlign w:val="center"/>
          </w:tcPr>
          <w:p w14:paraId="573E1284">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1950" w:type="pct"/>
            <w:tcBorders>
              <w:left w:val="single" w:color="auto" w:sz="4" w:space="0"/>
            </w:tcBorders>
            <w:vAlign w:val="center"/>
          </w:tcPr>
          <w:p w14:paraId="5A0CBD5F">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bCs/>
                <w:color w:val="auto"/>
                <w:szCs w:val="21"/>
                <w:highlight w:val="none"/>
              </w:rPr>
            </w:pPr>
          </w:p>
        </w:tc>
      </w:tr>
      <w:tr w14:paraId="5772AE9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665" w:type="pct"/>
            <w:vAlign w:val="center"/>
          </w:tcPr>
          <w:p w14:paraId="4CBD5D55">
            <w:pPr>
              <w:keepNext w:val="0"/>
              <w:keepLines w:val="0"/>
              <w:suppressLineNumbers w:val="0"/>
              <w:spacing w:before="0" w:beforeAutospacing="0" w:after="0" w:afterAutospacing="0"/>
              <w:ind w:left="0" w:right="0"/>
              <w:rPr>
                <w:rFonts w:hint="eastAsia" w:ascii="宋体" w:hAnsi="宋体" w:eastAsia="宋体" w:cs="宋体"/>
                <w:bCs/>
                <w:color w:val="auto"/>
                <w:szCs w:val="21"/>
                <w:highlight w:val="none"/>
              </w:rPr>
            </w:pPr>
          </w:p>
        </w:tc>
        <w:tc>
          <w:tcPr>
            <w:tcW w:w="1337" w:type="pct"/>
            <w:vAlign w:val="center"/>
          </w:tcPr>
          <w:p w14:paraId="6510B4C9">
            <w:pPr>
              <w:keepNext w:val="0"/>
              <w:keepLines w:val="0"/>
              <w:suppressLineNumbers w:val="0"/>
              <w:spacing w:before="0" w:beforeAutospacing="0" w:after="0" w:afterAutospacing="0"/>
              <w:ind w:left="0" w:right="0"/>
              <w:rPr>
                <w:rFonts w:hint="eastAsia" w:ascii="宋体" w:hAnsi="宋体" w:eastAsia="宋体" w:cs="宋体"/>
                <w:bCs/>
                <w:color w:val="auto"/>
                <w:szCs w:val="21"/>
                <w:highlight w:val="none"/>
              </w:rPr>
            </w:pPr>
          </w:p>
        </w:tc>
        <w:tc>
          <w:tcPr>
            <w:tcW w:w="1047" w:type="pct"/>
            <w:vAlign w:val="center"/>
          </w:tcPr>
          <w:p w14:paraId="072A909F">
            <w:pPr>
              <w:keepNext w:val="0"/>
              <w:keepLines w:val="0"/>
              <w:suppressLineNumbers w:val="0"/>
              <w:spacing w:before="0" w:beforeAutospacing="0" w:after="0" w:afterAutospacing="0"/>
              <w:ind w:left="0" w:right="0"/>
              <w:rPr>
                <w:rFonts w:hint="eastAsia" w:ascii="宋体" w:hAnsi="宋体" w:eastAsia="宋体" w:cs="宋体"/>
                <w:bCs/>
                <w:color w:val="auto"/>
                <w:szCs w:val="21"/>
                <w:highlight w:val="none"/>
              </w:rPr>
            </w:pPr>
          </w:p>
        </w:tc>
        <w:tc>
          <w:tcPr>
            <w:tcW w:w="1950" w:type="pct"/>
            <w:tcBorders>
              <w:left w:val="single" w:color="auto" w:sz="4" w:space="0"/>
            </w:tcBorders>
            <w:vAlign w:val="center"/>
          </w:tcPr>
          <w:p w14:paraId="2ED1A9DE">
            <w:pPr>
              <w:keepNext w:val="0"/>
              <w:keepLines w:val="0"/>
              <w:suppressLineNumbers w:val="0"/>
              <w:adjustRightInd w:val="0"/>
              <w:snapToGrid w:val="0"/>
              <w:spacing w:before="0" w:beforeAutospacing="0" w:after="0" w:afterAutospacing="0" w:line="360" w:lineRule="auto"/>
              <w:ind w:left="0" w:right="0" w:firstLine="105" w:firstLineChars="50"/>
              <w:rPr>
                <w:rFonts w:hint="eastAsia" w:ascii="宋体" w:hAnsi="宋体" w:eastAsia="宋体" w:cs="宋体"/>
                <w:bCs/>
                <w:color w:val="auto"/>
                <w:szCs w:val="21"/>
                <w:highlight w:val="none"/>
              </w:rPr>
            </w:pPr>
          </w:p>
        </w:tc>
      </w:tr>
      <w:tr w14:paraId="0F4B0E3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665" w:type="pct"/>
            <w:vAlign w:val="center"/>
          </w:tcPr>
          <w:p w14:paraId="0682F7A1">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1337" w:type="pct"/>
            <w:vAlign w:val="center"/>
          </w:tcPr>
          <w:p w14:paraId="2A4D81D7">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bCs/>
                <w:color w:val="auto"/>
                <w:szCs w:val="21"/>
                <w:highlight w:val="none"/>
              </w:rPr>
            </w:pPr>
          </w:p>
        </w:tc>
        <w:tc>
          <w:tcPr>
            <w:tcW w:w="1047" w:type="pct"/>
            <w:vAlign w:val="center"/>
          </w:tcPr>
          <w:p w14:paraId="6713E05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1950" w:type="pct"/>
            <w:tcBorders>
              <w:left w:val="single" w:color="auto" w:sz="4" w:space="0"/>
            </w:tcBorders>
            <w:vAlign w:val="center"/>
          </w:tcPr>
          <w:p w14:paraId="74CAAAA3">
            <w:pPr>
              <w:keepNext w:val="0"/>
              <w:keepLines w:val="0"/>
              <w:suppressLineNumbers w:val="0"/>
              <w:spacing w:before="0" w:beforeAutospacing="0" w:after="0" w:afterAutospacing="0" w:line="360" w:lineRule="auto"/>
              <w:ind w:left="0" w:right="0" w:firstLine="8" w:firstLineChars="4"/>
              <w:rPr>
                <w:rFonts w:hint="eastAsia" w:ascii="宋体" w:hAnsi="宋体" w:eastAsia="宋体" w:cs="宋体"/>
                <w:bCs/>
                <w:color w:val="auto"/>
                <w:szCs w:val="21"/>
                <w:highlight w:val="none"/>
              </w:rPr>
            </w:pPr>
          </w:p>
        </w:tc>
      </w:tr>
      <w:tr w14:paraId="51C722A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665" w:type="pct"/>
            <w:tcBorders>
              <w:top w:val="single" w:color="auto" w:sz="6" w:space="0"/>
              <w:left w:val="single" w:color="auto" w:sz="4" w:space="0"/>
              <w:bottom w:val="outset" w:color="808080" w:sz="6" w:space="0"/>
              <w:right w:val="single" w:color="auto" w:sz="6" w:space="0"/>
            </w:tcBorders>
            <w:vAlign w:val="center"/>
          </w:tcPr>
          <w:p w14:paraId="41BAB7C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1337" w:type="pct"/>
            <w:tcBorders>
              <w:top w:val="single" w:color="auto" w:sz="6" w:space="0"/>
              <w:left w:val="single" w:color="auto" w:sz="6" w:space="0"/>
              <w:bottom w:val="outset" w:color="808080" w:sz="6" w:space="0"/>
              <w:right w:val="single" w:color="auto" w:sz="6" w:space="0"/>
            </w:tcBorders>
            <w:vAlign w:val="center"/>
          </w:tcPr>
          <w:p w14:paraId="4A995968">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bCs/>
                <w:color w:val="auto"/>
                <w:szCs w:val="21"/>
                <w:highlight w:val="none"/>
              </w:rPr>
            </w:pPr>
          </w:p>
        </w:tc>
        <w:tc>
          <w:tcPr>
            <w:tcW w:w="1047" w:type="pct"/>
            <w:tcBorders>
              <w:top w:val="single" w:color="auto" w:sz="6" w:space="0"/>
              <w:left w:val="single" w:color="auto" w:sz="6" w:space="0"/>
              <w:bottom w:val="outset" w:color="808080" w:sz="6" w:space="0"/>
              <w:right w:val="single" w:color="auto" w:sz="6" w:space="0"/>
            </w:tcBorders>
            <w:vAlign w:val="center"/>
          </w:tcPr>
          <w:p w14:paraId="1D39530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1950" w:type="pct"/>
            <w:tcBorders>
              <w:top w:val="single" w:color="auto" w:sz="6" w:space="0"/>
              <w:left w:val="single" w:color="auto" w:sz="4" w:space="0"/>
              <w:bottom w:val="outset" w:color="808080" w:sz="6" w:space="0"/>
              <w:right w:val="single" w:color="auto" w:sz="6" w:space="0"/>
            </w:tcBorders>
            <w:vAlign w:val="center"/>
          </w:tcPr>
          <w:p w14:paraId="1B0F60AB">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bCs/>
                <w:color w:val="auto"/>
                <w:szCs w:val="21"/>
                <w:highlight w:val="none"/>
              </w:rPr>
            </w:pPr>
          </w:p>
        </w:tc>
      </w:tr>
      <w:tr w14:paraId="58D6427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2002" w:type="pct"/>
            <w:gridSpan w:val="2"/>
            <w:tcBorders>
              <w:bottom w:val="single" w:color="auto" w:sz="4" w:space="0"/>
            </w:tcBorders>
            <w:vAlign w:val="center"/>
          </w:tcPr>
          <w:p w14:paraId="5057E4B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合计</w:t>
            </w:r>
          </w:p>
        </w:tc>
        <w:tc>
          <w:tcPr>
            <w:tcW w:w="1047" w:type="pct"/>
            <w:tcBorders>
              <w:bottom w:val="single" w:color="auto" w:sz="4" w:space="0"/>
            </w:tcBorders>
            <w:vAlign w:val="center"/>
          </w:tcPr>
          <w:p w14:paraId="1A7CE563">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1950" w:type="pct"/>
            <w:tcBorders>
              <w:left w:val="single" w:color="auto" w:sz="4" w:space="0"/>
              <w:bottom w:val="single" w:color="auto" w:sz="4" w:space="0"/>
            </w:tcBorders>
            <w:vAlign w:val="center"/>
          </w:tcPr>
          <w:p w14:paraId="1B3682A7">
            <w:pPr>
              <w:keepNext w:val="0"/>
              <w:keepLines w:val="0"/>
              <w:suppressLineNumbers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r>
    </w:tbl>
    <w:p w14:paraId="7BFD79BE">
      <w:pPr>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br w:type="page"/>
      </w:r>
    </w:p>
    <w:p w14:paraId="478675C4">
      <w:pPr>
        <w:tabs>
          <w:tab w:val="left" w:pos="567"/>
        </w:tabs>
        <w:autoSpaceDE w:val="0"/>
        <w:autoSpaceDN w:val="0"/>
        <w:adjustRightInd w:val="0"/>
        <w:spacing w:line="360" w:lineRule="auto"/>
        <w:jc w:val="left"/>
        <w:outlineLvl w:val="2"/>
        <w:rPr>
          <w:rFonts w:ascii="宋体" w:hAnsi="宋体" w:eastAsia="宋体" w:cs="宋体"/>
          <w:b/>
          <w:color w:val="auto"/>
          <w:kern w:val="0"/>
          <w:sz w:val="30"/>
          <w:szCs w:val="30"/>
          <w:highlight w:val="none"/>
        </w:rPr>
      </w:pPr>
      <w:bookmarkStart w:id="1117" w:name="_Toc22628"/>
      <w:bookmarkStart w:id="1118" w:name="_Toc15899"/>
      <w:bookmarkStart w:id="1119" w:name="_Toc16250"/>
      <w:bookmarkStart w:id="1120" w:name="_Toc30448"/>
      <w:bookmarkStart w:id="1121" w:name="_Toc7228"/>
      <w:bookmarkStart w:id="1122" w:name="_Toc27934"/>
      <w:bookmarkStart w:id="1123" w:name="_Toc7770"/>
      <w:bookmarkStart w:id="1124" w:name="_Toc18999"/>
      <w:bookmarkStart w:id="1125" w:name="_Toc28153"/>
      <w:r>
        <w:rPr>
          <w:rFonts w:hint="eastAsia" w:ascii="宋体" w:hAnsi="宋体" w:eastAsia="宋体" w:cs="宋体"/>
          <w:b/>
          <w:color w:val="auto"/>
          <w:kern w:val="0"/>
          <w:sz w:val="30"/>
          <w:szCs w:val="30"/>
          <w:highlight w:val="none"/>
        </w:rPr>
        <w:t>1</w:t>
      </w:r>
      <w:r>
        <w:rPr>
          <w:rFonts w:hint="eastAsia" w:ascii="宋体" w:hAnsi="宋体" w:eastAsia="宋体" w:cs="宋体"/>
          <w:b/>
          <w:color w:val="auto"/>
          <w:kern w:val="0"/>
          <w:sz w:val="30"/>
          <w:szCs w:val="30"/>
          <w:highlight w:val="none"/>
          <w:lang w:val="en-US" w:eastAsia="zh-CN"/>
        </w:rPr>
        <w:t>2</w:t>
      </w:r>
      <w:r>
        <w:rPr>
          <w:rFonts w:hint="eastAsia" w:ascii="宋体" w:hAnsi="宋体" w:eastAsia="宋体" w:cs="宋体"/>
          <w:b/>
          <w:color w:val="auto"/>
          <w:kern w:val="0"/>
          <w:sz w:val="30"/>
          <w:szCs w:val="30"/>
          <w:highlight w:val="none"/>
        </w:rPr>
        <w:t>.1 用户需求偏离表格式</w:t>
      </w:r>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p>
    <w:p w14:paraId="12D08292">
      <w:pPr>
        <w:spacing w:before="120" w:after="120" w:line="360" w:lineRule="auto"/>
        <w:jc w:val="center"/>
        <w:rPr>
          <w:rFonts w:ascii="宋体" w:hAnsi="宋体" w:eastAsia="宋体" w:cs="Times New Roman"/>
          <w:color w:val="auto"/>
          <w:kern w:val="0"/>
          <w:szCs w:val="21"/>
          <w:highlight w:val="none"/>
        </w:rPr>
      </w:pPr>
      <w:bookmarkStart w:id="1126" w:name="_Toc17449_WPSOffice_Level3"/>
      <w:r>
        <w:rPr>
          <w:rFonts w:hint="eastAsia" w:ascii="宋体" w:hAnsi="宋体" w:eastAsia="宋体" w:cs="宋体"/>
          <w:b/>
          <w:color w:val="auto"/>
          <w:kern w:val="0"/>
          <w:sz w:val="30"/>
          <w:szCs w:val="30"/>
          <w:highlight w:val="none"/>
          <w:lang w:val="zh-CN"/>
        </w:rPr>
        <w:t>用户需求偏离表</w:t>
      </w:r>
      <w:bookmarkEnd w:id="1126"/>
    </w:p>
    <w:tbl>
      <w:tblPr>
        <w:tblStyle w:val="3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3"/>
        <w:gridCol w:w="952"/>
        <w:gridCol w:w="6414"/>
        <w:gridCol w:w="722"/>
        <w:gridCol w:w="867"/>
        <w:gridCol w:w="822"/>
      </w:tblGrid>
      <w:tr w14:paraId="2CC63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86" w:type="pct"/>
            <w:vMerge w:val="restart"/>
            <w:vAlign w:val="center"/>
          </w:tcPr>
          <w:p w14:paraId="2F01907E">
            <w:pPr>
              <w:keepNext w:val="0"/>
              <w:keepLines w:val="0"/>
              <w:pageBreakBefore w:val="0"/>
              <w:suppressLineNumbers w:val="0"/>
              <w:kinsoku/>
              <w:wordWrap/>
              <w:overflowPunct/>
              <w:topLinePunct w:val="0"/>
              <w:bidi w:val="0"/>
              <w:spacing w:before="0" w:beforeAutospacing="0" w:after="0" w:afterAutospacing="0" w:line="400" w:lineRule="exact"/>
              <w:ind w:left="0" w:right="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3551" w:type="pct"/>
            <w:gridSpan w:val="2"/>
            <w:vAlign w:val="center"/>
          </w:tcPr>
          <w:p w14:paraId="62398DD6">
            <w:pPr>
              <w:keepNext w:val="0"/>
              <w:keepLines w:val="0"/>
              <w:pageBreakBefore w:val="0"/>
              <w:suppressLineNumbers w:val="0"/>
              <w:kinsoku/>
              <w:wordWrap/>
              <w:overflowPunct/>
              <w:topLinePunct w:val="0"/>
              <w:bidi w:val="0"/>
              <w:spacing w:before="0" w:beforeAutospacing="0" w:after="0" w:afterAutospacing="0" w:line="400" w:lineRule="exact"/>
              <w:ind w:left="0" w:right="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招标文件要求</w:t>
            </w:r>
          </w:p>
        </w:tc>
        <w:tc>
          <w:tcPr>
            <w:tcW w:w="1162" w:type="pct"/>
            <w:gridSpan w:val="3"/>
            <w:vAlign w:val="center"/>
          </w:tcPr>
          <w:p w14:paraId="307D88B0">
            <w:pPr>
              <w:keepNext w:val="0"/>
              <w:keepLines w:val="0"/>
              <w:pageBreakBefore w:val="0"/>
              <w:suppressLineNumbers w:val="0"/>
              <w:kinsoku/>
              <w:wordWrap/>
              <w:overflowPunct/>
              <w:topLinePunct w:val="0"/>
              <w:bidi w:val="0"/>
              <w:spacing w:before="0" w:beforeAutospacing="0" w:after="0" w:afterAutospacing="0" w:line="400" w:lineRule="exact"/>
              <w:ind w:left="0" w:right="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投标文件内容</w:t>
            </w:r>
          </w:p>
        </w:tc>
      </w:tr>
      <w:tr w14:paraId="77D9B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86" w:type="pct"/>
            <w:vMerge w:val="continue"/>
            <w:vAlign w:val="center"/>
          </w:tcPr>
          <w:p w14:paraId="32850351">
            <w:pPr>
              <w:keepNext/>
              <w:keepLines/>
              <w:pageBreakBefore w:val="0"/>
              <w:suppressLineNumbers w:val="0"/>
              <w:kinsoku/>
              <w:wordWrap/>
              <w:overflowPunct/>
              <w:topLinePunct w:val="0"/>
              <w:bidi w:val="0"/>
              <w:spacing w:before="0" w:beforeAutospacing="0" w:after="0" w:afterAutospacing="0" w:line="400" w:lineRule="exact"/>
              <w:ind w:left="0" w:right="0"/>
              <w:jc w:val="center"/>
              <w:textAlignment w:val="auto"/>
              <w:outlineLvl w:val="9"/>
              <w:rPr>
                <w:rFonts w:hint="eastAsia" w:ascii="宋体" w:hAnsi="宋体" w:eastAsia="宋体" w:cs="宋体"/>
                <w:color w:val="auto"/>
                <w:kern w:val="0"/>
                <w:sz w:val="21"/>
                <w:szCs w:val="21"/>
                <w:highlight w:val="none"/>
              </w:rPr>
            </w:pPr>
          </w:p>
        </w:tc>
        <w:tc>
          <w:tcPr>
            <w:tcW w:w="459" w:type="pct"/>
            <w:vAlign w:val="center"/>
          </w:tcPr>
          <w:p w14:paraId="11A25CB2">
            <w:pPr>
              <w:keepNext w:val="0"/>
              <w:keepLines w:val="0"/>
              <w:pageBreakBefore w:val="0"/>
              <w:suppressLineNumbers w:val="0"/>
              <w:kinsoku/>
              <w:wordWrap/>
              <w:overflowPunct/>
              <w:topLinePunct w:val="0"/>
              <w:bidi w:val="0"/>
              <w:spacing w:before="0" w:beforeAutospacing="0" w:after="0" w:afterAutospacing="0" w:line="400" w:lineRule="exact"/>
              <w:ind w:left="0" w:right="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条款号</w:t>
            </w:r>
          </w:p>
        </w:tc>
        <w:tc>
          <w:tcPr>
            <w:tcW w:w="3092" w:type="pct"/>
            <w:vAlign w:val="center"/>
          </w:tcPr>
          <w:p w14:paraId="39CB3262">
            <w:pPr>
              <w:keepNext w:val="0"/>
              <w:keepLines w:val="0"/>
              <w:pageBreakBefore w:val="0"/>
              <w:suppressLineNumbers w:val="0"/>
              <w:kinsoku/>
              <w:wordWrap/>
              <w:overflowPunct/>
              <w:topLinePunct w:val="0"/>
              <w:bidi w:val="0"/>
              <w:spacing w:before="0" w:beforeAutospacing="0" w:after="0" w:afterAutospacing="0" w:line="400" w:lineRule="exact"/>
              <w:ind w:left="0" w:right="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简要内容</w:t>
            </w:r>
          </w:p>
        </w:tc>
        <w:tc>
          <w:tcPr>
            <w:tcW w:w="348" w:type="pct"/>
            <w:vAlign w:val="center"/>
          </w:tcPr>
          <w:p w14:paraId="20B4769B">
            <w:pPr>
              <w:keepNext w:val="0"/>
              <w:keepLines w:val="0"/>
              <w:pageBreakBefore w:val="0"/>
              <w:suppressLineNumbers w:val="0"/>
              <w:kinsoku/>
              <w:wordWrap/>
              <w:overflowPunct/>
              <w:topLinePunct w:val="0"/>
              <w:bidi w:val="0"/>
              <w:spacing w:before="0" w:beforeAutospacing="0" w:after="0" w:afterAutospacing="0" w:line="400" w:lineRule="exact"/>
              <w:ind w:left="0" w:right="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偏离情况</w:t>
            </w:r>
          </w:p>
        </w:tc>
        <w:tc>
          <w:tcPr>
            <w:tcW w:w="418" w:type="pct"/>
            <w:vAlign w:val="center"/>
          </w:tcPr>
          <w:p w14:paraId="0A056BE7">
            <w:pPr>
              <w:keepNext w:val="0"/>
              <w:keepLines w:val="0"/>
              <w:pageBreakBefore w:val="0"/>
              <w:suppressLineNumbers w:val="0"/>
              <w:kinsoku/>
              <w:wordWrap/>
              <w:overflowPunct/>
              <w:topLinePunct w:val="0"/>
              <w:bidi w:val="0"/>
              <w:spacing w:before="0" w:beforeAutospacing="0" w:after="0" w:afterAutospacing="0" w:line="400" w:lineRule="exact"/>
              <w:ind w:left="0" w:right="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实质性响应的具体内容</w:t>
            </w:r>
          </w:p>
        </w:tc>
        <w:tc>
          <w:tcPr>
            <w:tcW w:w="395" w:type="pct"/>
            <w:vAlign w:val="center"/>
          </w:tcPr>
          <w:p w14:paraId="179E99D7">
            <w:pPr>
              <w:keepNext w:val="0"/>
              <w:keepLines w:val="0"/>
              <w:pageBreakBefore w:val="0"/>
              <w:suppressLineNumbers w:val="0"/>
              <w:kinsoku/>
              <w:wordWrap/>
              <w:overflowPunct/>
              <w:topLinePunct w:val="0"/>
              <w:bidi w:val="0"/>
              <w:spacing w:before="0" w:beforeAutospacing="0" w:after="0" w:afterAutospacing="0" w:line="400" w:lineRule="exact"/>
              <w:ind w:left="0" w:right="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对应证明材料页码</w:t>
            </w:r>
          </w:p>
        </w:tc>
      </w:tr>
      <w:tr w14:paraId="548AA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86" w:type="pct"/>
            <w:vAlign w:val="center"/>
          </w:tcPr>
          <w:p w14:paraId="6E16F9B0">
            <w:pPr>
              <w:keepNext w:val="0"/>
              <w:keepLines w:val="0"/>
              <w:pageBreakBefore w:val="0"/>
              <w:suppressLineNumbers w:val="0"/>
              <w:kinsoku/>
              <w:wordWrap/>
              <w:overflowPunct/>
              <w:topLinePunct w:val="0"/>
              <w:bidi w:val="0"/>
              <w:spacing w:before="0" w:beforeAutospacing="0" w:after="0" w:afterAutospacing="0" w:line="400" w:lineRule="exact"/>
              <w:ind w:left="0" w:right="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459" w:type="pct"/>
            <w:vAlign w:val="center"/>
          </w:tcPr>
          <w:p w14:paraId="2F88FEC6">
            <w:pPr>
              <w:keepNext w:val="0"/>
              <w:keepLines w:val="0"/>
              <w:pageBreakBefore w:val="0"/>
              <w:suppressLineNumbers w:val="0"/>
              <w:kinsoku/>
              <w:wordWrap/>
              <w:overflowPunct/>
              <w:topLinePunct w:val="0"/>
              <w:bidi w:val="0"/>
              <w:spacing w:before="0" w:beforeAutospacing="0" w:after="0" w:afterAutospacing="0" w:line="400" w:lineRule="exact"/>
              <w:ind w:left="0" w:right="0"/>
              <w:jc w:val="center"/>
              <w:textAlignment w:val="auto"/>
              <w:outlineLvl w:val="9"/>
              <w:rPr>
                <w:rFonts w:hint="eastAsia" w:ascii="宋体" w:hAnsi="宋体" w:eastAsia="宋体" w:cs="宋体"/>
                <w:b/>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一</w:t>
            </w:r>
          </w:p>
        </w:tc>
        <w:tc>
          <w:tcPr>
            <w:tcW w:w="3092" w:type="pct"/>
            <w:vAlign w:val="center"/>
          </w:tcPr>
          <w:p w14:paraId="2DE8B4C3">
            <w:pPr>
              <w:keepNext w:val="0"/>
              <w:keepLines w:val="0"/>
              <w:pageBreakBefore w:val="0"/>
              <w:suppressLineNumbers w:val="0"/>
              <w:kinsoku/>
              <w:wordWrap/>
              <w:overflowPunct/>
              <w:topLinePunct w:val="0"/>
              <w:autoSpaceDE w:val="0"/>
              <w:autoSpaceDN w:val="0"/>
              <w:bidi w:val="0"/>
              <w:adjustRightInd w:val="0"/>
              <w:spacing w:before="0" w:beforeAutospacing="0" w:after="0" w:afterAutospacing="0" w:line="400" w:lineRule="exact"/>
              <w:ind w:left="0" w:right="0" w:firstLine="422" w:firstLineChars="200"/>
              <w:jc w:val="both"/>
              <w:textAlignment w:val="auto"/>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eastAsia="zh-CN"/>
              </w:rPr>
              <w:t>项目概况</w:t>
            </w:r>
          </w:p>
        </w:tc>
        <w:tc>
          <w:tcPr>
            <w:tcW w:w="348" w:type="pct"/>
            <w:vAlign w:val="center"/>
          </w:tcPr>
          <w:p w14:paraId="770E2CE4">
            <w:pPr>
              <w:keepNext/>
              <w:keepLines/>
              <w:pageBreakBefore w:val="0"/>
              <w:suppressLineNumbers w:val="0"/>
              <w:kinsoku/>
              <w:wordWrap/>
              <w:overflowPunct/>
              <w:topLinePunct w:val="0"/>
              <w:bidi w:val="0"/>
              <w:spacing w:before="0" w:beforeAutospacing="0" w:after="0" w:afterAutospacing="0" w:line="400" w:lineRule="exact"/>
              <w:ind w:left="0" w:right="0"/>
              <w:jc w:val="center"/>
              <w:textAlignment w:val="auto"/>
              <w:outlineLvl w:val="9"/>
              <w:rPr>
                <w:rFonts w:hint="eastAsia" w:ascii="宋体" w:hAnsi="宋体" w:eastAsia="宋体" w:cs="宋体"/>
                <w:color w:val="auto"/>
                <w:kern w:val="0"/>
                <w:sz w:val="21"/>
                <w:szCs w:val="21"/>
                <w:highlight w:val="none"/>
              </w:rPr>
            </w:pPr>
          </w:p>
        </w:tc>
        <w:tc>
          <w:tcPr>
            <w:tcW w:w="418" w:type="pct"/>
            <w:vAlign w:val="center"/>
          </w:tcPr>
          <w:p w14:paraId="1EAE7480">
            <w:pPr>
              <w:keepNext/>
              <w:keepLines/>
              <w:pageBreakBefore w:val="0"/>
              <w:suppressLineNumbers w:val="0"/>
              <w:kinsoku/>
              <w:wordWrap/>
              <w:overflowPunct/>
              <w:topLinePunct w:val="0"/>
              <w:bidi w:val="0"/>
              <w:spacing w:before="0" w:beforeAutospacing="0" w:after="0" w:afterAutospacing="0" w:line="400" w:lineRule="exact"/>
              <w:ind w:left="0" w:right="0"/>
              <w:jc w:val="center"/>
              <w:textAlignment w:val="auto"/>
              <w:outlineLvl w:val="9"/>
              <w:rPr>
                <w:rFonts w:hint="eastAsia" w:ascii="宋体" w:hAnsi="宋体" w:eastAsia="宋体" w:cs="宋体"/>
                <w:color w:val="auto"/>
                <w:kern w:val="0"/>
                <w:sz w:val="21"/>
                <w:szCs w:val="21"/>
                <w:highlight w:val="none"/>
              </w:rPr>
            </w:pPr>
          </w:p>
        </w:tc>
        <w:tc>
          <w:tcPr>
            <w:tcW w:w="395" w:type="pct"/>
            <w:vAlign w:val="center"/>
          </w:tcPr>
          <w:p w14:paraId="3DA2B3BC">
            <w:pPr>
              <w:keepNext/>
              <w:keepLines/>
              <w:pageBreakBefore w:val="0"/>
              <w:suppressLineNumbers w:val="0"/>
              <w:kinsoku/>
              <w:wordWrap/>
              <w:overflowPunct/>
              <w:topLinePunct w:val="0"/>
              <w:bidi w:val="0"/>
              <w:spacing w:before="0" w:beforeAutospacing="0" w:after="0" w:afterAutospacing="0" w:line="400" w:lineRule="exact"/>
              <w:ind w:left="0" w:right="0"/>
              <w:jc w:val="center"/>
              <w:textAlignment w:val="auto"/>
              <w:outlineLvl w:val="9"/>
              <w:rPr>
                <w:rFonts w:hint="eastAsia" w:ascii="宋体" w:hAnsi="宋体" w:eastAsia="宋体" w:cs="宋体"/>
                <w:color w:val="auto"/>
                <w:kern w:val="0"/>
                <w:sz w:val="21"/>
                <w:szCs w:val="21"/>
                <w:highlight w:val="none"/>
              </w:rPr>
            </w:pPr>
          </w:p>
        </w:tc>
      </w:tr>
      <w:tr w14:paraId="32192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6" w:type="pct"/>
            <w:vAlign w:val="center"/>
          </w:tcPr>
          <w:p w14:paraId="7FE64646">
            <w:pPr>
              <w:keepNext w:val="0"/>
              <w:keepLines w:val="0"/>
              <w:pageBreakBefore w:val="0"/>
              <w:suppressLineNumbers w:val="0"/>
              <w:kinsoku/>
              <w:wordWrap/>
              <w:overflowPunct/>
              <w:topLinePunct w:val="0"/>
              <w:bidi w:val="0"/>
              <w:spacing w:before="0" w:beforeAutospacing="0" w:after="0" w:afterAutospacing="0" w:line="400" w:lineRule="exact"/>
              <w:ind w:left="0" w:right="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459" w:type="pct"/>
            <w:vAlign w:val="center"/>
          </w:tcPr>
          <w:p w14:paraId="0644C956">
            <w:pPr>
              <w:keepNext w:val="0"/>
              <w:keepLines w:val="0"/>
              <w:pageBreakBefore w:val="0"/>
              <w:suppressLineNumbers w:val="0"/>
              <w:kinsoku/>
              <w:wordWrap/>
              <w:overflowPunct/>
              <w:topLinePunct w:val="0"/>
              <w:bidi w:val="0"/>
              <w:spacing w:before="0" w:beforeAutospacing="0" w:after="0" w:afterAutospacing="0" w:line="400" w:lineRule="exact"/>
              <w:ind w:left="0" w:right="0"/>
              <w:jc w:val="center"/>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b/>
                <w:color w:val="auto"/>
                <w:sz w:val="21"/>
                <w:szCs w:val="21"/>
                <w:highlight w:val="none"/>
                <w:lang w:val="en-US" w:eastAsia="zh-CN"/>
              </w:rPr>
              <w:t>★</w:t>
            </w:r>
            <w:r>
              <w:rPr>
                <w:rFonts w:hint="eastAsia" w:ascii="宋体" w:hAnsi="宋体" w:eastAsia="宋体" w:cs="宋体"/>
                <w:color w:val="auto"/>
                <w:kern w:val="0"/>
                <w:sz w:val="21"/>
                <w:szCs w:val="21"/>
                <w:highlight w:val="none"/>
                <w:lang w:val="en-US" w:eastAsia="zh-CN"/>
              </w:rPr>
              <w:t>二</w:t>
            </w:r>
          </w:p>
        </w:tc>
        <w:tc>
          <w:tcPr>
            <w:tcW w:w="3092" w:type="pct"/>
            <w:vAlign w:val="center"/>
          </w:tcPr>
          <w:p w14:paraId="031F56D5">
            <w:pPr>
              <w:keepNext w:val="0"/>
              <w:keepLines w:val="0"/>
              <w:pageBreakBefore w:val="0"/>
              <w:suppressLineNumbers w:val="0"/>
              <w:kinsoku/>
              <w:wordWrap/>
              <w:overflowPunct/>
              <w:topLinePunct w:val="0"/>
              <w:bidi w:val="0"/>
              <w:spacing w:before="0" w:beforeAutospacing="0" w:after="0" w:afterAutospacing="0" w:line="360" w:lineRule="auto"/>
              <w:ind w:left="0" w:right="0" w:firstLine="426" w:firstLineChars="202"/>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服务范围及期限</w:t>
            </w:r>
          </w:p>
          <w:p w14:paraId="5E1E147E">
            <w:pPr>
              <w:keepNext w:val="0"/>
              <w:keepLines w:val="0"/>
              <w:pageBreakBefore w:val="0"/>
              <w:suppressLineNumbers w:val="0"/>
              <w:kinsoku/>
              <w:wordWrap/>
              <w:overflowPunct/>
              <w:topLinePunct w:val="0"/>
              <w:bidi w:val="0"/>
              <w:spacing w:before="0" w:beforeAutospacing="0" w:after="0" w:afterAutospacing="0" w:line="360" w:lineRule="auto"/>
              <w:ind w:left="0" w:right="0" w:firstLine="424" w:firstLineChars="202"/>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★1、服务范围</w:t>
            </w:r>
          </w:p>
          <w:p w14:paraId="554D391B">
            <w:pPr>
              <w:keepNext w:val="0"/>
              <w:keepLines w:val="0"/>
              <w:pageBreakBefore w:val="0"/>
              <w:suppressLineNumbers w:val="0"/>
              <w:kinsoku/>
              <w:wordWrap/>
              <w:overflowPunct/>
              <w:topLinePunct w:val="0"/>
              <w:bidi w:val="0"/>
              <w:spacing w:before="0" w:beforeAutospacing="0" w:after="0" w:afterAutospacing="0" w:line="360" w:lineRule="auto"/>
              <w:ind w:left="0" w:right="0" w:firstLine="424" w:firstLineChars="202"/>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本项目为采购樟村水质净化厂污泥处理处置全流程服务，通过公开招标确定服务单位，服务单位负责实施污泥全流程处理和处置工作，将水质净化厂污泥浓缩池抽取的污泥脱水减量至含水率不高于50%的半干化泥粉（泥块），保障不间断的接收处理并安全处置，不造成二次污染。为保障服务质量，服务单位不限于提供污泥处理设备设施、外部运输、资源化处置及所相关的人员、机械、材料等一切相关运维服务等。污泥的处理处置方法方式必须合法合规，不得采用国家和地方禁止、淘汰的工艺技术或方法，并体现“减量化、稳定化、无害化、资源化”的原则，在坚持“安全、环保”的原则下，实现污泥的综合利用，合法地解决污泥的最终出路。</w:t>
            </w:r>
          </w:p>
          <w:p w14:paraId="04239560">
            <w:pPr>
              <w:keepNext w:val="0"/>
              <w:keepLines w:val="0"/>
              <w:pageBreakBefore w:val="0"/>
              <w:suppressLineNumbers w:val="0"/>
              <w:kinsoku/>
              <w:wordWrap/>
              <w:overflowPunct/>
              <w:topLinePunct w:val="0"/>
              <w:bidi w:val="0"/>
              <w:spacing w:before="0" w:beforeAutospacing="0" w:after="0" w:afterAutospacing="0" w:line="360" w:lineRule="auto"/>
              <w:ind w:left="0" w:right="0" w:firstLine="424" w:firstLineChars="202"/>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1.2本项目污泥处理处置暂定规模量为290吨/日（按80%含水率折算，50%含水率对应处理处置规模为116</w:t>
            </w:r>
            <w:r>
              <w:rPr>
                <w:rFonts w:hint="eastAsia" w:ascii="宋体" w:hAnsi="宋体" w:eastAsia="宋体" w:cs="宋体"/>
                <w:color w:val="auto"/>
                <w:sz w:val="21"/>
                <w:szCs w:val="21"/>
                <w:highlight w:val="none"/>
                <w:lang w:eastAsia="zh-CN"/>
              </w:rPr>
              <w:t>吨/日</w:t>
            </w:r>
            <w:r>
              <w:rPr>
                <w:rFonts w:hint="eastAsia" w:ascii="宋体" w:hAnsi="宋体" w:eastAsia="宋体" w:cs="宋体"/>
                <w:color w:val="auto"/>
                <w:sz w:val="21"/>
                <w:szCs w:val="21"/>
                <w:highlight w:val="none"/>
              </w:rPr>
              <w:t>），1年暂定处理处置量为105850吨（按80%含水率折算，50%含水率对应处理处置量为42340吨）。由于樟村水质净化厂每日实际生产负荷和进水水质情况存在差异，规模暂定量仅为暂定，实际污泥量存在波动和差异，服务单位需以满足樟村水质净化厂生产要求为前提，按实际需求提供污泥处理处置服务，同时应制定完善措施方案，确保在污泥产量增加时能够及时调整处理增加能力。</w:t>
            </w:r>
          </w:p>
          <w:p w14:paraId="55ABAC4F">
            <w:pPr>
              <w:keepNext w:val="0"/>
              <w:keepLines w:val="0"/>
              <w:pageBreakBefore w:val="0"/>
              <w:suppressLineNumbers w:val="0"/>
              <w:kinsoku/>
              <w:wordWrap/>
              <w:overflowPunct/>
              <w:topLinePunct w:val="0"/>
              <w:bidi w:val="0"/>
              <w:spacing w:before="0" w:beforeAutospacing="0" w:after="0" w:afterAutospacing="0" w:line="360" w:lineRule="auto"/>
              <w:ind w:left="0" w:right="0" w:firstLine="424" w:firstLineChars="202"/>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上述污泥处理处置暂定量仅为便于服务单位了解项目情况使用，不作为最终委托处理处置量的保证。最终按实际处理量结算，服务单位不得因脱水减量化处理处置量的减少或增加而要求提供任何形式的补偿或赔偿，或要求按暂定规模或暂定量提供相应的污泥处理处置服务。</w:t>
            </w:r>
          </w:p>
          <w:p w14:paraId="3F6A2E43">
            <w:pPr>
              <w:keepNext w:val="0"/>
              <w:keepLines w:val="0"/>
              <w:pageBreakBefore w:val="0"/>
              <w:suppressLineNumbers w:val="0"/>
              <w:kinsoku/>
              <w:wordWrap/>
              <w:overflowPunct/>
              <w:topLinePunct w:val="0"/>
              <w:bidi w:val="0"/>
              <w:spacing w:before="0" w:beforeAutospacing="0" w:after="0" w:afterAutospacing="0" w:line="360" w:lineRule="auto"/>
              <w:ind w:left="0" w:right="0" w:firstLine="424" w:firstLineChars="202"/>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★2、服务期限</w:t>
            </w:r>
          </w:p>
          <w:p w14:paraId="704C5EB1">
            <w:pPr>
              <w:keepNext w:val="0"/>
              <w:keepLines w:val="0"/>
              <w:pageBreakBefore w:val="0"/>
              <w:suppressLineNumbers w:val="0"/>
              <w:kinsoku/>
              <w:wordWrap/>
              <w:overflowPunct/>
              <w:topLinePunct w:val="0"/>
              <w:bidi w:val="0"/>
              <w:spacing w:before="0" w:beforeAutospacing="0" w:after="0" w:afterAutospacing="0" w:line="360" w:lineRule="auto"/>
              <w:ind w:left="0" w:right="0" w:firstLine="424" w:firstLineChars="202"/>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本项目服务起始日期为2025年6月30日，暂定至2026年6月29日结束。</w:t>
            </w:r>
          </w:p>
        </w:tc>
        <w:tc>
          <w:tcPr>
            <w:tcW w:w="348" w:type="pct"/>
            <w:vAlign w:val="center"/>
          </w:tcPr>
          <w:p w14:paraId="5AB52FB1">
            <w:pPr>
              <w:keepNext/>
              <w:keepLines/>
              <w:pageBreakBefore w:val="0"/>
              <w:suppressLineNumbers w:val="0"/>
              <w:kinsoku/>
              <w:wordWrap/>
              <w:overflowPunct/>
              <w:topLinePunct w:val="0"/>
              <w:bidi w:val="0"/>
              <w:spacing w:before="0" w:beforeAutospacing="0" w:after="0" w:afterAutospacing="0" w:line="400" w:lineRule="exact"/>
              <w:ind w:left="0" w:right="0"/>
              <w:jc w:val="center"/>
              <w:textAlignment w:val="auto"/>
              <w:outlineLvl w:val="9"/>
              <w:rPr>
                <w:rFonts w:hint="eastAsia" w:ascii="宋体" w:hAnsi="宋体" w:eastAsia="宋体" w:cs="宋体"/>
                <w:color w:val="auto"/>
                <w:kern w:val="0"/>
                <w:sz w:val="21"/>
                <w:szCs w:val="21"/>
                <w:highlight w:val="none"/>
              </w:rPr>
            </w:pPr>
          </w:p>
        </w:tc>
        <w:tc>
          <w:tcPr>
            <w:tcW w:w="418" w:type="pct"/>
            <w:vAlign w:val="center"/>
          </w:tcPr>
          <w:p w14:paraId="33A1B64A">
            <w:pPr>
              <w:keepNext/>
              <w:keepLines/>
              <w:pageBreakBefore w:val="0"/>
              <w:suppressLineNumbers w:val="0"/>
              <w:kinsoku/>
              <w:wordWrap/>
              <w:overflowPunct/>
              <w:topLinePunct w:val="0"/>
              <w:bidi w:val="0"/>
              <w:spacing w:before="0" w:beforeAutospacing="0" w:after="0" w:afterAutospacing="0" w:line="400" w:lineRule="exact"/>
              <w:ind w:left="0" w:right="0"/>
              <w:jc w:val="center"/>
              <w:textAlignment w:val="auto"/>
              <w:outlineLvl w:val="9"/>
              <w:rPr>
                <w:rFonts w:hint="eastAsia" w:ascii="宋体" w:hAnsi="宋体" w:eastAsia="宋体" w:cs="宋体"/>
                <w:color w:val="auto"/>
                <w:kern w:val="0"/>
                <w:sz w:val="21"/>
                <w:szCs w:val="21"/>
                <w:highlight w:val="none"/>
              </w:rPr>
            </w:pPr>
          </w:p>
        </w:tc>
        <w:tc>
          <w:tcPr>
            <w:tcW w:w="395" w:type="pct"/>
            <w:vAlign w:val="center"/>
          </w:tcPr>
          <w:p w14:paraId="0B490637">
            <w:pPr>
              <w:keepNext/>
              <w:keepLines/>
              <w:pageBreakBefore w:val="0"/>
              <w:suppressLineNumbers w:val="0"/>
              <w:kinsoku/>
              <w:wordWrap/>
              <w:overflowPunct/>
              <w:topLinePunct w:val="0"/>
              <w:bidi w:val="0"/>
              <w:spacing w:before="0" w:beforeAutospacing="0" w:after="0" w:afterAutospacing="0" w:line="400" w:lineRule="exact"/>
              <w:ind w:left="0" w:right="0"/>
              <w:jc w:val="center"/>
              <w:textAlignment w:val="auto"/>
              <w:outlineLvl w:val="9"/>
              <w:rPr>
                <w:rFonts w:hint="eastAsia" w:ascii="宋体" w:hAnsi="宋体" w:eastAsia="宋体" w:cs="宋体"/>
                <w:color w:val="auto"/>
                <w:kern w:val="0"/>
                <w:sz w:val="21"/>
                <w:szCs w:val="21"/>
                <w:highlight w:val="none"/>
              </w:rPr>
            </w:pPr>
          </w:p>
        </w:tc>
      </w:tr>
      <w:tr w14:paraId="3A451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6" w:type="pct"/>
            <w:vAlign w:val="center"/>
          </w:tcPr>
          <w:p w14:paraId="62AE27F7">
            <w:pPr>
              <w:keepNext w:val="0"/>
              <w:keepLines w:val="0"/>
              <w:pageBreakBefore w:val="0"/>
              <w:suppressLineNumbers w:val="0"/>
              <w:kinsoku/>
              <w:wordWrap/>
              <w:overflowPunct/>
              <w:topLinePunct w:val="0"/>
              <w:bidi w:val="0"/>
              <w:spacing w:before="0" w:beforeAutospacing="0" w:after="0" w:afterAutospacing="0" w:line="400" w:lineRule="exact"/>
              <w:ind w:left="0" w:right="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459" w:type="pct"/>
            <w:vAlign w:val="center"/>
          </w:tcPr>
          <w:p w14:paraId="0928685F">
            <w:pPr>
              <w:keepNext w:val="0"/>
              <w:keepLines w:val="0"/>
              <w:pageBreakBefore w:val="0"/>
              <w:suppressLineNumbers w:val="0"/>
              <w:kinsoku/>
              <w:wordWrap/>
              <w:overflowPunct/>
              <w:topLinePunct w:val="0"/>
              <w:bidi w:val="0"/>
              <w:spacing w:before="0" w:beforeAutospacing="0" w:after="0" w:afterAutospacing="0" w:line="400" w:lineRule="exact"/>
              <w:ind w:left="0" w:right="0"/>
              <w:jc w:val="center"/>
              <w:textAlignment w:val="auto"/>
              <w:outlineLvl w:val="9"/>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★三</w:t>
            </w:r>
          </w:p>
        </w:tc>
        <w:tc>
          <w:tcPr>
            <w:tcW w:w="3092" w:type="pct"/>
            <w:vAlign w:val="center"/>
          </w:tcPr>
          <w:p w14:paraId="534B99CA">
            <w:pPr>
              <w:keepNext w:val="0"/>
              <w:keepLines w:val="0"/>
              <w:pageBreakBefore w:val="0"/>
              <w:suppressLineNumbers w:val="0"/>
              <w:kinsoku/>
              <w:wordWrap/>
              <w:overflowPunct/>
              <w:topLinePunct w:val="0"/>
              <w:bidi w:val="0"/>
              <w:spacing w:before="0" w:beforeAutospacing="0" w:after="0" w:afterAutospacing="0" w:line="360" w:lineRule="auto"/>
              <w:ind w:left="0" w:right="0" w:firstLine="426" w:firstLineChars="202"/>
              <w:jc w:val="left"/>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w:t>
            </w:r>
            <w:r>
              <w:rPr>
                <w:rFonts w:hint="eastAsia" w:ascii="宋体" w:hAnsi="宋体" w:eastAsia="宋体" w:cs="宋体"/>
                <w:b/>
                <w:bCs/>
                <w:color w:val="auto"/>
                <w:sz w:val="21"/>
                <w:szCs w:val="21"/>
                <w:highlight w:val="none"/>
                <w:lang w:val="en-US" w:eastAsia="zh-CN"/>
              </w:rPr>
              <w:t>风险特别约定</w:t>
            </w:r>
          </w:p>
          <w:p w14:paraId="7CF64E80">
            <w:pPr>
              <w:keepNext w:val="0"/>
              <w:keepLines w:val="0"/>
              <w:pageBreakBefore w:val="0"/>
              <w:suppressLineNumbers w:val="0"/>
              <w:kinsoku/>
              <w:wordWrap/>
              <w:overflowPunct/>
              <w:topLinePunct w:val="0"/>
              <w:bidi w:val="0"/>
              <w:spacing w:before="0" w:beforeAutospacing="0" w:after="0" w:afterAutospacing="0" w:line="360" w:lineRule="auto"/>
              <w:ind w:left="0" w:right="0" w:firstLine="424" w:firstLineChars="202"/>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单位清楚理解并同意接受本项目具有很大的不确定性，在服务期间如发生以下情形（包括但不限于）：政府要求或樟村水质净化厂污水处理服务协议书到期导致樟村水质净化厂关停或间歇性停产、服务单位提供的设施不达标或超标或因用电用地等原因导致招标人不接受服务单位安装的污泥脱水减量化处理设施、樟村水质净化厂不具备安装服务单位的污泥脱水减量化处理设施的条件、樟村水质净化厂用地手续不完善或其他合法合规性问题被相关行政主管部门责令停止运营或叫停相关服务、以及其他非因招标人或服务单位原因导致项目无法实施等情形。招标人有权单方解除本项目污泥处理处置服务合同且不需承担违约责任，服务单位同意放弃向招标人追讨因合同提前终止而产生的任何费用、损失或主张任何权利和责任，服务单位应立即停止相关服务、按照招标人的要求妥善撤离和处理已安装的设备、设施，并配合招标人完成合同终止后的相关善后工作，包括但不限于结算已提供的服务费用（如有）、交接相关资料等。</w:t>
            </w:r>
          </w:p>
        </w:tc>
        <w:tc>
          <w:tcPr>
            <w:tcW w:w="348" w:type="pct"/>
            <w:vAlign w:val="center"/>
          </w:tcPr>
          <w:p w14:paraId="5DC8CA06">
            <w:pPr>
              <w:keepNext/>
              <w:keepLines/>
              <w:pageBreakBefore w:val="0"/>
              <w:suppressLineNumbers w:val="0"/>
              <w:kinsoku/>
              <w:wordWrap/>
              <w:overflowPunct/>
              <w:topLinePunct w:val="0"/>
              <w:bidi w:val="0"/>
              <w:spacing w:before="0" w:beforeAutospacing="0" w:after="0" w:afterAutospacing="0" w:line="400" w:lineRule="exact"/>
              <w:ind w:left="0" w:right="0"/>
              <w:jc w:val="center"/>
              <w:textAlignment w:val="auto"/>
              <w:outlineLvl w:val="9"/>
              <w:rPr>
                <w:rFonts w:hint="eastAsia" w:ascii="宋体" w:hAnsi="宋体" w:eastAsia="宋体" w:cs="宋体"/>
                <w:color w:val="auto"/>
                <w:kern w:val="0"/>
                <w:sz w:val="21"/>
                <w:szCs w:val="21"/>
                <w:highlight w:val="none"/>
              </w:rPr>
            </w:pPr>
          </w:p>
        </w:tc>
        <w:tc>
          <w:tcPr>
            <w:tcW w:w="418" w:type="pct"/>
            <w:vAlign w:val="center"/>
          </w:tcPr>
          <w:p w14:paraId="50127D05">
            <w:pPr>
              <w:keepNext/>
              <w:keepLines/>
              <w:pageBreakBefore w:val="0"/>
              <w:suppressLineNumbers w:val="0"/>
              <w:kinsoku/>
              <w:wordWrap/>
              <w:overflowPunct/>
              <w:topLinePunct w:val="0"/>
              <w:bidi w:val="0"/>
              <w:spacing w:before="0" w:beforeAutospacing="0" w:after="0" w:afterAutospacing="0" w:line="400" w:lineRule="exact"/>
              <w:ind w:left="0" w:right="0"/>
              <w:jc w:val="center"/>
              <w:textAlignment w:val="auto"/>
              <w:outlineLvl w:val="9"/>
              <w:rPr>
                <w:rFonts w:hint="eastAsia" w:ascii="宋体" w:hAnsi="宋体" w:eastAsia="宋体" w:cs="宋体"/>
                <w:color w:val="auto"/>
                <w:kern w:val="0"/>
                <w:sz w:val="21"/>
                <w:szCs w:val="21"/>
                <w:highlight w:val="none"/>
              </w:rPr>
            </w:pPr>
          </w:p>
        </w:tc>
        <w:tc>
          <w:tcPr>
            <w:tcW w:w="395" w:type="pct"/>
            <w:vAlign w:val="center"/>
          </w:tcPr>
          <w:p w14:paraId="5832937B">
            <w:pPr>
              <w:keepNext/>
              <w:keepLines/>
              <w:pageBreakBefore w:val="0"/>
              <w:suppressLineNumbers w:val="0"/>
              <w:kinsoku/>
              <w:wordWrap/>
              <w:overflowPunct/>
              <w:topLinePunct w:val="0"/>
              <w:bidi w:val="0"/>
              <w:spacing w:before="0" w:beforeAutospacing="0" w:after="0" w:afterAutospacing="0" w:line="400" w:lineRule="exact"/>
              <w:ind w:left="0" w:right="0"/>
              <w:jc w:val="center"/>
              <w:textAlignment w:val="auto"/>
              <w:outlineLvl w:val="9"/>
              <w:rPr>
                <w:rFonts w:hint="eastAsia" w:ascii="宋体" w:hAnsi="宋体" w:eastAsia="宋体" w:cs="宋体"/>
                <w:color w:val="auto"/>
                <w:kern w:val="0"/>
                <w:sz w:val="21"/>
                <w:szCs w:val="21"/>
                <w:highlight w:val="none"/>
              </w:rPr>
            </w:pPr>
          </w:p>
        </w:tc>
      </w:tr>
      <w:tr w14:paraId="42F37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6" w:type="pct"/>
            <w:vAlign w:val="center"/>
          </w:tcPr>
          <w:p w14:paraId="11474CCE">
            <w:pPr>
              <w:keepNext w:val="0"/>
              <w:keepLines w:val="0"/>
              <w:pageBreakBefore w:val="0"/>
              <w:suppressLineNumbers w:val="0"/>
              <w:kinsoku/>
              <w:wordWrap/>
              <w:overflowPunct/>
              <w:topLinePunct w:val="0"/>
              <w:bidi w:val="0"/>
              <w:spacing w:before="0" w:beforeAutospacing="0" w:after="0" w:afterAutospacing="0" w:line="400" w:lineRule="exact"/>
              <w:ind w:left="0" w:right="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459" w:type="pct"/>
            <w:vAlign w:val="center"/>
          </w:tcPr>
          <w:p w14:paraId="27091A9B">
            <w:pPr>
              <w:keepNext w:val="0"/>
              <w:keepLines w:val="0"/>
              <w:pageBreakBefore w:val="0"/>
              <w:suppressLineNumbers w:val="0"/>
              <w:kinsoku/>
              <w:wordWrap/>
              <w:overflowPunct/>
              <w:topLinePunct w:val="0"/>
              <w:bidi w:val="0"/>
              <w:spacing w:before="0" w:beforeAutospacing="0" w:after="0" w:afterAutospacing="0" w:line="400" w:lineRule="exact"/>
              <w:ind w:left="0" w:right="0"/>
              <w:jc w:val="center"/>
              <w:textAlignment w:val="auto"/>
              <w:outlineLvl w:val="9"/>
              <w:rPr>
                <w:rFonts w:hint="eastAsia" w:ascii="宋体" w:hAnsi="宋体" w:eastAsia="宋体" w:cs="宋体"/>
                <w:b/>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四</w:t>
            </w:r>
          </w:p>
        </w:tc>
        <w:tc>
          <w:tcPr>
            <w:tcW w:w="3092" w:type="pct"/>
            <w:vAlign w:val="center"/>
          </w:tcPr>
          <w:p w14:paraId="602A12F4">
            <w:pPr>
              <w:keepNext w:val="0"/>
              <w:keepLines w:val="0"/>
              <w:pageBreakBefore w:val="0"/>
              <w:suppressLineNumbers w:val="0"/>
              <w:kinsoku/>
              <w:wordWrap/>
              <w:overflowPunct/>
              <w:topLinePunct w:val="0"/>
              <w:bidi w:val="0"/>
              <w:spacing w:before="0" w:beforeAutospacing="0" w:after="0" w:afterAutospacing="0" w:line="360" w:lineRule="auto"/>
              <w:ind w:left="0" w:right="0" w:firstLine="420"/>
              <w:textAlignment w:val="auto"/>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color w:val="auto"/>
                <w:sz w:val="21"/>
                <w:szCs w:val="21"/>
                <w:highlight w:val="none"/>
                <w:lang w:val="en-US" w:eastAsia="zh-CN"/>
              </w:rPr>
              <w:t>★</w:t>
            </w:r>
            <w:r>
              <w:rPr>
                <w:rFonts w:hint="eastAsia" w:ascii="宋体" w:hAnsi="宋体" w:eastAsia="宋体" w:cs="宋体"/>
                <w:b/>
                <w:bCs/>
                <w:color w:val="auto"/>
                <w:sz w:val="21"/>
                <w:szCs w:val="21"/>
                <w:highlight w:val="none"/>
                <w:lang w:eastAsia="zh-CN"/>
              </w:rPr>
              <w:t>报价要求</w:t>
            </w:r>
          </w:p>
          <w:p w14:paraId="739E9203">
            <w:pPr>
              <w:keepNext w:val="0"/>
              <w:keepLines w:val="0"/>
              <w:pageBreakBefore w:val="0"/>
              <w:suppressLineNumbers w:val="0"/>
              <w:kinsoku/>
              <w:wordWrap/>
              <w:overflowPunct/>
              <w:topLinePunct w:val="0"/>
              <w:bidi w:val="0"/>
              <w:spacing w:before="0" w:beforeAutospacing="0" w:after="0" w:afterAutospacing="0" w:line="360" w:lineRule="auto"/>
              <w:ind w:left="0" w:right="0" w:firstLine="42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项目污泥处理处置服务费用单价按不含税综合服务单价进行投标报价，不含税综合服务单价为按含水率80%折算价格，单位为元/吨。不含税综合服务费包括但不限于履行本服务所发生的人工费、水电费、药剂费、设备设施及其维护费、运输费、处置费、保险费、称重计量及检测费、污泥处置后的副产品检测费、销项税额以外的税金、管理费及利润、场地使用费（如有）等全部费用。</w:t>
            </w:r>
          </w:p>
        </w:tc>
        <w:tc>
          <w:tcPr>
            <w:tcW w:w="348" w:type="pct"/>
            <w:vAlign w:val="center"/>
          </w:tcPr>
          <w:p w14:paraId="07702537">
            <w:pPr>
              <w:keepNext/>
              <w:keepLines/>
              <w:pageBreakBefore w:val="0"/>
              <w:suppressLineNumbers w:val="0"/>
              <w:kinsoku/>
              <w:wordWrap/>
              <w:overflowPunct/>
              <w:topLinePunct w:val="0"/>
              <w:bidi w:val="0"/>
              <w:spacing w:before="0" w:beforeAutospacing="0" w:after="0" w:afterAutospacing="0" w:line="400" w:lineRule="exact"/>
              <w:ind w:left="0" w:right="0"/>
              <w:jc w:val="center"/>
              <w:textAlignment w:val="auto"/>
              <w:outlineLvl w:val="9"/>
              <w:rPr>
                <w:rFonts w:hint="eastAsia" w:ascii="宋体" w:hAnsi="宋体" w:eastAsia="宋体" w:cs="宋体"/>
                <w:color w:val="auto"/>
                <w:kern w:val="0"/>
                <w:sz w:val="21"/>
                <w:szCs w:val="21"/>
                <w:highlight w:val="none"/>
              </w:rPr>
            </w:pPr>
          </w:p>
        </w:tc>
        <w:tc>
          <w:tcPr>
            <w:tcW w:w="418" w:type="pct"/>
            <w:vAlign w:val="center"/>
          </w:tcPr>
          <w:p w14:paraId="4C0DBFEE">
            <w:pPr>
              <w:keepNext/>
              <w:keepLines/>
              <w:pageBreakBefore w:val="0"/>
              <w:suppressLineNumbers w:val="0"/>
              <w:kinsoku/>
              <w:wordWrap/>
              <w:overflowPunct/>
              <w:topLinePunct w:val="0"/>
              <w:bidi w:val="0"/>
              <w:spacing w:before="0" w:beforeAutospacing="0" w:after="0" w:afterAutospacing="0" w:line="400" w:lineRule="exact"/>
              <w:ind w:left="0" w:right="0"/>
              <w:jc w:val="center"/>
              <w:textAlignment w:val="auto"/>
              <w:outlineLvl w:val="9"/>
              <w:rPr>
                <w:rFonts w:hint="eastAsia" w:ascii="宋体" w:hAnsi="宋体" w:eastAsia="宋体" w:cs="宋体"/>
                <w:color w:val="auto"/>
                <w:kern w:val="0"/>
                <w:sz w:val="21"/>
                <w:szCs w:val="21"/>
                <w:highlight w:val="none"/>
              </w:rPr>
            </w:pPr>
          </w:p>
        </w:tc>
        <w:tc>
          <w:tcPr>
            <w:tcW w:w="395" w:type="pct"/>
            <w:vAlign w:val="center"/>
          </w:tcPr>
          <w:p w14:paraId="28413CC3">
            <w:pPr>
              <w:keepNext/>
              <w:keepLines/>
              <w:pageBreakBefore w:val="0"/>
              <w:suppressLineNumbers w:val="0"/>
              <w:kinsoku/>
              <w:wordWrap/>
              <w:overflowPunct/>
              <w:topLinePunct w:val="0"/>
              <w:bidi w:val="0"/>
              <w:spacing w:before="0" w:beforeAutospacing="0" w:after="0" w:afterAutospacing="0" w:line="400" w:lineRule="exact"/>
              <w:ind w:left="0" w:right="0"/>
              <w:jc w:val="center"/>
              <w:textAlignment w:val="auto"/>
              <w:outlineLvl w:val="9"/>
              <w:rPr>
                <w:rFonts w:hint="eastAsia" w:ascii="宋体" w:hAnsi="宋体" w:eastAsia="宋体" w:cs="宋体"/>
                <w:color w:val="auto"/>
                <w:kern w:val="0"/>
                <w:sz w:val="21"/>
                <w:szCs w:val="21"/>
                <w:highlight w:val="none"/>
              </w:rPr>
            </w:pPr>
          </w:p>
        </w:tc>
      </w:tr>
      <w:tr w14:paraId="79CF5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6" w:type="pct"/>
            <w:vAlign w:val="center"/>
          </w:tcPr>
          <w:p w14:paraId="74A15FB4">
            <w:pPr>
              <w:keepNext w:val="0"/>
              <w:keepLines w:val="0"/>
              <w:pageBreakBefore w:val="0"/>
              <w:suppressLineNumbers w:val="0"/>
              <w:kinsoku/>
              <w:wordWrap/>
              <w:overflowPunct/>
              <w:topLinePunct w:val="0"/>
              <w:bidi w:val="0"/>
              <w:spacing w:before="0" w:beforeAutospacing="0" w:after="0" w:afterAutospacing="0" w:line="400" w:lineRule="exact"/>
              <w:ind w:left="0" w:right="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459" w:type="pct"/>
            <w:vAlign w:val="center"/>
          </w:tcPr>
          <w:p w14:paraId="38479947">
            <w:pPr>
              <w:keepNext w:val="0"/>
              <w:keepLines w:val="0"/>
              <w:pageBreakBefore w:val="0"/>
              <w:suppressLineNumbers w:val="0"/>
              <w:kinsoku/>
              <w:wordWrap/>
              <w:overflowPunct/>
              <w:topLinePunct w:val="0"/>
              <w:bidi w:val="0"/>
              <w:spacing w:before="0" w:beforeAutospacing="0" w:after="0" w:afterAutospacing="0" w:line="400" w:lineRule="exact"/>
              <w:ind w:left="0" w:right="0"/>
              <w:jc w:val="center"/>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lang w:val="en-US" w:eastAsia="zh-CN"/>
              </w:rPr>
              <w:t>五</w:t>
            </w:r>
          </w:p>
        </w:tc>
        <w:tc>
          <w:tcPr>
            <w:tcW w:w="3092" w:type="pct"/>
            <w:vAlign w:val="center"/>
          </w:tcPr>
          <w:p w14:paraId="6962F76B">
            <w:pPr>
              <w:keepNext w:val="0"/>
              <w:keepLines w:val="0"/>
              <w:pageBreakBefore w:val="0"/>
              <w:suppressLineNumbers w:val="0"/>
              <w:kinsoku/>
              <w:wordWrap/>
              <w:overflowPunct/>
              <w:topLinePunct w:val="0"/>
              <w:bidi w:val="0"/>
              <w:spacing w:before="0" w:beforeAutospacing="0" w:after="0" w:afterAutospacing="0" w:line="360" w:lineRule="auto"/>
              <w:ind w:left="0" w:right="0" w:firstLine="426" w:firstLineChars="202"/>
              <w:textAlignment w:val="auto"/>
              <w:outlineLvl w:val="9"/>
              <w:rPr>
                <w:rFonts w:hint="eastAsia" w:ascii="宋体" w:hAnsi="宋体" w:eastAsia="宋体" w:cs="宋体"/>
                <w:b/>
                <w:bCs/>
                <w:color w:val="auto"/>
                <w:sz w:val="21"/>
                <w:szCs w:val="21"/>
                <w:highlight w:val="none"/>
              </w:rPr>
            </w:pPr>
            <w:bookmarkStart w:id="1127" w:name="_Toc17221"/>
            <w:r>
              <w:rPr>
                <w:rFonts w:hint="eastAsia" w:ascii="宋体" w:hAnsi="宋体" w:eastAsia="宋体" w:cs="宋体"/>
                <w:b/>
                <w:color w:val="auto"/>
                <w:sz w:val="21"/>
                <w:szCs w:val="21"/>
                <w:highlight w:val="none"/>
                <w:lang w:val="en-US" w:eastAsia="zh-CN"/>
              </w:rPr>
              <w:t>★</w:t>
            </w:r>
            <w:r>
              <w:rPr>
                <w:rFonts w:hint="eastAsia" w:ascii="宋体" w:hAnsi="宋体" w:eastAsia="宋体" w:cs="宋体"/>
                <w:b/>
                <w:bCs/>
                <w:color w:val="auto"/>
                <w:sz w:val="21"/>
                <w:szCs w:val="21"/>
                <w:highlight w:val="none"/>
              </w:rPr>
              <w:t>良好的服务衔接要求</w:t>
            </w:r>
            <w:bookmarkEnd w:id="1127"/>
          </w:p>
          <w:p w14:paraId="14F9C411">
            <w:pPr>
              <w:keepNext w:val="0"/>
              <w:keepLines w:val="0"/>
              <w:pageBreakBefore w:val="0"/>
              <w:suppressLineNumbers w:val="0"/>
              <w:kinsoku/>
              <w:wordWrap/>
              <w:overflowPunct/>
              <w:topLinePunct w:val="0"/>
              <w:bidi w:val="0"/>
              <w:spacing w:before="0" w:beforeAutospacing="0" w:after="0" w:afterAutospacing="0" w:line="360" w:lineRule="auto"/>
              <w:ind w:left="0" w:right="0" w:firstLine="424" w:firstLineChars="202"/>
              <w:textAlignment w:val="auto"/>
              <w:outlineLvl w:val="9"/>
              <w:rPr>
                <w:rFonts w:hint="eastAsia" w:ascii="宋体" w:hAnsi="宋体" w:eastAsia="宋体" w:cs="宋体"/>
                <w:color w:val="auto"/>
                <w:sz w:val="21"/>
                <w:szCs w:val="21"/>
                <w:highlight w:val="none"/>
              </w:rPr>
            </w:pPr>
            <w:bookmarkStart w:id="1128" w:name="_Toc17526"/>
            <w:r>
              <w:rPr>
                <w:rFonts w:hint="eastAsia" w:ascii="宋体" w:hAnsi="宋体" w:eastAsia="宋体" w:cs="宋体"/>
                <w:color w:val="auto"/>
                <w:sz w:val="21"/>
                <w:szCs w:val="21"/>
                <w:highlight w:val="none"/>
              </w:rPr>
              <w:t>1、本项目服务期开始时间为2025年6月30日，服务单位需于当日起开始正常提供污泥处理处置服务，服务单位需在此前做好充分准备工作。</w:t>
            </w:r>
            <w:bookmarkEnd w:id="1128"/>
          </w:p>
          <w:p w14:paraId="2ED2B015">
            <w:pPr>
              <w:keepNext w:val="0"/>
              <w:keepLines w:val="0"/>
              <w:pageBreakBefore w:val="0"/>
              <w:suppressLineNumbers w:val="0"/>
              <w:kinsoku/>
              <w:wordWrap/>
              <w:overflowPunct/>
              <w:topLinePunct w:val="0"/>
              <w:bidi w:val="0"/>
              <w:spacing w:before="0" w:beforeAutospacing="0" w:after="0" w:afterAutospacing="0" w:line="360" w:lineRule="auto"/>
              <w:ind w:left="0" w:right="0" w:firstLine="424" w:firstLineChars="202"/>
              <w:textAlignment w:val="auto"/>
              <w:outlineLvl w:val="9"/>
              <w:rPr>
                <w:rFonts w:hint="eastAsia" w:ascii="宋体" w:hAnsi="宋体" w:eastAsia="宋体" w:cs="宋体"/>
                <w:color w:val="auto"/>
                <w:sz w:val="21"/>
                <w:szCs w:val="21"/>
                <w:highlight w:val="none"/>
              </w:rPr>
            </w:pPr>
            <w:bookmarkStart w:id="1129" w:name="_Toc21333"/>
            <w:r>
              <w:rPr>
                <w:rFonts w:hint="eastAsia" w:ascii="宋体" w:hAnsi="宋体" w:eastAsia="宋体" w:cs="宋体"/>
                <w:color w:val="auto"/>
                <w:sz w:val="21"/>
                <w:szCs w:val="21"/>
                <w:highlight w:val="none"/>
              </w:rPr>
              <w:t>2、本项目可能涉及到服务单位需要新增污泥脱水减量化设备设施，如涉及到，服务单位须做好新增污泥脱水减量化设备设施正常投运前过渡阶段的污泥处理处置服务，保障樟村水质净化厂正常生产的需要，污泥处理处置能力约290吨/日（按80%含水率折算，50%含水率对应处理处置能力为116</w:t>
            </w:r>
            <w:r>
              <w:rPr>
                <w:rFonts w:hint="eastAsia" w:ascii="宋体" w:hAnsi="宋体" w:eastAsia="宋体" w:cs="宋体"/>
                <w:color w:val="auto"/>
                <w:sz w:val="21"/>
                <w:szCs w:val="21"/>
                <w:highlight w:val="none"/>
                <w:lang w:eastAsia="zh-CN"/>
              </w:rPr>
              <w:t>吨/日</w:t>
            </w:r>
            <w:r>
              <w:rPr>
                <w:rFonts w:hint="eastAsia" w:ascii="宋体" w:hAnsi="宋体" w:eastAsia="宋体" w:cs="宋体"/>
                <w:color w:val="auto"/>
                <w:sz w:val="21"/>
                <w:szCs w:val="21"/>
                <w:highlight w:val="none"/>
              </w:rPr>
              <w:t>），污泥出厂含水率不高于50%；在过渡阶段服务单位为保障提供正常服务，不限于提供临时移动污泥脱水减量化设备服务等方式，且污泥的处理处置方法方式须符合国家、地方相关规定。</w:t>
            </w:r>
            <w:bookmarkEnd w:id="1129"/>
          </w:p>
          <w:p w14:paraId="02FD1910">
            <w:pPr>
              <w:keepNext w:val="0"/>
              <w:keepLines w:val="0"/>
              <w:pageBreakBefore w:val="0"/>
              <w:suppressLineNumbers w:val="0"/>
              <w:kinsoku/>
              <w:wordWrap/>
              <w:overflowPunct/>
              <w:topLinePunct w:val="0"/>
              <w:bidi w:val="0"/>
              <w:spacing w:before="0" w:beforeAutospacing="0" w:after="0" w:afterAutospacing="0" w:line="360" w:lineRule="auto"/>
              <w:ind w:left="0" w:right="0" w:firstLine="424" w:firstLineChars="202"/>
              <w:textAlignment w:val="auto"/>
              <w:outlineLvl w:val="9"/>
              <w:rPr>
                <w:rFonts w:hint="eastAsia" w:ascii="宋体" w:hAnsi="宋体" w:eastAsia="宋体" w:cs="宋体"/>
                <w:color w:val="auto"/>
                <w:sz w:val="21"/>
                <w:szCs w:val="21"/>
                <w:highlight w:val="none"/>
              </w:rPr>
            </w:pPr>
            <w:bookmarkStart w:id="1130" w:name="_Toc10135"/>
            <w:r>
              <w:rPr>
                <w:rFonts w:hint="eastAsia" w:ascii="宋体" w:hAnsi="宋体" w:eastAsia="宋体" w:cs="宋体"/>
                <w:color w:val="auto"/>
                <w:sz w:val="21"/>
                <w:szCs w:val="21"/>
                <w:highlight w:val="none"/>
              </w:rPr>
              <w:t>3、樟村水质净化厂能提供的安装污泥减量化设备设施的场所原则上为污泥脱水机房，如遇位置调整等特殊情况以招标人提供为准。本项目可能涉及到原污泥处理处置合同中原服务单位污泥减量化设备设施拆除，如中标服务单位涉及新增安装污泥减量化设备设施，原服务单位污泥减量化设备设施拆除时间最长不超过30日，中标服务单位新增安装污泥减量化设备设施安装完成至投运时间最长不超过30日。如涉及中标服务单位新增安装污泥减量化设备设施的，服务单位需保障在要求的时限内投运；上述时间的起算时间为2025年6月30日，服务单位需保障新增设备设施在2025年8月28日（含当日）前投运。</w:t>
            </w:r>
            <w:bookmarkEnd w:id="1130"/>
            <w:r>
              <w:rPr>
                <w:rFonts w:hint="eastAsia" w:ascii="宋体" w:hAnsi="宋体" w:eastAsia="宋体" w:cs="宋体"/>
                <w:color w:val="auto"/>
                <w:sz w:val="21"/>
                <w:szCs w:val="21"/>
                <w:highlight w:val="none"/>
              </w:rPr>
              <w:t xml:space="preserve"> </w:t>
            </w:r>
          </w:p>
        </w:tc>
        <w:tc>
          <w:tcPr>
            <w:tcW w:w="348" w:type="pct"/>
            <w:vAlign w:val="center"/>
          </w:tcPr>
          <w:p w14:paraId="6C809ECA">
            <w:pPr>
              <w:keepNext/>
              <w:keepLines/>
              <w:pageBreakBefore w:val="0"/>
              <w:suppressLineNumbers w:val="0"/>
              <w:kinsoku/>
              <w:wordWrap/>
              <w:overflowPunct/>
              <w:topLinePunct w:val="0"/>
              <w:bidi w:val="0"/>
              <w:spacing w:before="0" w:beforeAutospacing="0" w:after="0" w:afterAutospacing="0" w:line="400" w:lineRule="exact"/>
              <w:ind w:left="0" w:right="0"/>
              <w:jc w:val="center"/>
              <w:textAlignment w:val="auto"/>
              <w:outlineLvl w:val="9"/>
              <w:rPr>
                <w:rFonts w:hint="eastAsia" w:ascii="宋体" w:hAnsi="宋体" w:eastAsia="宋体" w:cs="宋体"/>
                <w:color w:val="auto"/>
                <w:kern w:val="0"/>
                <w:sz w:val="21"/>
                <w:szCs w:val="21"/>
                <w:highlight w:val="none"/>
              </w:rPr>
            </w:pPr>
          </w:p>
        </w:tc>
        <w:tc>
          <w:tcPr>
            <w:tcW w:w="418" w:type="pct"/>
            <w:vAlign w:val="center"/>
          </w:tcPr>
          <w:p w14:paraId="49951B6D">
            <w:pPr>
              <w:keepNext/>
              <w:keepLines/>
              <w:pageBreakBefore w:val="0"/>
              <w:suppressLineNumbers w:val="0"/>
              <w:kinsoku/>
              <w:wordWrap/>
              <w:overflowPunct/>
              <w:topLinePunct w:val="0"/>
              <w:bidi w:val="0"/>
              <w:spacing w:before="0" w:beforeAutospacing="0" w:after="0" w:afterAutospacing="0" w:line="400" w:lineRule="exact"/>
              <w:ind w:left="0" w:right="0"/>
              <w:jc w:val="center"/>
              <w:textAlignment w:val="auto"/>
              <w:outlineLvl w:val="9"/>
              <w:rPr>
                <w:rFonts w:hint="eastAsia" w:ascii="宋体" w:hAnsi="宋体" w:eastAsia="宋体" w:cs="宋体"/>
                <w:color w:val="auto"/>
                <w:kern w:val="0"/>
                <w:sz w:val="21"/>
                <w:szCs w:val="21"/>
                <w:highlight w:val="none"/>
              </w:rPr>
            </w:pPr>
          </w:p>
        </w:tc>
        <w:tc>
          <w:tcPr>
            <w:tcW w:w="395" w:type="pct"/>
            <w:vAlign w:val="center"/>
          </w:tcPr>
          <w:p w14:paraId="74973CFE">
            <w:pPr>
              <w:keepNext/>
              <w:keepLines/>
              <w:pageBreakBefore w:val="0"/>
              <w:suppressLineNumbers w:val="0"/>
              <w:kinsoku/>
              <w:wordWrap/>
              <w:overflowPunct/>
              <w:topLinePunct w:val="0"/>
              <w:bidi w:val="0"/>
              <w:spacing w:before="0" w:beforeAutospacing="0" w:after="0" w:afterAutospacing="0" w:line="400" w:lineRule="exact"/>
              <w:ind w:left="0" w:right="0"/>
              <w:jc w:val="center"/>
              <w:textAlignment w:val="auto"/>
              <w:outlineLvl w:val="9"/>
              <w:rPr>
                <w:rFonts w:hint="eastAsia" w:ascii="宋体" w:hAnsi="宋体" w:eastAsia="宋体" w:cs="宋体"/>
                <w:color w:val="auto"/>
                <w:kern w:val="0"/>
                <w:sz w:val="21"/>
                <w:szCs w:val="21"/>
                <w:highlight w:val="none"/>
              </w:rPr>
            </w:pPr>
          </w:p>
        </w:tc>
      </w:tr>
      <w:tr w14:paraId="7E81C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6" w:type="pct"/>
            <w:vAlign w:val="center"/>
          </w:tcPr>
          <w:p w14:paraId="6BAB3378">
            <w:pPr>
              <w:keepNext w:val="0"/>
              <w:keepLines w:val="0"/>
              <w:pageBreakBefore w:val="0"/>
              <w:suppressLineNumbers w:val="0"/>
              <w:kinsoku/>
              <w:wordWrap/>
              <w:overflowPunct/>
              <w:topLinePunct w:val="0"/>
              <w:bidi w:val="0"/>
              <w:spacing w:before="0" w:beforeAutospacing="0" w:after="0" w:afterAutospacing="0" w:line="400" w:lineRule="exact"/>
              <w:ind w:left="0" w:right="0"/>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459" w:type="pct"/>
            <w:vAlign w:val="center"/>
          </w:tcPr>
          <w:p w14:paraId="007E54C7">
            <w:pPr>
              <w:keepNext w:val="0"/>
              <w:keepLines w:val="0"/>
              <w:pageBreakBefore w:val="0"/>
              <w:suppressLineNumbers w:val="0"/>
              <w:kinsoku/>
              <w:wordWrap/>
              <w:overflowPunct/>
              <w:topLinePunct w:val="0"/>
              <w:bidi w:val="0"/>
              <w:spacing w:before="0" w:beforeAutospacing="0" w:after="0" w:afterAutospacing="0" w:line="400" w:lineRule="exact"/>
              <w:ind w:left="0" w:right="0"/>
              <w:jc w:val="center"/>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六</w:t>
            </w:r>
          </w:p>
        </w:tc>
        <w:tc>
          <w:tcPr>
            <w:tcW w:w="3092" w:type="pct"/>
            <w:vAlign w:val="center"/>
          </w:tcPr>
          <w:p w14:paraId="15FD60BC">
            <w:pPr>
              <w:keepNext w:val="0"/>
              <w:keepLines w:val="0"/>
              <w:pageBreakBefore w:val="0"/>
              <w:suppressLineNumbers w:val="0"/>
              <w:kinsoku/>
              <w:wordWrap/>
              <w:overflowPunct/>
              <w:topLinePunct w:val="0"/>
              <w:bidi w:val="0"/>
              <w:spacing w:before="0" w:beforeAutospacing="0" w:after="0" w:afterAutospacing="0" w:line="360" w:lineRule="auto"/>
              <w:ind w:left="0" w:right="0" w:firstLine="422"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Cs w:val="21"/>
                <w:highlight w:val="none"/>
              </w:rPr>
              <w:t>污泥计量、污泥含水率及检测、污泥处理处置服务费计费</w:t>
            </w:r>
          </w:p>
        </w:tc>
        <w:tc>
          <w:tcPr>
            <w:tcW w:w="348" w:type="pct"/>
            <w:vAlign w:val="center"/>
          </w:tcPr>
          <w:p w14:paraId="59CCAFD7">
            <w:pPr>
              <w:keepNext/>
              <w:keepLines/>
              <w:pageBreakBefore w:val="0"/>
              <w:suppressLineNumbers w:val="0"/>
              <w:kinsoku/>
              <w:wordWrap/>
              <w:overflowPunct/>
              <w:topLinePunct w:val="0"/>
              <w:bidi w:val="0"/>
              <w:spacing w:before="0" w:beforeAutospacing="0" w:after="0" w:afterAutospacing="0" w:line="400" w:lineRule="exact"/>
              <w:ind w:left="0" w:right="0"/>
              <w:jc w:val="center"/>
              <w:textAlignment w:val="auto"/>
              <w:outlineLvl w:val="9"/>
              <w:rPr>
                <w:rFonts w:hint="eastAsia" w:ascii="宋体" w:hAnsi="宋体" w:eastAsia="宋体" w:cs="宋体"/>
                <w:color w:val="auto"/>
                <w:kern w:val="0"/>
                <w:sz w:val="21"/>
                <w:szCs w:val="21"/>
                <w:highlight w:val="none"/>
              </w:rPr>
            </w:pPr>
          </w:p>
        </w:tc>
        <w:tc>
          <w:tcPr>
            <w:tcW w:w="418" w:type="pct"/>
            <w:vAlign w:val="center"/>
          </w:tcPr>
          <w:p w14:paraId="3BBC79EA">
            <w:pPr>
              <w:keepNext/>
              <w:keepLines/>
              <w:pageBreakBefore w:val="0"/>
              <w:suppressLineNumbers w:val="0"/>
              <w:kinsoku/>
              <w:wordWrap/>
              <w:overflowPunct/>
              <w:topLinePunct w:val="0"/>
              <w:bidi w:val="0"/>
              <w:spacing w:before="0" w:beforeAutospacing="0" w:after="0" w:afterAutospacing="0" w:line="400" w:lineRule="exact"/>
              <w:ind w:left="0" w:right="0"/>
              <w:jc w:val="center"/>
              <w:textAlignment w:val="auto"/>
              <w:outlineLvl w:val="9"/>
              <w:rPr>
                <w:rFonts w:hint="eastAsia" w:ascii="宋体" w:hAnsi="宋体" w:eastAsia="宋体" w:cs="宋体"/>
                <w:color w:val="auto"/>
                <w:kern w:val="0"/>
                <w:sz w:val="21"/>
                <w:szCs w:val="21"/>
                <w:highlight w:val="none"/>
              </w:rPr>
            </w:pPr>
          </w:p>
        </w:tc>
        <w:tc>
          <w:tcPr>
            <w:tcW w:w="395" w:type="pct"/>
            <w:vAlign w:val="center"/>
          </w:tcPr>
          <w:p w14:paraId="47E24B03">
            <w:pPr>
              <w:keepNext/>
              <w:keepLines/>
              <w:pageBreakBefore w:val="0"/>
              <w:suppressLineNumbers w:val="0"/>
              <w:kinsoku/>
              <w:wordWrap/>
              <w:overflowPunct/>
              <w:topLinePunct w:val="0"/>
              <w:bidi w:val="0"/>
              <w:spacing w:before="0" w:beforeAutospacing="0" w:after="0" w:afterAutospacing="0" w:line="400" w:lineRule="exact"/>
              <w:ind w:left="0" w:right="0"/>
              <w:jc w:val="center"/>
              <w:textAlignment w:val="auto"/>
              <w:outlineLvl w:val="9"/>
              <w:rPr>
                <w:rFonts w:hint="eastAsia" w:ascii="宋体" w:hAnsi="宋体" w:eastAsia="宋体" w:cs="宋体"/>
                <w:color w:val="auto"/>
                <w:kern w:val="0"/>
                <w:sz w:val="21"/>
                <w:szCs w:val="21"/>
                <w:highlight w:val="none"/>
              </w:rPr>
            </w:pPr>
          </w:p>
        </w:tc>
      </w:tr>
      <w:tr w14:paraId="709F5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6" w:type="pct"/>
            <w:vAlign w:val="center"/>
          </w:tcPr>
          <w:p w14:paraId="6D9D42EF">
            <w:pPr>
              <w:keepNext w:val="0"/>
              <w:keepLines w:val="0"/>
              <w:pageBreakBefore w:val="0"/>
              <w:suppressLineNumbers w:val="0"/>
              <w:kinsoku/>
              <w:wordWrap/>
              <w:overflowPunct/>
              <w:topLinePunct w:val="0"/>
              <w:bidi w:val="0"/>
              <w:spacing w:before="0" w:beforeAutospacing="0" w:after="0" w:afterAutospacing="0" w:line="400" w:lineRule="exact"/>
              <w:ind w:left="0" w:right="0"/>
              <w:jc w:val="center"/>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7</w:t>
            </w:r>
          </w:p>
        </w:tc>
        <w:tc>
          <w:tcPr>
            <w:tcW w:w="459" w:type="pct"/>
            <w:vAlign w:val="center"/>
          </w:tcPr>
          <w:p w14:paraId="26575580">
            <w:pPr>
              <w:keepNext w:val="0"/>
              <w:keepLines w:val="0"/>
              <w:pageBreakBefore w:val="0"/>
              <w:suppressLineNumbers w:val="0"/>
              <w:kinsoku/>
              <w:wordWrap/>
              <w:overflowPunct/>
              <w:topLinePunct w:val="0"/>
              <w:bidi w:val="0"/>
              <w:spacing w:before="0" w:beforeAutospacing="0" w:after="0" w:afterAutospacing="0" w:line="400" w:lineRule="exact"/>
              <w:ind w:left="0" w:right="0"/>
              <w:jc w:val="center"/>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七</w:t>
            </w:r>
          </w:p>
        </w:tc>
        <w:tc>
          <w:tcPr>
            <w:tcW w:w="3092" w:type="pct"/>
            <w:vAlign w:val="center"/>
          </w:tcPr>
          <w:p w14:paraId="67BC3D33">
            <w:pPr>
              <w:keepNext w:val="0"/>
              <w:keepLines w:val="0"/>
              <w:pageBreakBefore w:val="0"/>
              <w:suppressLineNumbers w:val="0"/>
              <w:kinsoku/>
              <w:wordWrap/>
              <w:overflowPunct/>
              <w:topLinePunct w:val="0"/>
              <w:bidi w:val="0"/>
              <w:spacing w:before="0" w:beforeAutospacing="0" w:after="0" w:afterAutospacing="0" w:line="360" w:lineRule="auto"/>
              <w:ind w:left="0" w:right="0" w:firstLine="422" w:firstLineChars="200"/>
              <w:jc w:val="both"/>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服务标准及要求</w:t>
            </w:r>
          </w:p>
        </w:tc>
        <w:tc>
          <w:tcPr>
            <w:tcW w:w="348" w:type="pct"/>
            <w:vAlign w:val="center"/>
          </w:tcPr>
          <w:p w14:paraId="6DAE52ED">
            <w:pPr>
              <w:keepNext/>
              <w:keepLines/>
              <w:pageBreakBefore w:val="0"/>
              <w:suppressLineNumbers w:val="0"/>
              <w:kinsoku/>
              <w:wordWrap/>
              <w:overflowPunct/>
              <w:topLinePunct w:val="0"/>
              <w:bidi w:val="0"/>
              <w:spacing w:before="0" w:beforeAutospacing="0" w:after="0" w:afterAutospacing="0" w:line="400" w:lineRule="exact"/>
              <w:ind w:left="0" w:right="0"/>
              <w:jc w:val="center"/>
              <w:textAlignment w:val="auto"/>
              <w:outlineLvl w:val="9"/>
              <w:rPr>
                <w:rFonts w:hint="eastAsia" w:ascii="宋体" w:hAnsi="宋体" w:eastAsia="宋体" w:cs="宋体"/>
                <w:color w:val="auto"/>
                <w:kern w:val="0"/>
                <w:sz w:val="21"/>
                <w:szCs w:val="21"/>
                <w:highlight w:val="none"/>
              </w:rPr>
            </w:pPr>
          </w:p>
        </w:tc>
        <w:tc>
          <w:tcPr>
            <w:tcW w:w="418" w:type="pct"/>
            <w:vAlign w:val="center"/>
          </w:tcPr>
          <w:p w14:paraId="06B6453E">
            <w:pPr>
              <w:keepNext/>
              <w:keepLines/>
              <w:pageBreakBefore w:val="0"/>
              <w:suppressLineNumbers w:val="0"/>
              <w:kinsoku/>
              <w:wordWrap/>
              <w:overflowPunct/>
              <w:topLinePunct w:val="0"/>
              <w:bidi w:val="0"/>
              <w:spacing w:before="0" w:beforeAutospacing="0" w:after="0" w:afterAutospacing="0" w:line="400" w:lineRule="exact"/>
              <w:ind w:left="0" w:right="0"/>
              <w:jc w:val="center"/>
              <w:textAlignment w:val="auto"/>
              <w:outlineLvl w:val="9"/>
              <w:rPr>
                <w:rFonts w:hint="eastAsia" w:ascii="宋体" w:hAnsi="宋体" w:eastAsia="宋体" w:cs="宋体"/>
                <w:color w:val="auto"/>
                <w:kern w:val="0"/>
                <w:sz w:val="21"/>
                <w:szCs w:val="21"/>
                <w:highlight w:val="none"/>
              </w:rPr>
            </w:pPr>
          </w:p>
        </w:tc>
        <w:tc>
          <w:tcPr>
            <w:tcW w:w="395" w:type="pct"/>
            <w:vAlign w:val="center"/>
          </w:tcPr>
          <w:p w14:paraId="65A0750E">
            <w:pPr>
              <w:keepNext/>
              <w:keepLines/>
              <w:pageBreakBefore w:val="0"/>
              <w:suppressLineNumbers w:val="0"/>
              <w:kinsoku/>
              <w:wordWrap/>
              <w:overflowPunct/>
              <w:topLinePunct w:val="0"/>
              <w:bidi w:val="0"/>
              <w:spacing w:before="0" w:beforeAutospacing="0" w:after="0" w:afterAutospacing="0" w:line="400" w:lineRule="exact"/>
              <w:ind w:left="0" w:right="0"/>
              <w:jc w:val="center"/>
              <w:textAlignment w:val="auto"/>
              <w:outlineLvl w:val="9"/>
              <w:rPr>
                <w:rFonts w:hint="eastAsia" w:ascii="宋体" w:hAnsi="宋体" w:eastAsia="宋体" w:cs="宋体"/>
                <w:color w:val="auto"/>
                <w:kern w:val="0"/>
                <w:sz w:val="21"/>
                <w:szCs w:val="21"/>
                <w:highlight w:val="none"/>
              </w:rPr>
            </w:pPr>
          </w:p>
        </w:tc>
      </w:tr>
      <w:tr w14:paraId="75EA0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6" w:type="pct"/>
            <w:vAlign w:val="center"/>
          </w:tcPr>
          <w:p w14:paraId="5278E48F">
            <w:pPr>
              <w:keepNext w:val="0"/>
              <w:keepLines w:val="0"/>
              <w:pageBreakBefore w:val="0"/>
              <w:suppressLineNumbers w:val="0"/>
              <w:kinsoku/>
              <w:wordWrap/>
              <w:overflowPunct/>
              <w:topLinePunct w:val="0"/>
              <w:bidi w:val="0"/>
              <w:spacing w:before="0" w:beforeAutospacing="0" w:after="0" w:afterAutospacing="0" w:line="400" w:lineRule="exact"/>
              <w:ind w:left="0" w:right="0"/>
              <w:jc w:val="center"/>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8</w:t>
            </w:r>
          </w:p>
        </w:tc>
        <w:tc>
          <w:tcPr>
            <w:tcW w:w="459" w:type="pct"/>
            <w:vAlign w:val="center"/>
          </w:tcPr>
          <w:p w14:paraId="6390DCE1">
            <w:pPr>
              <w:keepNext w:val="0"/>
              <w:keepLines w:val="0"/>
              <w:pageBreakBefore w:val="0"/>
              <w:suppressLineNumbers w:val="0"/>
              <w:kinsoku/>
              <w:wordWrap/>
              <w:overflowPunct/>
              <w:topLinePunct w:val="0"/>
              <w:bidi w:val="0"/>
              <w:spacing w:before="0" w:beforeAutospacing="0" w:after="0" w:afterAutospacing="0" w:line="400" w:lineRule="exact"/>
              <w:ind w:left="0" w:right="0"/>
              <w:jc w:val="center"/>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八</w:t>
            </w:r>
          </w:p>
        </w:tc>
        <w:tc>
          <w:tcPr>
            <w:tcW w:w="3092" w:type="pct"/>
            <w:vAlign w:val="center"/>
          </w:tcPr>
          <w:p w14:paraId="421CF81D">
            <w:pPr>
              <w:keepNext w:val="0"/>
              <w:keepLines w:val="0"/>
              <w:pageBreakBefore w:val="0"/>
              <w:suppressLineNumbers w:val="0"/>
              <w:kinsoku/>
              <w:wordWrap/>
              <w:overflowPunct/>
              <w:topLinePunct w:val="0"/>
              <w:bidi w:val="0"/>
              <w:spacing w:before="0" w:beforeAutospacing="0" w:after="0" w:afterAutospacing="0" w:line="360" w:lineRule="auto"/>
              <w:ind w:left="0" w:right="0" w:firstLine="422" w:firstLineChars="200"/>
              <w:jc w:val="both"/>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付费机制</w:t>
            </w:r>
          </w:p>
        </w:tc>
        <w:tc>
          <w:tcPr>
            <w:tcW w:w="348" w:type="pct"/>
            <w:vAlign w:val="center"/>
          </w:tcPr>
          <w:p w14:paraId="62D1C183">
            <w:pPr>
              <w:keepNext/>
              <w:keepLines/>
              <w:pageBreakBefore w:val="0"/>
              <w:suppressLineNumbers w:val="0"/>
              <w:kinsoku/>
              <w:wordWrap/>
              <w:overflowPunct/>
              <w:topLinePunct w:val="0"/>
              <w:bidi w:val="0"/>
              <w:spacing w:before="0" w:beforeAutospacing="0" w:after="0" w:afterAutospacing="0" w:line="400" w:lineRule="exact"/>
              <w:ind w:left="0" w:right="0"/>
              <w:jc w:val="center"/>
              <w:textAlignment w:val="auto"/>
              <w:outlineLvl w:val="9"/>
              <w:rPr>
                <w:rFonts w:hint="eastAsia" w:ascii="宋体" w:hAnsi="宋体" w:eastAsia="宋体" w:cs="宋体"/>
                <w:color w:val="auto"/>
                <w:kern w:val="0"/>
                <w:sz w:val="21"/>
                <w:szCs w:val="21"/>
                <w:highlight w:val="none"/>
              </w:rPr>
            </w:pPr>
          </w:p>
        </w:tc>
        <w:tc>
          <w:tcPr>
            <w:tcW w:w="418" w:type="pct"/>
            <w:vAlign w:val="center"/>
          </w:tcPr>
          <w:p w14:paraId="21A3C6DD">
            <w:pPr>
              <w:keepNext/>
              <w:keepLines/>
              <w:pageBreakBefore w:val="0"/>
              <w:suppressLineNumbers w:val="0"/>
              <w:kinsoku/>
              <w:wordWrap/>
              <w:overflowPunct/>
              <w:topLinePunct w:val="0"/>
              <w:bidi w:val="0"/>
              <w:spacing w:before="0" w:beforeAutospacing="0" w:after="0" w:afterAutospacing="0" w:line="400" w:lineRule="exact"/>
              <w:ind w:left="0" w:right="0"/>
              <w:jc w:val="center"/>
              <w:textAlignment w:val="auto"/>
              <w:outlineLvl w:val="9"/>
              <w:rPr>
                <w:rFonts w:hint="eastAsia" w:ascii="宋体" w:hAnsi="宋体" w:eastAsia="宋体" w:cs="宋体"/>
                <w:color w:val="auto"/>
                <w:kern w:val="0"/>
                <w:sz w:val="21"/>
                <w:szCs w:val="21"/>
                <w:highlight w:val="none"/>
              </w:rPr>
            </w:pPr>
          </w:p>
        </w:tc>
        <w:tc>
          <w:tcPr>
            <w:tcW w:w="395" w:type="pct"/>
            <w:vAlign w:val="center"/>
          </w:tcPr>
          <w:p w14:paraId="4B2F26A3">
            <w:pPr>
              <w:keepNext/>
              <w:keepLines/>
              <w:pageBreakBefore w:val="0"/>
              <w:suppressLineNumbers w:val="0"/>
              <w:kinsoku/>
              <w:wordWrap/>
              <w:overflowPunct/>
              <w:topLinePunct w:val="0"/>
              <w:bidi w:val="0"/>
              <w:spacing w:before="0" w:beforeAutospacing="0" w:after="0" w:afterAutospacing="0" w:line="400" w:lineRule="exact"/>
              <w:ind w:left="0" w:right="0"/>
              <w:jc w:val="center"/>
              <w:textAlignment w:val="auto"/>
              <w:outlineLvl w:val="9"/>
              <w:rPr>
                <w:rFonts w:hint="eastAsia" w:ascii="宋体" w:hAnsi="宋体" w:eastAsia="宋体" w:cs="宋体"/>
                <w:color w:val="auto"/>
                <w:kern w:val="0"/>
                <w:sz w:val="21"/>
                <w:szCs w:val="21"/>
                <w:highlight w:val="none"/>
              </w:rPr>
            </w:pPr>
          </w:p>
        </w:tc>
      </w:tr>
      <w:tr w14:paraId="2EB66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6" w:type="pct"/>
            <w:vAlign w:val="center"/>
          </w:tcPr>
          <w:p w14:paraId="5479FDAA">
            <w:pPr>
              <w:keepNext w:val="0"/>
              <w:keepLines w:val="0"/>
              <w:pageBreakBefore w:val="0"/>
              <w:suppressLineNumbers w:val="0"/>
              <w:kinsoku/>
              <w:wordWrap/>
              <w:overflowPunct/>
              <w:topLinePunct w:val="0"/>
              <w:bidi w:val="0"/>
              <w:spacing w:before="0" w:beforeAutospacing="0" w:after="0" w:afterAutospacing="0" w:line="400" w:lineRule="exact"/>
              <w:ind w:left="0" w:right="0"/>
              <w:jc w:val="center"/>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9</w:t>
            </w:r>
          </w:p>
        </w:tc>
        <w:tc>
          <w:tcPr>
            <w:tcW w:w="459" w:type="pct"/>
            <w:vAlign w:val="center"/>
          </w:tcPr>
          <w:p w14:paraId="14557776">
            <w:pPr>
              <w:keepNext w:val="0"/>
              <w:keepLines w:val="0"/>
              <w:pageBreakBefore w:val="0"/>
              <w:suppressLineNumbers w:val="0"/>
              <w:kinsoku/>
              <w:wordWrap/>
              <w:overflowPunct/>
              <w:topLinePunct w:val="0"/>
              <w:bidi w:val="0"/>
              <w:spacing w:before="0" w:beforeAutospacing="0" w:after="0" w:afterAutospacing="0" w:line="400" w:lineRule="exact"/>
              <w:ind w:left="0" w:right="0"/>
              <w:jc w:val="center"/>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b w:val="0"/>
                <w:bCs w:val="0"/>
                <w:color w:val="auto"/>
                <w:szCs w:val="21"/>
                <w:highlight w:val="none"/>
                <w:lang w:val="zh-CN"/>
              </w:rPr>
              <w:t>★</w:t>
            </w:r>
            <w:r>
              <w:rPr>
                <w:rFonts w:hint="eastAsia" w:ascii="宋体" w:hAnsi="宋体" w:eastAsia="宋体" w:cs="宋体"/>
                <w:color w:val="auto"/>
                <w:kern w:val="0"/>
                <w:sz w:val="21"/>
                <w:szCs w:val="21"/>
                <w:highlight w:val="none"/>
                <w:lang w:val="en-US" w:eastAsia="zh-CN"/>
              </w:rPr>
              <w:t>九</w:t>
            </w:r>
          </w:p>
        </w:tc>
        <w:tc>
          <w:tcPr>
            <w:tcW w:w="3092" w:type="pct"/>
            <w:vAlign w:val="center"/>
          </w:tcPr>
          <w:p w14:paraId="4568EB54">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26" w:firstLineChars="202"/>
              <w:jc w:val="left"/>
              <w:textAlignment w:val="auto"/>
              <w:outlineLvl w:val="9"/>
              <w:rPr>
                <w:rFonts w:hint="eastAsia"/>
                <w:b/>
                <w:bCs/>
                <w:color w:val="auto"/>
                <w:highlight w:val="none"/>
              </w:rPr>
            </w:pPr>
            <w:r>
              <w:rPr>
                <w:rFonts w:hint="eastAsia" w:ascii="宋体" w:hAnsi="宋体" w:eastAsia="宋体" w:cs="宋体"/>
                <w:b/>
                <w:bCs/>
                <w:color w:val="auto"/>
                <w:szCs w:val="21"/>
                <w:highlight w:val="none"/>
                <w:lang w:val="zh-CN"/>
              </w:rPr>
              <w:t>服务期内及服务届满后相关要求</w:t>
            </w:r>
          </w:p>
          <w:p w14:paraId="23397B7F">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firstLine="424" w:firstLineChars="202"/>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Cs w:val="21"/>
                <w:highlight w:val="none"/>
                <w:lang w:val="zh-CN"/>
              </w:rPr>
              <w:t>★除非双方另有合同约定，服务单位在以下情况应自行拆除本项目服务相关的其提供安装的设备设施，并恢复本项目场地的原状：（1）服务期内，发生风险特别约定情况，招标人要求服务单位无条件提前终止服务并发出撤场通知之日起30日内；（2）服务期内，因服务单位存在违约行为等，招标人根据合同约定要求服务单位提前终止服务并发出撤场通知之日起30日内；（3）服务期届满后30日内。以上所导致的因拆除设备设施及场地复原产生的相应费用由服务单位承担，在本项目的拆除过程中和拆除之后，招标人无须向服务单位支付任何补偿或移交费用。</w:t>
            </w:r>
          </w:p>
        </w:tc>
        <w:tc>
          <w:tcPr>
            <w:tcW w:w="348" w:type="pct"/>
            <w:vAlign w:val="center"/>
          </w:tcPr>
          <w:p w14:paraId="34213CD0">
            <w:pPr>
              <w:keepNext/>
              <w:keepLines/>
              <w:pageBreakBefore w:val="0"/>
              <w:suppressLineNumbers w:val="0"/>
              <w:kinsoku/>
              <w:wordWrap/>
              <w:overflowPunct/>
              <w:topLinePunct w:val="0"/>
              <w:bidi w:val="0"/>
              <w:spacing w:before="0" w:beforeAutospacing="0" w:after="0" w:afterAutospacing="0" w:line="400" w:lineRule="exact"/>
              <w:ind w:left="0" w:right="0"/>
              <w:jc w:val="center"/>
              <w:textAlignment w:val="auto"/>
              <w:outlineLvl w:val="9"/>
              <w:rPr>
                <w:rFonts w:hint="eastAsia" w:ascii="宋体" w:hAnsi="宋体" w:eastAsia="宋体" w:cs="宋体"/>
                <w:color w:val="auto"/>
                <w:kern w:val="0"/>
                <w:sz w:val="21"/>
                <w:szCs w:val="21"/>
                <w:highlight w:val="none"/>
              </w:rPr>
            </w:pPr>
          </w:p>
        </w:tc>
        <w:tc>
          <w:tcPr>
            <w:tcW w:w="418" w:type="pct"/>
            <w:vAlign w:val="center"/>
          </w:tcPr>
          <w:p w14:paraId="25ABD757">
            <w:pPr>
              <w:keepNext/>
              <w:keepLines/>
              <w:pageBreakBefore w:val="0"/>
              <w:suppressLineNumbers w:val="0"/>
              <w:kinsoku/>
              <w:wordWrap/>
              <w:overflowPunct/>
              <w:topLinePunct w:val="0"/>
              <w:bidi w:val="0"/>
              <w:spacing w:before="0" w:beforeAutospacing="0" w:after="0" w:afterAutospacing="0" w:line="400" w:lineRule="exact"/>
              <w:ind w:left="0" w:right="0"/>
              <w:jc w:val="center"/>
              <w:textAlignment w:val="auto"/>
              <w:outlineLvl w:val="9"/>
              <w:rPr>
                <w:rFonts w:hint="eastAsia" w:ascii="宋体" w:hAnsi="宋体" w:eastAsia="宋体" w:cs="宋体"/>
                <w:color w:val="auto"/>
                <w:kern w:val="0"/>
                <w:sz w:val="21"/>
                <w:szCs w:val="21"/>
                <w:highlight w:val="none"/>
              </w:rPr>
            </w:pPr>
          </w:p>
        </w:tc>
        <w:tc>
          <w:tcPr>
            <w:tcW w:w="395" w:type="pct"/>
            <w:vAlign w:val="center"/>
          </w:tcPr>
          <w:p w14:paraId="5C60E9B9">
            <w:pPr>
              <w:keepNext/>
              <w:keepLines/>
              <w:pageBreakBefore w:val="0"/>
              <w:suppressLineNumbers w:val="0"/>
              <w:kinsoku/>
              <w:wordWrap/>
              <w:overflowPunct/>
              <w:topLinePunct w:val="0"/>
              <w:bidi w:val="0"/>
              <w:spacing w:before="0" w:beforeAutospacing="0" w:after="0" w:afterAutospacing="0" w:line="400" w:lineRule="exact"/>
              <w:ind w:left="0" w:right="0"/>
              <w:jc w:val="center"/>
              <w:textAlignment w:val="auto"/>
              <w:outlineLvl w:val="9"/>
              <w:rPr>
                <w:rFonts w:hint="eastAsia" w:ascii="宋体" w:hAnsi="宋体" w:eastAsia="宋体" w:cs="宋体"/>
                <w:color w:val="auto"/>
                <w:kern w:val="0"/>
                <w:sz w:val="21"/>
                <w:szCs w:val="21"/>
                <w:highlight w:val="none"/>
              </w:rPr>
            </w:pPr>
          </w:p>
        </w:tc>
      </w:tr>
    </w:tbl>
    <w:p w14:paraId="2CE6DAB0">
      <w:pPr>
        <w:spacing w:line="360" w:lineRule="auto"/>
        <w:rPr>
          <w:rFonts w:ascii="宋体" w:hAnsi="宋体" w:eastAsia="宋体" w:cs="宋体"/>
          <w:color w:val="auto"/>
          <w:szCs w:val="21"/>
          <w:highlight w:val="none"/>
        </w:rPr>
      </w:pPr>
    </w:p>
    <w:p w14:paraId="2ADA8409">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备注：</w:t>
      </w:r>
    </w:p>
    <w:p w14:paraId="6E55C23F">
      <w:pPr>
        <w:widowControl/>
        <w:snapToGrid w:val="0"/>
        <w:spacing w:line="360" w:lineRule="auto"/>
        <w:ind w:firstLine="424" w:firstLineChars="202"/>
        <w:jc w:val="left"/>
        <w:rPr>
          <w:rFonts w:ascii="宋体" w:hAnsi="宋体" w:eastAsia="宋体" w:cs="宋体"/>
          <w:b/>
          <w:bCs w:val="0"/>
          <w:color w:val="auto"/>
          <w:szCs w:val="21"/>
          <w:highlight w:val="none"/>
          <w:u w:val="single"/>
        </w:rPr>
      </w:pPr>
      <w:r>
        <w:rPr>
          <w:rFonts w:hint="eastAsia" w:ascii="宋体" w:hAnsi="宋体" w:eastAsia="宋体" w:cs="宋体"/>
          <w:color w:val="auto"/>
          <w:szCs w:val="21"/>
          <w:highlight w:val="none"/>
        </w:rPr>
        <w:t>（1）</w:t>
      </w:r>
      <w:r>
        <w:rPr>
          <w:rFonts w:hint="eastAsia" w:ascii="宋体" w:hAnsi="宋体" w:eastAsia="宋体" w:cs="宋体"/>
          <w:b/>
          <w:color w:val="auto"/>
          <w:szCs w:val="21"/>
          <w:highlight w:val="none"/>
          <w:u w:val="single"/>
        </w:rPr>
        <w:t>投标人应对照招标文件用户需求书的响应，逐条逐项、如实地填写“偏离情况”，</w:t>
      </w:r>
      <w:r>
        <w:rPr>
          <w:rFonts w:hint="eastAsia" w:ascii="宋体" w:hAnsi="宋体" w:eastAsia="宋体" w:cs="Times New Roman"/>
          <w:b/>
          <w:color w:val="auto"/>
          <w:kern w:val="0"/>
          <w:szCs w:val="21"/>
          <w:highlight w:val="none"/>
          <w:u w:val="single"/>
        </w:rPr>
        <w:t>若发现未填写本表，或虚假填写本表，或伪造、变造证明材料的，按无效投标文件处理</w:t>
      </w:r>
      <w:r>
        <w:rPr>
          <w:rFonts w:hint="eastAsia" w:ascii="宋体" w:hAnsi="宋体" w:eastAsia="宋体" w:cs="宋体"/>
          <w:b/>
          <w:color w:val="auto"/>
          <w:szCs w:val="21"/>
          <w:highlight w:val="none"/>
          <w:u w:val="single"/>
        </w:rPr>
        <w:t>。若招标文件用户需求书中有“★”条款须逐条逐项、如实地填写“偏离情况”，未填写“★”条款以外的条款的，视为完全满足招标</w:t>
      </w:r>
      <w:r>
        <w:rPr>
          <w:rFonts w:hint="eastAsia" w:ascii="宋体" w:hAnsi="宋体" w:eastAsia="宋体" w:cs="宋体"/>
          <w:b w:val="0"/>
          <w:bCs w:val="0"/>
          <w:color w:val="auto"/>
          <w:szCs w:val="21"/>
          <w:highlight w:val="none"/>
          <w:lang w:val="zh-CN"/>
        </w:rPr>
        <w:t>文件</w:t>
      </w:r>
      <w:r>
        <w:rPr>
          <w:rFonts w:hint="eastAsia" w:ascii="宋体" w:hAnsi="宋体" w:eastAsia="宋体" w:cs="宋体"/>
          <w:b/>
          <w:color w:val="auto"/>
          <w:szCs w:val="21"/>
          <w:highlight w:val="none"/>
          <w:u w:val="single"/>
        </w:rPr>
        <w:t>要求。</w:t>
      </w:r>
    </w:p>
    <w:p w14:paraId="6364958C">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2）偏离情况（投标文件对招标文件用户需求的响应程度）分为：正偏离、负偏离、无偏离。正偏离是指投标人对用户需求响应优于招标文件的要求；负偏离是指投标人对用户需求响应不满足或不完全满足招标文件的要求；无偏离是指投标人对用户需求响应完全满足招标文件的要求。 </w:t>
      </w:r>
    </w:p>
    <w:p w14:paraId="161B7D94">
      <w:pPr>
        <w:spacing w:line="360" w:lineRule="auto"/>
        <w:ind w:firstLine="422" w:firstLineChars="200"/>
        <w:rPr>
          <w:rFonts w:ascii="宋体" w:hAnsi="宋体" w:eastAsia="宋体" w:cs="Times New Roman"/>
          <w:b/>
          <w:color w:val="auto"/>
          <w:kern w:val="0"/>
          <w:szCs w:val="21"/>
          <w:highlight w:val="none"/>
          <w:u w:val="single"/>
        </w:rPr>
      </w:pPr>
      <w:r>
        <w:rPr>
          <w:rFonts w:hint="eastAsia" w:ascii="宋体" w:hAnsi="宋体" w:eastAsia="宋体" w:cs="宋体"/>
          <w:b/>
          <w:color w:val="auto"/>
          <w:szCs w:val="21"/>
          <w:highlight w:val="none"/>
        </w:rPr>
        <w:t>（3）</w:t>
      </w:r>
      <w:r>
        <w:rPr>
          <w:rFonts w:hint="eastAsia" w:ascii="宋体" w:hAnsi="宋体" w:eastAsia="宋体" w:cs="Times New Roman"/>
          <w:b/>
          <w:color w:val="auto"/>
          <w:kern w:val="0"/>
          <w:szCs w:val="21"/>
          <w:highlight w:val="none"/>
          <w:u w:val="single"/>
        </w:rPr>
        <w:t>应逐条</w:t>
      </w:r>
      <w:r>
        <w:rPr>
          <w:rFonts w:hint="eastAsia" w:ascii="宋体" w:hAnsi="宋体" w:eastAsia="宋体" w:cs="宋体"/>
          <w:b/>
          <w:color w:val="auto"/>
          <w:szCs w:val="21"/>
          <w:highlight w:val="none"/>
          <w:u w:val="single"/>
        </w:rPr>
        <w:t>逐项</w:t>
      </w:r>
      <w:r>
        <w:rPr>
          <w:rFonts w:hint="eastAsia" w:ascii="宋体" w:hAnsi="宋体" w:eastAsia="宋体" w:cs="Times New Roman"/>
          <w:b/>
          <w:color w:val="auto"/>
          <w:kern w:val="0"/>
          <w:szCs w:val="21"/>
          <w:highlight w:val="none"/>
          <w:u w:val="single"/>
        </w:rPr>
        <w:t>、如实地填写“偏离情况”。“偏离情况”项为正偏离（或负偏离）的，必须在“实质性响应的具体内容”项内详细说明与招标文件的偏离内容，“偏离情况”项为无偏离的，在“实质性响应的具体内容”项内填“完全响应招标文件要求”即可，也可进一步说明投标响应的具体内容。投标人可将反映</w:t>
      </w:r>
      <w:r>
        <w:rPr>
          <w:rFonts w:hint="eastAsia" w:ascii="宋体" w:hAnsi="宋体" w:eastAsia="宋体" w:cs="Times New Roman"/>
          <w:b/>
          <w:color w:val="auto"/>
          <w:kern w:val="0"/>
          <w:szCs w:val="21"/>
          <w:highlight w:val="none"/>
          <w:u w:val="single"/>
          <w:lang w:val="en-US" w:eastAsia="zh-CN"/>
        </w:rPr>
        <w:t>服务能力</w:t>
      </w:r>
      <w:r>
        <w:rPr>
          <w:rFonts w:hint="eastAsia" w:ascii="宋体" w:hAnsi="宋体" w:eastAsia="宋体" w:cs="Times New Roman"/>
          <w:b/>
          <w:color w:val="auto"/>
          <w:kern w:val="0"/>
          <w:szCs w:val="21"/>
          <w:highlight w:val="none"/>
          <w:u w:val="single"/>
        </w:rPr>
        <w:t>的技术支持资料作为本表的附件，并在本偏离表“对应证明材料页码”项内注明其在投标文件中的具体页码。</w:t>
      </w:r>
    </w:p>
    <w:p w14:paraId="2C5E360E">
      <w:pPr>
        <w:spacing w:line="360" w:lineRule="auto"/>
        <w:ind w:firstLine="422" w:firstLineChars="200"/>
        <w:rPr>
          <w:rFonts w:ascii="宋体" w:hAnsi="宋体" w:eastAsia="宋体" w:cs="Times New Roman"/>
          <w:b/>
          <w:color w:val="auto"/>
          <w:kern w:val="0"/>
          <w:szCs w:val="21"/>
          <w:highlight w:val="none"/>
          <w:u w:val="single"/>
        </w:rPr>
      </w:pPr>
      <w:r>
        <w:rPr>
          <w:rFonts w:hint="eastAsia" w:ascii="宋体" w:hAnsi="宋体" w:eastAsia="宋体" w:cs="宋体"/>
          <w:b/>
          <w:color w:val="auto"/>
          <w:szCs w:val="21"/>
          <w:highlight w:val="none"/>
        </w:rPr>
        <w:t>（4）</w:t>
      </w:r>
      <w:r>
        <w:rPr>
          <w:rFonts w:ascii="宋体" w:hAnsi="宋体" w:eastAsia="宋体" w:cs="Times New Roman"/>
          <w:b/>
          <w:color w:val="auto"/>
          <w:kern w:val="0"/>
          <w:szCs w:val="21"/>
          <w:highlight w:val="none"/>
          <w:u w:val="single"/>
        </w:rPr>
        <w:t>凡标有“</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”的地方均被视为重要的技术指标要求或性能要求。投标</w:t>
      </w:r>
      <w:r>
        <w:rPr>
          <w:rFonts w:hint="eastAsia" w:ascii="宋体" w:hAnsi="宋体" w:eastAsia="宋体" w:cs="Times New Roman"/>
          <w:b/>
          <w:color w:val="auto"/>
          <w:kern w:val="0"/>
          <w:szCs w:val="21"/>
          <w:highlight w:val="none"/>
          <w:u w:val="single"/>
        </w:rPr>
        <w:t>人</w:t>
      </w:r>
      <w:r>
        <w:rPr>
          <w:rFonts w:ascii="宋体" w:hAnsi="宋体" w:eastAsia="宋体" w:cs="Times New Roman"/>
          <w:b/>
          <w:color w:val="auto"/>
          <w:kern w:val="0"/>
          <w:szCs w:val="21"/>
          <w:highlight w:val="none"/>
          <w:u w:val="single"/>
        </w:rPr>
        <w:t>要特别加以注意，必须对此回答并完全满足这些要求</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否则若有一项带“</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”的指标未响应或不满足，将按</w:t>
      </w:r>
      <w:r>
        <w:rPr>
          <w:rFonts w:hint="eastAsia" w:ascii="宋体" w:hAnsi="宋体" w:eastAsia="宋体" w:cs="Times New Roman"/>
          <w:b/>
          <w:color w:val="auto"/>
          <w:kern w:val="0"/>
          <w:szCs w:val="21"/>
          <w:highlight w:val="none"/>
          <w:u w:val="single"/>
        </w:rPr>
        <w:t>无效投标</w:t>
      </w:r>
      <w:r>
        <w:rPr>
          <w:rFonts w:ascii="宋体" w:hAnsi="宋体" w:eastAsia="宋体" w:cs="Times New Roman"/>
          <w:b/>
          <w:color w:val="auto"/>
          <w:kern w:val="0"/>
          <w:szCs w:val="21"/>
          <w:highlight w:val="none"/>
          <w:u w:val="single"/>
        </w:rPr>
        <w:t>处</w:t>
      </w:r>
      <w:r>
        <w:rPr>
          <w:rFonts w:ascii="宋体" w:hAnsi="宋体" w:eastAsia="宋体" w:cs="Times New Roman"/>
          <w:b/>
          <w:bCs w:val="0"/>
          <w:color w:val="auto"/>
          <w:kern w:val="0"/>
          <w:szCs w:val="21"/>
          <w:highlight w:val="none"/>
          <w:u w:val="single"/>
        </w:rPr>
        <w:t>理</w:t>
      </w:r>
      <w:r>
        <w:rPr>
          <w:rFonts w:ascii="宋体" w:hAnsi="宋体" w:eastAsia="宋体" w:cs="Times New Roman"/>
          <w:b/>
          <w:bCs w:val="0"/>
          <w:color w:val="auto"/>
          <w:kern w:val="0"/>
          <w:sz w:val="24"/>
          <w:szCs w:val="21"/>
          <w:highlight w:val="none"/>
          <w:u w:val="single"/>
          <w:lang w:val="zh-CN"/>
        </w:rPr>
        <w:t>。</w:t>
      </w:r>
    </w:p>
    <w:p w14:paraId="56207104">
      <w:pPr>
        <w:spacing w:line="360" w:lineRule="auto"/>
        <w:rPr>
          <w:rFonts w:ascii="宋体" w:hAnsi="宋体" w:eastAsia="宋体" w:cs="宋体"/>
          <w:color w:val="auto"/>
          <w:szCs w:val="21"/>
          <w:highlight w:val="none"/>
        </w:rPr>
      </w:pPr>
    </w:p>
    <w:p w14:paraId="77F1F41E">
      <w:pPr>
        <w:autoSpaceDE w:val="0"/>
        <w:autoSpaceDN w:val="0"/>
        <w:adjustRightIn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投标人：（</w:t>
      </w:r>
      <w:r>
        <w:rPr>
          <w:rFonts w:hint="eastAsia" w:ascii="宋体" w:hAnsi="宋体" w:eastAsia="宋体" w:cs="宋体"/>
          <w:color w:val="auto"/>
          <w:szCs w:val="21"/>
          <w:highlight w:val="none"/>
          <w:lang w:val="zh-CN"/>
        </w:rPr>
        <w:t>加盖投标人法人公章</w:t>
      </w:r>
      <w:r>
        <w:rPr>
          <w:rFonts w:hint="eastAsia" w:ascii="宋体" w:hAnsi="宋体" w:eastAsia="宋体" w:cs="宋体"/>
          <w:color w:val="auto"/>
          <w:kern w:val="0"/>
          <w:szCs w:val="21"/>
          <w:highlight w:val="none"/>
        </w:rPr>
        <w:t>）</w:t>
      </w:r>
    </w:p>
    <w:p w14:paraId="0A7C4065">
      <w:pPr>
        <w:autoSpaceDE w:val="0"/>
        <w:autoSpaceDN w:val="0"/>
        <w:adjustRightInd w:val="0"/>
        <w:ind w:left="15" w:leftChars="-50" w:hanging="12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日  期：   年  月  日</w:t>
      </w:r>
    </w:p>
    <w:p w14:paraId="7E9960FA">
      <w:pPr>
        <w:tabs>
          <w:tab w:val="left" w:pos="567"/>
        </w:tabs>
        <w:autoSpaceDE w:val="0"/>
        <w:autoSpaceDN w:val="0"/>
        <w:adjustRightInd w:val="0"/>
        <w:spacing w:line="360" w:lineRule="auto"/>
        <w:jc w:val="left"/>
        <w:outlineLvl w:val="2"/>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rPr>
        <w:br w:type="page"/>
      </w:r>
      <w:bookmarkStart w:id="1131" w:name="_Toc5046"/>
      <w:bookmarkStart w:id="1132" w:name="_Toc23150"/>
      <w:bookmarkStart w:id="1133" w:name="_Toc102860431"/>
      <w:bookmarkStart w:id="1134" w:name="_Toc104991889"/>
      <w:bookmarkStart w:id="1135" w:name="_Toc3593"/>
      <w:bookmarkStart w:id="1136" w:name="_Toc140596942"/>
      <w:bookmarkStart w:id="1137" w:name="_Toc142508382"/>
      <w:bookmarkStart w:id="1138" w:name="_Toc94107224"/>
      <w:bookmarkStart w:id="1139" w:name="_Toc102860087"/>
      <w:bookmarkStart w:id="1140" w:name="_Toc30614"/>
      <w:bookmarkStart w:id="1141" w:name="_Toc11923"/>
      <w:bookmarkStart w:id="1142" w:name="_Toc14211"/>
      <w:bookmarkStart w:id="1143" w:name="_Toc16292"/>
      <w:bookmarkStart w:id="1144" w:name="_Toc9148"/>
      <w:bookmarkStart w:id="1145" w:name="_Toc31355"/>
      <w:r>
        <w:rPr>
          <w:rFonts w:hint="eastAsia" w:ascii="宋体" w:hAnsi="宋体" w:eastAsia="宋体" w:cs="宋体"/>
          <w:b/>
          <w:color w:val="auto"/>
          <w:kern w:val="0"/>
          <w:sz w:val="30"/>
          <w:szCs w:val="30"/>
          <w:highlight w:val="none"/>
        </w:rPr>
        <w:t>1</w:t>
      </w:r>
      <w:r>
        <w:rPr>
          <w:rFonts w:hint="eastAsia" w:ascii="宋体" w:hAnsi="宋体" w:eastAsia="宋体" w:cs="宋体"/>
          <w:b/>
          <w:color w:val="auto"/>
          <w:kern w:val="0"/>
          <w:sz w:val="30"/>
          <w:szCs w:val="30"/>
          <w:highlight w:val="none"/>
          <w:lang w:val="en-US" w:eastAsia="zh-CN"/>
        </w:rPr>
        <w:t>2</w:t>
      </w:r>
      <w:r>
        <w:rPr>
          <w:rFonts w:hint="eastAsia" w:ascii="宋体" w:hAnsi="宋体" w:eastAsia="宋体" w:cs="宋体"/>
          <w:b/>
          <w:color w:val="auto"/>
          <w:kern w:val="0"/>
          <w:sz w:val="30"/>
          <w:szCs w:val="30"/>
          <w:highlight w:val="none"/>
        </w:rPr>
        <w:t>.2</w:t>
      </w:r>
      <w:r>
        <w:rPr>
          <w:rFonts w:ascii="宋体" w:hAnsi="宋体" w:eastAsia="宋体" w:cs="宋体"/>
          <w:b/>
          <w:color w:val="auto"/>
          <w:kern w:val="0"/>
          <w:sz w:val="30"/>
          <w:szCs w:val="30"/>
          <w:highlight w:val="none"/>
        </w:rPr>
        <w:t xml:space="preserve"> </w:t>
      </w:r>
      <w:bookmarkEnd w:id="1131"/>
      <w:bookmarkEnd w:id="1132"/>
      <w:bookmarkEnd w:id="1133"/>
      <w:bookmarkEnd w:id="1134"/>
      <w:bookmarkEnd w:id="1135"/>
      <w:bookmarkEnd w:id="1136"/>
      <w:bookmarkEnd w:id="1137"/>
      <w:bookmarkEnd w:id="1138"/>
      <w:bookmarkEnd w:id="1139"/>
      <w:r>
        <w:rPr>
          <w:rFonts w:hint="eastAsia" w:ascii="宋体" w:hAnsi="宋体" w:eastAsia="宋体" w:cs="宋体"/>
          <w:b/>
          <w:color w:val="auto"/>
          <w:kern w:val="0"/>
          <w:sz w:val="30"/>
          <w:szCs w:val="30"/>
          <w:highlight w:val="none"/>
          <w:lang w:val="en-US" w:eastAsia="zh-CN"/>
        </w:rPr>
        <w:t>项目服务总方案</w:t>
      </w:r>
      <w:bookmarkEnd w:id="1140"/>
      <w:bookmarkEnd w:id="1141"/>
      <w:bookmarkEnd w:id="1142"/>
      <w:bookmarkEnd w:id="1143"/>
      <w:bookmarkEnd w:id="1144"/>
      <w:bookmarkEnd w:id="1145"/>
    </w:p>
    <w:p w14:paraId="27FA7DA2">
      <w:pPr>
        <w:pStyle w:val="18"/>
        <w:jc w:val="both"/>
        <w:rPr>
          <w:rFonts w:hint="eastAsia"/>
          <w:b w:val="0"/>
          <w:bCs w:val="0"/>
          <w:color w:val="auto"/>
          <w:sz w:val="21"/>
          <w:szCs w:val="21"/>
          <w:highlight w:val="none"/>
          <w:lang w:val="en-US" w:eastAsia="zh-CN"/>
        </w:rPr>
      </w:pPr>
      <w:r>
        <w:rPr>
          <w:rFonts w:hint="eastAsia" w:hAnsi="宋体" w:cs="宋体"/>
          <w:b w:val="0"/>
          <w:bCs w:val="0"/>
          <w:color w:val="auto"/>
          <w:kern w:val="0"/>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投标人</w:t>
      </w:r>
      <w:r>
        <w:rPr>
          <w:rFonts w:hint="eastAsia" w:ascii="宋体" w:hAnsi="宋体" w:eastAsia="宋体" w:cs="宋体"/>
          <w:b w:val="0"/>
          <w:bCs w:val="0"/>
          <w:color w:val="auto"/>
          <w:sz w:val="21"/>
          <w:szCs w:val="21"/>
          <w:highlight w:val="none"/>
        </w:rPr>
        <w:t>自行编制</w:t>
      </w:r>
      <w:r>
        <w:rPr>
          <w:rFonts w:hint="eastAsia" w:hAnsi="宋体" w:cs="宋体"/>
          <w:b w:val="0"/>
          <w:bCs w:val="0"/>
          <w:color w:val="auto"/>
          <w:kern w:val="0"/>
          <w:sz w:val="21"/>
          <w:szCs w:val="21"/>
          <w:highlight w:val="none"/>
          <w:lang w:val="en-US" w:eastAsia="zh-CN"/>
        </w:rPr>
        <w:t>）</w:t>
      </w:r>
    </w:p>
    <w:p w14:paraId="3233F82D">
      <w:pPr>
        <w:pStyle w:val="18"/>
        <w:jc w:val="both"/>
        <w:rPr>
          <w:rFonts w:ascii="宋体" w:hAnsi="宋体" w:eastAsia="宋体" w:cs="Times New Roman"/>
          <w:b/>
          <w:color w:val="auto"/>
          <w:kern w:val="0"/>
          <w:sz w:val="30"/>
          <w:szCs w:val="30"/>
          <w:highlight w:val="none"/>
        </w:rPr>
      </w:pPr>
    </w:p>
    <w:p w14:paraId="04BEAC5A">
      <w:pPr>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br w:type="page"/>
      </w:r>
    </w:p>
    <w:p w14:paraId="0B961268">
      <w:pPr>
        <w:tabs>
          <w:tab w:val="left" w:pos="567"/>
        </w:tabs>
        <w:autoSpaceDE w:val="0"/>
        <w:autoSpaceDN w:val="0"/>
        <w:adjustRightInd w:val="0"/>
        <w:spacing w:line="360" w:lineRule="auto"/>
        <w:jc w:val="left"/>
        <w:outlineLvl w:val="2"/>
        <w:rPr>
          <w:rFonts w:hint="eastAsia" w:ascii="宋体" w:hAnsi="宋体" w:eastAsia="宋体" w:cs="宋体"/>
          <w:b/>
          <w:color w:val="auto"/>
          <w:kern w:val="0"/>
          <w:sz w:val="30"/>
          <w:szCs w:val="30"/>
          <w:highlight w:val="none"/>
          <w:lang w:val="en-US" w:eastAsia="zh-CN"/>
        </w:rPr>
      </w:pPr>
      <w:bookmarkStart w:id="1146" w:name="_Toc11878"/>
      <w:bookmarkStart w:id="1147" w:name="_Toc9799"/>
      <w:bookmarkStart w:id="1148" w:name="_Toc3390"/>
      <w:bookmarkStart w:id="1149" w:name="_Toc12980"/>
      <w:bookmarkStart w:id="1150" w:name="_Toc31700"/>
      <w:r>
        <w:rPr>
          <w:rFonts w:hint="eastAsia" w:ascii="宋体" w:hAnsi="宋体" w:eastAsia="宋体" w:cs="宋体"/>
          <w:b/>
          <w:color w:val="auto"/>
          <w:kern w:val="0"/>
          <w:sz w:val="30"/>
          <w:szCs w:val="30"/>
          <w:highlight w:val="none"/>
          <w:lang w:val="en-US" w:eastAsia="zh-CN"/>
        </w:rPr>
        <w:t>12.3 项目衔接方案</w:t>
      </w:r>
      <w:bookmarkEnd w:id="1146"/>
      <w:bookmarkEnd w:id="1147"/>
      <w:bookmarkEnd w:id="1148"/>
      <w:bookmarkEnd w:id="1149"/>
      <w:bookmarkEnd w:id="1150"/>
    </w:p>
    <w:p w14:paraId="566F8E65">
      <w:pPr>
        <w:pStyle w:val="18"/>
        <w:jc w:val="both"/>
        <w:rPr>
          <w:rFonts w:hint="eastAsia"/>
          <w:b w:val="0"/>
          <w:bCs w:val="0"/>
          <w:color w:val="auto"/>
          <w:sz w:val="21"/>
          <w:szCs w:val="21"/>
          <w:highlight w:val="none"/>
          <w:lang w:val="en-US" w:eastAsia="zh-CN"/>
        </w:rPr>
      </w:pPr>
      <w:r>
        <w:rPr>
          <w:rFonts w:hint="eastAsia" w:hAnsi="宋体" w:cs="宋体"/>
          <w:b w:val="0"/>
          <w:bCs w:val="0"/>
          <w:color w:val="auto"/>
          <w:kern w:val="0"/>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投标人</w:t>
      </w:r>
      <w:r>
        <w:rPr>
          <w:rFonts w:hint="eastAsia" w:ascii="宋体" w:hAnsi="宋体" w:eastAsia="宋体" w:cs="宋体"/>
          <w:b w:val="0"/>
          <w:bCs w:val="0"/>
          <w:color w:val="auto"/>
          <w:sz w:val="21"/>
          <w:szCs w:val="21"/>
          <w:highlight w:val="none"/>
        </w:rPr>
        <w:t>自行编制</w:t>
      </w:r>
      <w:r>
        <w:rPr>
          <w:rFonts w:hint="eastAsia" w:hAnsi="宋体" w:cs="宋体"/>
          <w:b w:val="0"/>
          <w:bCs w:val="0"/>
          <w:color w:val="auto"/>
          <w:kern w:val="0"/>
          <w:sz w:val="21"/>
          <w:szCs w:val="21"/>
          <w:highlight w:val="none"/>
          <w:lang w:val="en-US" w:eastAsia="zh-CN"/>
        </w:rPr>
        <w:t>）</w:t>
      </w:r>
    </w:p>
    <w:p w14:paraId="25DF1B3D">
      <w:pPr>
        <w:pStyle w:val="19"/>
        <w:rPr>
          <w:color w:val="auto"/>
          <w:highlight w:val="none"/>
        </w:rPr>
      </w:pPr>
    </w:p>
    <w:p w14:paraId="6E23C659">
      <w:pPr>
        <w:widowControl/>
        <w:jc w:val="left"/>
        <w:rPr>
          <w:rFonts w:ascii="宋体" w:hAnsi="宋体" w:eastAsia="宋体" w:cs="Times New Roman"/>
          <w:color w:val="auto"/>
          <w:kern w:val="0"/>
          <w:szCs w:val="21"/>
          <w:highlight w:val="none"/>
        </w:rPr>
      </w:pPr>
      <w:bookmarkStart w:id="1151" w:name="_Toc94107225"/>
      <w:r>
        <w:rPr>
          <w:rFonts w:ascii="宋体" w:hAnsi="宋体" w:eastAsia="宋体" w:cs="Times New Roman"/>
          <w:color w:val="auto"/>
          <w:kern w:val="0"/>
          <w:szCs w:val="21"/>
          <w:highlight w:val="none"/>
        </w:rPr>
        <w:br w:type="page"/>
      </w:r>
    </w:p>
    <w:bookmarkEnd w:id="1151"/>
    <w:p w14:paraId="0F97A412">
      <w:pPr>
        <w:tabs>
          <w:tab w:val="left" w:pos="567"/>
        </w:tabs>
        <w:autoSpaceDE w:val="0"/>
        <w:autoSpaceDN w:val="0"/>
        <w:adjustRightInd w:val="0"/>
        <w:spacing w:line="360" w:lineRule="auto"/>
        <w:jc w:val="left"/>
        <w:outlineLvl w:val="2"/>
        <w:rPr>
          <w:rFonts w:hint="eastAsia" w:ascii="宋体" w:hAnsi="宋体" w:eastAsia="宋体" w:cs="宋体"/>
          <w:b/>
          <w:color w:val="auto"/>
          <w:kern w:val="0"/>
          <w:sz w:val="30"/>
          <w:szCs w:val="30"/>
          <w:highlight w:val="none"/>
          <w:lang w:val="en-US" w:eastAsia="zh-CN"/>
        </w:rPr>
      </w:pPr>
      <w:bookmarkStart w:id="1152" w:name="_Toc31434"/>
      <w:bookmarkStart w:id="1153" w:name="_Toc4994"/>
      <w:bookmarkStart w:id="1154" w:name="_Toc15418"/>
      <w:bookmarkStart w:id="1155" w:name="_Toc4265"/>
      <w:bookmarkStart w:id="1156" w:name="_Toc5066"/>
      <w:bookmarkStart w:id="1157" w:name="_Toc16911"/>
      <w:bookmarkStart w:id="1158" w:name="_Toc102860094"/>
      <w:bookmarkStart w:id="1159" w:name="_Toc104991896"/>
      <w:bookmarkStart w:id="1160" w:name="_Toc102860438"/>
      <w:bookmarkStart w:id="1161" w:name="_Toc140596949"/>
      <w:bookmarkStart w:id="1162" w:name="_Toc142508389"/>
      <w:bookmarkStart w:id="1163" w:name="_Toc533708139"/>
      <w:r>
        <w:rPr>
          <w:rFonts w:hint="eastAsia" w:ascii="宋体" w:hAnsi="宋体" w:eastAsia="宋体" w:cs="宋体"/>
          <w:b/>
          <w:color w:val="auto"/>
          <w:kern w:val="0"/>
          <w:sz w:val="30"/>
          <w:szCs w:val="30"/>
          <w:highlight w:val="none"/>
          <w:lang w:val="en-US" w:eastAsia="zh-CN"/>
        </w:rPr>
        <w:t>12.4 污泥减量化（脱水至含水率≤50%）方案</w:t>
      </w:r>
      <w:bookmarkEnd w:id="1152"/>
      <w:bookmarkEnd w:id="1153"/>
      <w:bookmarkEnd w:id="1154"/>
      <w:bookmarkEnd w:id="1155"/>
      <w:bookmarkEnd w:id="1156"/>
      <w:bookmarkEnd w:id="1157"/>
    </w:p>
    <w:p w14:paraId="50186BBB">
      <w:pPr>
        <w:pStyle w:val="18"/>
        <w:jc w:val="both"/>
        <w:rPr>
          <w:rFonts w:hint="eastAsia"/>
          <w:b w:val="0"/>
          <w:bCs w:val="0"/>
          <w:color w:val="auto"/>
          <w:sz w:val="21"/>
          <w:szCs w:val="21"/>
          <w:highlight w:val="none"/>
          <w:lang w:val="en-US" w:eastAsia="zh-CN"/>
        </w:rPr>
      </w:pPr>
      <w:r>
        <w:rPr>
          <w:rFonts w:hint="eastAsia" w:hAnsi="宋体" w:cs="宋体"/>
          <w:b w:val="0"/>
          <w:bCs w:val="0"/>
          <w:color w:val="auto"/>
          <w:kern w:val="0"/>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投标人</w:t>
      </w:r>
      <w:r>
        <w:rPr>
          <w:rFonts w:hint="eastAsia" w:ascii="宋体" w:hAnsi="宋体" w:eastAsia="宋体" w:cs="宋体"/>
          <w:b w:val="0"/>
          <w:bCs w:val="0"/>
          <w:color w:val="auto"/>
          <w:sz w:val="21"/>
          <w:szCs w:val="21"/>
          <w:highlight w:val="none"/>
        </w:rPr>
        <w:t>自行编制</w:t>
      </w:r>
      <w:r>
        <w:rPr>
          <w:rFonts w:hint="eastAsia" w:hAnsi="宋体" w:cs="宋体"/>
          <w:b w:val="0"/>
          <w:bCs w:val="0"/>
          <w:color w:val="auto"/>
          <w:kern w:val="0"/>
          <w:sz w:val="21"/>
          <w:szCs w:val="21"/>
          <w:highlight w:val="none"/>
          <w:lang w:val="en-US" w:eastAsia="zh-CN"/>
        </w:rPr>
        <w:t>）</w:t>
      </w:r>
    </w:p>
    <w:p w14:paraId="72EAA5E7">
      <w:pPr>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br w:type="page"/>
      </w:r>
    </w:p>
    <w:p w14:paraId="359BB1DD">
      <w:pPr>
        <w:tabs>
          <w:tab w:val="left" w:pos="567"/>
        </w:tabs>
        <w:autoSpaceDE w:val="0"/>
        <w:autoSpaceDN w:val="0"/>
        <w:adjustRightInd w:val="0"/>
        <w:spacing w:line="360" w:lineRule="auto"/>
        <w:jc w:val="left"/>
        <w:outlineLvl w:val="2"/>
        <w:rPr>
          <w:rFonts w:hint="eastAsia" w:ascii="宋体" w:hAnsi="宋体" w:eastAsia="宋体" w:cs="宋体"/>
          <w:b/>
          <w:color w:val="auto"/>
          <w:kern w:val="0"/>
          <w:sz w:val="30"/>
          <w:szCs w:val="30"/>
          <w:highlight w:val="none"/>
          <w:lang w:val="en-US" w:eastAsia="zh-CN"/>
        </w:rPr>
      </w:pPr>
      <w:bookmarkStart w:id="1164" w:name="_Toc8842"/>
      <w:bookmarkStart w:id="1165" w:name="_Toc1505"/>
      <w:bookmarkStart w:id="1166" w:name="_Toc4301"/>
      <w:bookmarkStart w:id="1167" w:name="_Toc8699"/>
      <w:bookmarkStart w:id="1168" w:name="_Toc25907"/>
      <w:bookmarkStart w:id="1169" w:name="_Toc3368"/>
      <w:r>
        <w:rPr>
          <w:rFonts w:hint="eastAsia" w:ascii="宋体" w:hAnsi="宋体" w:eastAsia="宋体" w:cs="宋体"/>
          <w:b/>
          <w:color w:val="auto"/>
          <w:kern w:val="0"/>
          <w:sz w:val="30"/>
          <w:szCs w:val="30"/>
          <w:highlight w:val="none"/>
          <w:lang w:val="en-US" w:eastAsia="zh-CN"/>
        </w:rPr>
        <w:t>12.5 泥块外运及最终处置方案</w:t>
      </w:r>
      <w:bookmarkEnd w:id="1164"/>
      <w:bookmarkEnd w:id="1165"/>
      <w:bookmarkEnd w:id="1166"/>
      <w:bookmarkEnd w:id="1167"/>
      <w:bookmarkEnd w:id="1168"/>
      <w:bookmarkEnd w:id="1169"/>
    </w:p>
    <w:p w14:paraId="5346CCA1">
      <w:pPr>
        <w:tabs>
          <w:tab w:val="left" w:pos="567"/>
        </w:tabs>
        <w:autoSpaceDE w:val="0"/>
        <w:autoSpaceDN w:val="0"/>
        <w:adjustRightInd w:val="0"/>
        <w:spacing w:line="360" w:lineRule="auto"/>
        <w:jc w:val="left"/>
        <w:outlineLvl w:val="2"/>
        <w:rPr>
          <w:rFonts w:hint="default" w:ascii="宋体" w:hAnsi="宋体" w:eastAsia="宋体" w:cs="宋体"/>
          <w:b/>
          <w:color w:val="auto"/>
          <w:kern w:val="0"/>
          <w:sz w:val="30"/>
          <w:szCs w:val="30"/>
          <w:highlight w:val="none"/>
          <w:lang w:val="en-US" w:eastAsia="zh-CN"/>
        </w:rPr>
      </w:pPr>
      <w:bookmarkStart w:id="1170" w:name="_Toc26758"/>
      <w:bookmarkStart w:id="1171" w:name="_Toc4317"/>
      <w:bookmarkStart w:id="1172" w:name="_Toc7101"/>
      <w:bookmarkStart w:id="1173" w:name="_Toc4460"/>
      <w:bookmarkStart w:id="1174" w:name="_Toc19791"/>
      <w:bookmarkStart w:id="1175" w:name="_Toc9478"/>
      <w:r>
        <w:rPr>
          <w:rFonts w:hint="eastAsia" w:ascii="宋体" w:hAnsi="宋体" w:eastAsia="宋体" w:cs="宋体"/>
          <w:b/>
          <w:color w:val="auto"/>
          <w:kern w:val="0"/>
          <w:sz w:val="30"/>
          <w:szCs w:val="30"/>
          <w:highlight w:val="none"/>
          <w:lang w:val="en-US" w:eastAsia="zh-CN"/>
        </w:rPr>
        <w:t>12.5.1 泥块外运及最终处置方案</w:t>
      </w:r>
      <w:bookmarkEnd w:id="1170"/>
      <w:bookmarkEnd w:id="1171"/>
      <w:bookmarkEnd w:id="1172"/>
      <w:bookmarkEnd w:id="1173"/>
      <w:bookmarkEnd w:id="1174"/>
      <w:bookmarkEnd w:id="1175"/>
    </w:p>
    <w:p w14:paraId="3590465B">
      <w:pPr>
        <w:pStyle w:val="18"/>
        <w:jc w:val="both"/>
        <w:rPr>
          <w:rFonts w:hint="eastAsia"/>
          <w:b w:val="0"/>
          <w:bCs w:val="0"/>
          <w:color w:val="auto"/>
          <w:sz w:val="21"/>
          <w:szCs w:val="21"/>
          <w:highlight w:val="none"/>
          <w:lang w:val="en-US" w:eastAsia="zh-CN"/>
        </w:rPr>
      </w:pPr>
      <w:r>
        <w:rPr>
          <w:rFonts w:hint="eastAsia" w:hAnsi="宋体" w:cs="宋体"/>
          <w:b w:val="0"/>
          <w:bCs w:val="0"/>
          <w:color w:val="auto"/>
          <w:kern w:val="0"/>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投标人</w:t>
      </w:r>
      <w:r>
        <w:rPr>
          <w:rFonts w:hint="eastAsia" w:ascii="宋体" w:hAnsi="宋体" w:eastAsia="宋体" w:cs="宋体"/>
          <w:b w:val="0"/>
          <w:bCs w:val="0"/>
          <w:color w:val="auto"/>
          <w:sz w:val="21"/>
          <w:szCs w:val="21"/>
          <w:highlight w:val="none"/>
        </w:rPr>
        <w:t>自行编制</w:t>
      </w:r>
      <w:r>
        <w:rPr>
          <w:rFonts w:hint="eastAsia" w:hAnsi="宋体" w:cs="宋体"/>
          <w:b w:val="0"/>
          <w:bCs w:val="0"/>
          <w:color w:val="auto"/>
          <w:kern w:val="0"/>
          <w:sz w:val="21"/>
          <w:szCs w:val="21"/>
          <w:highlight w:val="none"/>
          <w:lang w:val="en-US" w:eastAsia="zh-CN"/>
        </w:rPr>
        <w:t>）</w:t>
      </w:r>
    </w:p>
    <w:p w14:paraId="2D2A4D7B">
      <w:pPr>
        <w:rPr>
          <w:rFonts w:hint="eastAsia" w:ascii="宋体" w:hAnsi="宋体" w:eastAsia="宋体" w:cs="宋体"/>
          <w:b/>
          <w:color w:val="auto"/>
          <w:kern w:val="0"/>
          <w:sz w:val="30"/>
          <w:szCs w:val="30"/>
          <w:highlight w:val="none"/>
          <w:lang w:val="en-US" w:eastAsia="zh-CN"/>
        </w:rPr>
      </w:pPr>
    </w:p>
    <w:p w14:paraId="2B5E3057">
      <w:pPr>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br w:type="page"/>
      </w:r>
    </w:p>
    <w:p w14:paraId="4B999EC4">
      <w:pPr>
        <w:tabs>
          <w:tab w:val="left" w:pos="567"/>
        </w:tabs>
        <w:autoSpaceDE w:val="0"/>
        <w:autoSpaceDN w:val="0"/>
        <w:adjustRightInd w:val="0"/>
        <w:spacing w:line="360" w:lineRule="auto"/>
        <w:jc w:val="left"/>
        <w:outlineLvl w:val="2"/>
        <w:rPr>
          <w:rFonts w:hint="default" w:ascii="宋体" w:hAnsi="宋体" w:eastAsia="宋体" w:cs="宋体"/>
          <w:b/>
          <w:color w:val="auto"/>
          <w:kern w:val="0"/>
          <w:sz w:val="30"/>
          <w:szCs w:val="30"/>
          <w:highlight w:val="none"/>
          <w:lang w:val="en-US" w:eastAsia="zh-CN"/>
        </w:rPr>
      </w:pPr>
      <w:bookmarkStart w:id="1176" w:name="_Toc10746"/>
      <w:bookmarkStart w:id="1177" w:name="_Toc12829"/>
      <w:bookmarkStart w:id="1178" w:name="_Toc1804"/>
      <w:bookmarkStart w:id="1179" w:name="_Toc24310"/>
      <w:bookmarkStart w:id="1180" w:name="_Toc21431"/>
      <w:bookmarkStart w:id="1181" w:name="_Toc22086"/>
      <w:r>
        <w:rPr>
          <w:rFonts w:hint="eastAsia" w:ascii="宋体" w:hAnsi="宋体" w:eastAsia="宋体" w:cs="宋体"/>
          <w:b/>
          <w:color w:val="auto"/>
          <w:kern w:val="0"/>
          <w:sz w:val="30"/>
          <w:szCs w:val="30"/>
          <w:highlight w:val="none"/>
          <w:lang w:val="en-US" w:eastAsia="zh-CN"/>
        </w:rPr>
        <w:t>12.5.2 污泥(脱水泥块)处置场所</w:t>
      </w:r>
      <w:bookmarkEnd w:id="1176"/>
      <w:bookmarkEnd w:id="1177"/>
      <w:bookmarkEnd w:id="1178"/>
      <w:bookmarkEnd w:id="1179"/>
      <w:bookmarkEnd w:id="1180"/>
      <w:bookmarkEnd w:id="1181"/>
    </w:p>
    <w:p w14:paraId="5D6FF0D5">
      <w:pPr>
        <w:pStyle w:val="18"/>
        <w:spacing w:line="360" w:lineRule="auto"/>
        <w:jc w:val="both"/>
        <w:rPr>
          <w:rFonts w:hint="eastAsia" w:ascii="宋体" w:hAnsi="宋体" w:eastAsia="宋体" w:cs="宋体"/>
          <w:b w:val="0"/>
          <w:bCs w:val="0"/>
          <w:color w:val="auto"/>
          <w:kern w:val="2"/>
          <w:sz w:val="21"/>
          <w:szCs w:val="21"/>
          <w:highlight w:val="none"/>
          <w:lang w:val="en-US" w:eastAsia="zh-CN"/>
        </w:rPr>
      </w:pPr>
    </w:p>
    <w:p w14:paraId="6A560EDD">
      <w:pPr>
        <w:pStyle w:val="18"/>
        <w:spacing w:line="360" w:lineRule="auto"/>
        <w:jc w:val="both"/>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备注：</w:t>
      </w:r>
    </w:p>
    <w:p w14:paraId="5EC0FE2B">
      <w:pPr>
        <w:adjustRightInd/>
        <w:spacing w:line="360" w:lineRule="auto"/>
        <w:ind w:firstLine="420" w:firstLineChars="200"/>
        <w:jc w:val="left"/>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zh-CN"/>
        </w:rPr>
        <w:t>(1)污泥(脱水泥块)处置</w:t>
      </w:r>
      <w:r>
        <w:rPr>
          <w:rFonts w:hint="eastAsia" w:ascii="宋体" w:hAnsi="宋体" w:eastAsia="宋体" w:cs="宋体"/>
          <w:b w:val="0"/>
          <w:bCs w:val="0"/>
          <w:color w:val="auto"/>
          <w:kern w:val="2"/>
          <w:sz w:val="21"/>
          <w:szCs w:val="21"/>
          <w:highlight w:val="none"/>
          <w:lang w:val="en-US" w:eastAsia="zh-CN" w:bidi="ar-SA"/>
        </w:rPr>
        <w:t>场所</w:t>
      </w:r>
      <w:r>
        <w:rPr>
          <w:rFonts w:hint="eastAsia" w:ascii="宋体" w:hAnsi="宋体" w:eastAsia="宋体" w:cs="宋体"/>
          <w:b w:val="0"/>
          <w:bCs w:val="0"/>
          <w:color w:val="auto"/>
          <w:sz w:val="21"/>
          <w:szCs w:val="21"/>
          <w:highlight w:val="none"/>
          <w:lang w:val="zh-CN"/>
        </w:rPr>
        <w:t>、工艺等条件投标人需提供对应佐证材料：需提供污泥(脱水泥块)处置单位的环境影响报告及环评批复复印件，环境影响报告</w:t>
      </w:r>
      <w:r>
        <w:rPr>
          <w:rFonts w:hint="eastAsia" w:ascii="宋体" w:hAnsi="宋体" w:eastAsia="宋体" w:cs="宋体"/>
          <w:b w:val="0"/>
          <w:bCs w:val="0"/>
          <w:color w:val="auto"/>
          <w:sz w:val="21"/>
          <w:szCs w:val="21"/>
          <w:highlight w:val="none"/>
          <w:lang w:val="en-US" w:eastAsia="zh-CN"/>
        </w:rPr>
        <w:t>或</w:t>
      </w:r>
      <w:r>
        <w:rPr>
          <w:rFonts w:hint="eastAsia" w:ascii="宋体" w:hAnsi="宋体" w:eastAsia="宋体" w:cs="宋体"/>
          <w:b w:val="0"/>
          <w:bCs w:val="0"/>
          <w:color w:val="auto"/>
          <w:sz w:val="21"/>
          <w:szCs w:val="21"/>
          <w:highlight w:val="none"/>
          <w:lang w:val="zh-CN"/>
        </w:rPr>
        <w:t>环评批复需体现污泥(脱水泥块)处置</w:t>
      </w:r>
      <w:r>
        <w:rPr>
          <w:rFonts w:hint="eastAsia" w:ascii="宋体" w:hAnsi="宋体" w:eastAsia="宋体" w:cs="宋体"/>
          <w:b w:val="0"/>
          <w:bCs w:val="0"/>
          <w:color w:val="auto"/>
          <w:sz w:val="21"/>
          <w:szCs w:val="21"/>
          <w:highlight w:val="none"/>
          <w:lang w:val="zh-CN" w:eastAsia="zh-CN"/>
        </w:rPr>
        <w:t>场所</w:t>
      </w:r>
      <w:r>
        <w:rPr>
          <w:rFonts w:hint="eastAsia" w:ascii="宋体" w:hAnsi="宋体" w:eastAsia="宋体" w:cs="宋体"/>
          <w:b w:val="0"/>
          <w:bCs w:val="0"/>
          <w:color w:val="auto"/>
          <w:sz w:val="21"/>
          <w:szCs w:val="21"/>
          <w:highlight w:val="none"/>
          <w:lang w:val="zh-CN"/>
        </w:rPr>
        <w:t>和处置工艺，污泥(脱水泥块)处置单位可为投标人，亦可为投标人合作单位，若污泥(脱水泥块)处置单位为投标人合作单位，需提供污泥(脱水泥块)处置合作协议复印件。</w:t>
      </w:r>
    </w:p>
    <w:p w14:paraId="277BD6DA">
      <w:pPr>
        <w:adjustRightInd/>
        <w:spacing w:line="360" w:lineRule="auto"/>
        <w:ind w:firstLine="420" w:firstLineChars="200"/>
        <w:jc w:val="left"/>
        <w:rPr>
          <w:rFonts w:hint="eastAsia" w:ascii="宋体" w:hAnsi="宋体" w:eastAsia="宋体" w:cs="宋体"/>
          <w:b w:val="0"/>
          <w:bCs w:val="0"/>
          <w:color w:val="auto"/>
          <w:sz w:val="21"/>
          <w:szCs w:val="21"/>
          <w:highlight w:val="none"/>
          <w:lang w:val="zh-CN"/>
        </w:rPr>
      </w:pPr>
      <w:r>
        <w:rPr>
          <w:rFonts w:hint="eastAsia" w:ascii="宋体" w:hAnsi="宋体" w:eastAsia="宋体" w:cs="宋体"/>
          <w:b w:val="0"/>
          <w:bCs w:val="0"/>
          <w:color w:val="auto"/>
          <w:sz w:val="21"/>
          <w:szCs w:val="21"/>
          <w:highlight w:val="none"/>
          <w:lang w:val="zh-CN"/>
        </w:rPr>
        <w:t>(2)若污泥(脱水泥块)处置场所为广东省行政区域外，投标人需提供取得污泥处置地省、自治区、直辖市人民政府生态环境主管部门同意接受外地(包含广东省)污泥处置证明文件复印件。</w:t>
      </w:r>
    </w:p>
    <w:p w14:paraId="38F26408">
      <w:pPr>
        <w:pStyle w:val="18"/>
        <w:spacing w:line="360" w:lineRule="auto"/>
        <w:jc w:val="left"/>
        <w:rPr>
          <w:rFonts w:hint="eastAsia" w:ascii="宋体" w:hAnsi="宋体" w:eastAsia="宋体" w:cs="宋体"/>
          <w:b w:val="0"/>
          <w:bCs w:val="0"/>
          <w:color w:val="auto"/>
          <w:kern w:val="2"/>
          <w:sz w:val="21"/>
          <w:szCs w:val="21"/>
          <w:highlight w:val="none"/>
          <w:lang w:val="en-US" w:eastAsia="zh-CN"/>
        </w:rPr>
      </w:pPr>
    </w:p>
    <w:p w14:paraId="0D5A2706">
      <w:pPr>
        <w:rPr>
          <w:rFonts w:hint="eastAsia" w:ascii="宋体" w:hAnsi="宋体" w:eastAsia="宋体" w:cs="宋体"/>
          <w:b/>
          <w:color w:val="auto"/>
          <w:kern w:val="0"/>
          <w:sz w:val="30"/>
          <w:szCs w:val="30"/>
          <w:highlight w:val="none"/>
          <w:lang w:val="en-US" w:eastAsia="zh-CN"/>
        </w:rPr>
      </w:pPr>
    </w:p>
    <w:p w14:paraId="71E54C3C">
      <w:pPr>
        <w:rPr>
          <w:rFonts w:hint="eastAsia" w:ascii="宋体" w:hAnsi="宋体" w:eastAsia="宋体" w:cs="宋体"/>
          <w:b/>
          <w:color w:val="auto"/>
          <w:kern w:val="0"/>
          <w:sz w:val="30"/>
          <w:szCs w:val="30"/>
          <w:highlight w:val="none"/>
          <w:lang w:val="en-US" w:eastAsia="zh-CN"/>
        </w:rPr>
      </w:pPr>
    </w:p>
    <w:p w14:paraId="2D95B1B4">
      <w:pPr>
        <w:rPr>
          <w:rFonts w:hint="eastAsia" w:ascii="宋体" w:hAnsi="宋体" w:eastAsia="宋体" w:cs="宋体"/>
          <w:b/>
          <w:color w:val="auto"/>
          <w:kern w:val="0"/>
          <w:sz w:val="30"/>
          <w:szCs w:val="30"/>
          <w:highlight w:val="none"/>
          <w:lang w:val="en-US" w:eastAsia="zh-CN"/>
        </w:rPr>
      </w:pPr>
    </w:p>
    <w:p w14:paraId="343C2A70">
      <w:pPr>
        <w:rPr>
          <w:rFonts w:hint="eastAsia" w:ascii="宋体" w:hAnsi="宋体" w:eastAsia="宋体" w:cs="宋体"/>
          <w:b/>
          <w:color w:val="auto"/>
          <w:kern w:val="0"/>
          <w:sz w:val="30"/>
          <w:szCs w:val="30"/>
          <w:highlight w:val="none"/>
          <w:lang w:val="en-US" w:eastAsia="zh-CN"/>
        </w:rPr>
      </w:pPr>
    </w:p>
    <w:p w14:paraId="644A61BA">
      <w:pPr>
        <w:rPr>
          <w:rFonts w:hint="eastAsia" w:ascii="宋体" w:hAnsi="宋体" w:eastAsia="宋体" w:cs="宋体"/>
          <w:b/>
          <w:color w:val="auto"/>
          <w:kern w:val="0"/>
          <w:sz w:val="30"/>
          <w:szCs w:val="30"/>
          <w:highlight w:val="none"/>
          <w:lang w:val="en-US" w:eastAsia="zh-CN"/>
        </w:rPr>
      </w:pPr>
    </w:p>
    <w:p w14:paraId="6482E96B">
      <w:pPr>
        <w:rPr>
          <w:rFonts w:hint="eastAsia" w:ascii="宋体" w:hAnsi="宋体" w:eastAsia="宋体" w:cs="宋体"/>
          <w:b/>
          <w:color w:val="auto"/>
          <w:kern w:val="0"/>
          <w:sz w:val="30"/>
          <w:szCs w:val="30"/>
          <w:highlight w:val="none"/>
          <w:lang w:val="en-US" w:eastAsia="zh-CN"/>
        </w:rPr>
      </w:pPr>
    </w:p>
    <w:p w14:paraId="0A6BCB41">
      <w:pPr>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br w:type="page"/>
      </w:r>
    </w:p>
    <w:p w14:paraId="6BA5A8B2">
      <w:pPr>
        <w:autoSpaceDE w:val="0"/>
        <w:autoSpaceDN w:val="0"/>
        <w:adjustRightInd w:val="0"/>
        <w:spacing w:line="360" w:lineRule="auto"/>
        <w:jc w:val="left"/>
        <w:outlineLvl w:val="2"/>
        <w:rPr>
          <w:rFonts w:ascii="宋体" w:hAnsi="宋体" w:eastAsia="宋体" w:cs="宋体"/>
          <w:b/>
          <w:color w:val="auto"/>
          <w:kern w:val="0"/>
          <w:sz w:val="30"/>
          <w:szCs w:val="30"/>
          <w:highlight w:val="none"/>
        </w:rPr>
      </w:pPr>
      <w:bookmarkStart w:id="1182" w:name="_Toc4896"/>
      <w:bookmarkStart w:id="1183" w:name="_Toc29401"/>
      <w:bookmarkStart w:id="1184" w:name="_Toc6018"/>
      <w:bookmarkStart w:id="1185" w:name="_Toc25320"/>
      <w:bookmarkStart w:id="1186" w:name="_Toc3750"/>
      <w:bookmarkStart w:id="1187" w:name="_Toc24710"/>
      <w:bookmarkStart w:id="1188" w:name="_Toc18180"/>
      <w:bookmarkStart w:id="1189" w:name="_Toc10840"/>
      <w:bookmarkStart w:id="1190" w:name="_Toc30545"/>
      <w:r>
        <w:rPr>
          <w:rFonts w:hint="eastAsia" w:ascii="宋体" w:hAnsi="宋体" w:eastAsia="宋体" w:cs="宋体"/>
          <w:b/>
          <w:color w:val="auto"/>
          <w:kern w:val="0"/>
          <w:sz w:val="30"/>
          <w:szCs w:val="30"/>
          <w:highlight w:val="none"/>
          <w:lang w:val="en-US" w:eastAsia="zh-CN"/>
        </w:rPr>
        <w:t xml:space="preserve">12.6 </w:t>
      </w:r>
      <w:r>
        <w:rPr>
          <w:rFonts w:hint="eastAsia" w:ascii="宋体" w:hAnsi="宋体" w:eastAsia="宋体" w:cs="宋体"/>
          <w:b/>
          <w:color w:val="auto"/>
          <w:kern w:val="0"/>
          <w:sz w:val="30"/>
          <w:szCs w:val="30"/>
          <w:highlight w:val="none"/>
        </w:rPr>
        <w:t>投标人认为有必要提供的其它材料（不做强制要求）</w:t>
      </w:r>
      <w:bookmarkEnd w:id="1158"/>
      <w:bookmarkEnd w:id="1159"/>
      <w:bookmarkEnd w:id="1160"/>
      <w:bookmarkEnd w:id="1161"/>
      <w:bookmarkEnd w:id="1162"/>
      <w:bookmarkEnd w:id="1182"/>
      <w:bookmarkEnd w:id="1183"/>
      <w:bookmarkEnd w:id="1184"/>
      <w:bookmarkEnd w:id="1185"/>
      <w:bookmarkEnd w:id="1186"/>
      <w:bookmarkEnd w:id="1187"/>
      <w:bookmarkEnd w:id="1188"/>
      <w:bookmarkEnd w:id="1189"/>
      <w:bookmarkEnd w:id="1190"/>
    </w:p>
    <w:p w14:paraId="2DF3E1FF">
      <w:pPr>
        <w:autoSpaceDE w:val="0"/>
        <w:autoSpaceDN w:val="0"/>
        <w:adjustRightInd w:val="0"/>
        <w:jc w:val="left"/>
        <w:rPr>
          <w:rFonts w:ascii="宋体" w:hAnsi="宋体" w:eastAsia="宋体" w:cs="Times New Roman"/>
          <w:color w:val="auto"/>
          <w:kern w:val="0"/>
          <w:sz w:val="24"/>
          <w:szCs w:val="24"/>
          <w:highlight w:val="none"/>
        </w:rPr>
      </w:pPr>
    </w:p>
    <w:p w14:paraId="6164E0E6">
      <w:pPr>
        <w:autoSpaceDE w:val="0"/>
        <w:autoSpaceDN w:val="0"/>
        <w:adjustRightInd w:val="0"/>
        <w:jc w:val="left"/>
        <w:rPr>
          <w:rFonts w:ascii="宋体" w:hAnsi="宋体" w:eastAsia="宋体" w:cs="Times New Roman"/>
          <w:color w:val="auto"/>
          <w:kern w:val="0"/>
          <w:sz w:val="24"/>
          <w:szCs w:val="24"/>
          <w:highlight w:val="none"/>
        </w:rPr>
      </w:pPr>
    </w:p>
    <w:p w14:paraId="0AF4FA50">
      <w:pPr>
        <w:autoSpaceDE w:val="0"/>
        <w:autoSpaceDN w:val="0"/>
        <w:adjustRightInd w:val="0"/>
        <w:jc w:val="left"/>
        <w:rPr>
          <w:rFonts w:ascii="宋体" w:hAnsi="宋体" w:eastAsia="宋体" w:cs="Times New Roman"/>
          <w:color w:val="auto"/>
          <w:kern w:val="0"/>
          <w:sz w:val="24"/>
          <w:szCs w:val="24"/>
          <w:highlight w:val="none"/>
        </w:rPr>
      </w:pPr>
    </w:p>
    <w:p w14:paraId="5E789C4B">
      <w:pPr>
        <w:autoSpaceDE w:val="0"/>
        <w:autoSpaceDN w:val="0"/>
        <w:adjustRightInd w:val="0"/>
        <w:jc w:val="left"/>
        <w:rPr>
          <w:rFonts w:ascii="宋体" w:hAnsi="宋体" w:eastAsia="宋体" w:cs="Times New Roman"/>
          <w:color w:val="auto"/>
          <w:kern w:val="0"/>
          <w:sz w:val="24"/>
          <w:szCs w:val="24"/>
          <w:highlight w:val="none"/>
        </w:rPr>
      </w:pPr>
    </w:p>
    <w:p w14:paraId="6C56271A">
      <w:pPr>
        <w:autoSpaceDE w:val="0"/>
        <w:autoSpaceDN w:val="0"/>
        <w:adjustRightInd w:val="0"/>
        <w:jc w:val="left"/>
        <w:rPr>
          <w:rFonts w:ascii="宋体" w:hAnsi="宋体" w:eastAsia="宋体" w:cs="Times New Roman"/>
          <w:color w:val="auto"/>
          <w:kern w:val="0"/>
          <w:sz w:val="24"/>
          <w:szCs w:val="24"/>
          <w:highlight w:val="none"/>
        </w:rPr>
      </w:pPr>
    </w:p>
    <w:p w14:paraId="3B993370">
      <w:pPr>
        <w:autoSpaceDE w:val="0"/>
        <w:autoSpaceDN w:val="0"/>
        <w:adjustRightInd w:val="0"/>
        <w:jc w:val="left"/>
        <w:rPr>
          <w:rFonts w:ascii="宋体" w:hAnsi="宋体" w:eastAsia="宋体" w:cs="Times New Roman"/>
          <w:color w:val="auto"/>
          <w:kern w:val="0"/>
          <w:sz w:val="24"/>
          <w:szCs w:val="24"/>
          <w:highlight w:val="none"/>
        </w:rPr>
      </w:pPr>
    </w:p>
    <w:p w14:paraId="4141654B">
      <w:pPr>
        <w:widowControl/>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br w:type="page"/>
      </w:r>
    </w:p>
    <w:p w14:paraId="6EFF1C62">
      <w:pPr>
        <w:autoSpaceDE w:val="0"/>
        <w:autoSpaceDN w:val="0"/>
        <w:adjustRightInd w:val="0"/>
        <w:jc w:val="left"/>
        <w:rPr>
          <w:rFonts w:ascii="宋体" w:hAnsi="宋体" w:eastAsia="宋体" w:cs="Times New Roman"/>
          <w:color w:val="auto"/>
          <w:kern w:val="0"/>
          <w:sz w:val="24"/>
          <w:szCs w:val="24"/>
          <w:highlight w:val="none"/>
        </w:rPr>
      </w:pPr>
    </w:p>
    <w:p w14:paraId="4CEA4466">
      <w:pPr>
        <w:tabs>
          <w:tab w:val="left" w:pos="1080"/>
        </w:tabs>
        <w:autoSpaceDE w:val="0"/>
        <w:autoSpaceDN w:val="0"/>
        <w:adjustRightInd w:val="0"/>
        <w:spacing w:line="360" w:lineRule="auto"/>
        <w:jc w:val="left"/>
        <w:outlineLvl w:val="0"/>
        <w:rPr>
          <w:rFonts w:ascii="宋体" w:hAnsi="宋体" w:eastAsia="宋体" w:cs="宋体"/>
          <w:b/>
          <w:bCs/>
          <w:color w:val="auto"/>
          <w:kern w:val="44"/>
          <w:sz w:val="32"/>
          <w:szCs w:val="32"/>
          <w:highlight w:val="none"/>
          <w:lang w:val="zh-CN"/>
        </w:rPr>
      </w:pPr>
      <w:bookmarkStart w:id="1191" w:name="_Toc28055"/>
      <w:bookmarkStart w:id="1192" w:name="_Toc14977"/>
      <w:bookmarkStart w:id="1193" w:name="_Toc4441"/>
      <w:bookmarkStart w:id="1194" w:name="_Toc21059"/>
      <w:bookmarkStart w:id="1195" w:name="_Toc15458"/>
      <w:bookmarkStart w:id="1196" w:name="_Toc142508390"/>
      <w:bookmarkStart w:id="1197" w:name="_Toc30548"/>
      <w:bookmarkStart w:id="1198" w:name="_Toc17289"/>
      <w:bookmarkStart w:id="1199" w:name="_Toc23461"/>
      <w:bookmarkStart w:id="1200" w:name="_Toc24519"/>
      <w:bookmarkStart w:id="1201" w:name="_Toc521918141"/>
      <w:bookmarkStart w:id="1202" w:name="_Toc22601_WPSOffice_Level1"/>
      <w:bookmarkStart w:id="1203" w:name="_Toc522047402"/>
      <w:r>
        <w:rPr>
          <w:rFonts w:hint="eastAsia" w:ascii="宋体" w:hAnsi="宋体" w:eastAsia="宋体" w:cs="宋体"/>
          <w:b/>
          <w:bCs/>
          <w:color w:val="auto"/>
          <w:kern w:val="44"/>
          <w:sz w:val="32"/>
          <w:szCs w:val="32"/>
          <w:highlight w:val="none"/>
          <w:lang w:val="zh-CN"/>
        </w:rPr>
        <w:t>附件一：评标工作大纲</w:t>
      </w:r>
      <w:bookmarkEnd w:id="1191"/>
      <w:bookmarkEnd w:id="1192"/>
      <w:bookmarkEnd w:id="1193"/>
      <w:bookmarkEnd w:id="1194"/>
      <w:bookmarkEnd w:id="1195"/>
      <w:bookmarkEnd w:id="1196"/>
      <w:bookmarkEnd w:id="1197"/>
      <w:bookmarkEnd w:id="1198"/>
      <w:bookmarkEnd w:id="1199"/>
      <w:bookmarkEnd w:id="1200"/>
    </w:p>
    <w:p w14:paraId="24C61992">
      <w:pPr>
        <w:autoSpaceDE w:val="0"/>
        <w:autoSpaceDN w:val="0"/>
        <w:adjustRightInd w:val="0"/>
        <w:spacing w:line="400" w:lineRule="atLeast"/>
        <w:jc w:val="center"/>
        <w:rPr>
          <w:rFonts w:ascii="宋体" w:hAnsi="宋体" w:eastAsia="宋体" w:cs="宋体"/>
          <w:b/>
          <w:bCs/>
          <w:color w:val="auto"/>
          <w:szCs w:val="21"/>
          <w:highlight w:val="none"/>
        </w:rPr>
      </w:pPr>
    </w:p>
    <w:p w14:paraId="2ED45321">
      <w:pPr>
        <w:autoSpaceDE w:val="0"/>
        <w:autoSpaceDN w:val="0"/>
        <w:adjustRightInd w:val="0"/>
        <w:spacing w:line="400" w:lineRule="atLeast"/>
        <w:jc w:val="center"/>
        <w:rPr>
          <w:rFonts w:ascii="宋体" w:hAnsi="宋体" w:eastAsia="宋体" w:cs="宋体"/>
          <w:b/>
          <w:bCs/>
          <w:color w:val="auto"/>
          <w:szCs w:val="21"/>
          <w:highlight w:val="none"/>
        </w:rPr>
      </w:pPr>
    </w:p>
    <w:p w14:paraId="10748D65">
      <w:pPr>
        <w:autoSpaceDE w:val="0"/>
        <w:autoSpaceDN w:val="0"/>
        <w:adjustRightInd w:val="0"/>
        <w:spacing w:line="400" w:lineRule="atLeast"/>
        <w:jc w:val="center"/>
        <w:rPr>
          <w:rFonts w:ascii="宋体" w:hAnsi="宋体" w:eastAsia="宋体" w:cs="宋体"/>
          <w:b/>
          <w:bCs/>
          <w:color w:val="auto"/>
          <w:szCs w:val="21"/>
          <w:highlight w:val="none"/>
        </w:rPr>
      </w:pPr>
    </w:p>
    <w:p w14:paraId="5F1961CD">
      <w:pPr>
        <w:autoSpaceDE w:val="0"/>
        <w:autoSpaceDN w:val="0"/>
        <w:adjustRightInd w:val="0"/>
        <w:spacing w:line="400" w:lineRule="atLeast"/>
        <w:jc w:val="center"/>
        <w:rPr>
          <w:rFonts w:ascii="宋体" w:hAnsi="宋体" w:eastAsia="宋体" w:cs="宋体"/>
          <w:b/>
          <w:bCs/>
          <w:color w:val="auto"/>
          <w:szCs w:val="21"/>
          <w:highlight w:val="none"/>
        </w:rPr>
      </w:pPr>
    </w:p>
    <w:p w14:paraId="10EEF24F">
      <w:pPr>
        <w:autoSpaceDE w:val="0"/>
        <w:autoSpaceDN w:val="0"/>
        <w:adjustRightInd w:val="0"/>
        <w:spacing w:line="360" w:lineRule="auto"/>
        <w:jc w:val="center"/>
        <w:rPr>
          <w:rFonts w:hint="eastAsia" w:ascii="宋体" w:hAnsi="宋体" w:eastAsia="宋体" w:cs="宋体"/>
          <w:b/>
          <w:bCs/>
          <w:color w:val="auto"/>
          <w:sz w:val="36"/>
          <w:szCs w:val="36"/>
          <w:highlight w:val="none"/>
          <w:lang w:val="zh-CN"/>
        </w:rPr>
      </w:pPr>
      <w:bookmarkStart w:id="1204" w:name="_Toc14752_WPSOffice_Level1"/>
      <w:r>
        <w:rPr>
          <w:rFonts w:hint="eastAsia" w:ascii="宋体" w:hAnsi="宋体" w:eastAsia="宋体" w:cs="宋体"/>
          <w:b/>
          <w:bCs/>
          <w:color w:val="auto"/>
          <w:sz w:val="36"/>
          <w:szCs w:val="36"/>
          <w:highlight w:val="none"/>
          <w:lang w:val="zh-CN"/>
        </w:rPr>
        <w:t>东莞市樟村水质净化厂污泥处理处置服务项目（2025-2026年）</w:t>
      </w:r>
    </w:p>
    <w:p w14:paraId="1477FB54">
      <w:pPr>
        <w:autoSpaceDE w:val="0"/>
        <w:autoSpaceDN w:val="0"/>
        <w:adjustRightInd w:val="0"/>
        <w:spacing w:line="360" w:lineRule="auto"/>
        <w:jc w:val="center"/>
        <w:rPr>
          <w:rFonts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lang w:val="zh-CN"/>
        </w:rPr>
        <w:t>（招标编号：DGDS2025-013）</w:t>
      </w:r>
      <w:bookmarkEnd w:id="1204"/>
    </w:p>
    <w:p w14:paraId="2A19A845">
      <w:pPr>
        <w:autoSpaceDE w:val="0"/>
        <w:autoSpaceDN w:val="0"/>
        <w:adjustRightInd w:val="0"/>
        <w:spacing w:line="400" w:lineRule="atLeast"/>
        <w:jc w:val="center"/>
        <w:rPr>
          <w:rFonts w:ascii="宋体" w:hAnsi="宋体" w:eastAsia="宋体" w:cs="宋体"/>
          <w:b/>
          <w:bCs/>
          <w:color w:val="auto"/>
          <w:sz w:val="36"/>
          <w:szCs w:val="36"/>
          <w:highlight w:val="none"/>
        </w:rPr>
      </w:pPr>
    </w:p>
    <w:p w14:paraId="404B5EC5">
      <w:pPr>
        <w:autoSpaceDE w:val="0"/>
        <w:autoSpaceDN w:val="0"/>
        <w:adjustRightInd w:val="0"/>
        <w:spacing w:line="400" w:lineRule="atLeast"/>
        <w:jc w:val="center"/>
        <w:rPr>
          <w:rFonts w:ascii="宋体" w:hAnsi="宋体" w:eastAsia="宋体" w:cs="宋体"/>
          <w:b/>
          <w:bCs/>
          <w:color w:val="auto"/>
          <w:sz w:val="36"/>
          <w:szCs w:val="36"/>
          <w:highlight w:val="none"/>
        </w:rPr>
      </w:pPr>
    </w:p>
    <w:p w14:paraId="1E8C7D22">
      <w:pPr>
        <w:autoSpaceDE w:val="0"/>
        <w:autoSpaceDN w:val="0"/>
        <w:adjustRightInd w:val="0"/>
        <w:spacing w:line="400" w:lineRule="atLeast"/>
        <w:jc w:val="center"/>
        <w:rPr>
          <w:rFonts w:ascii="宋体" w:hAnsi="宋体" w:eastAsia="宋体" w:cs="宋体"/>
          <w:b/>
          <w:bCs/>
          <w:color w:val="auto"/>
          <w:sz w:val="36"/>
          <w:szCs w:val="36"/>
          <w:highlight w:val="none"/>
        </w:rPr>
      </w:pPr>
    </w:p>
    <w:p w14:paraId="7E76A002">
      <w:pPr>
        <w:autoSpaceDE w:val="0"/>
        <w:autoSpaceDN w:val="0"/>
        <w:adjustRightInd w:val="0"/>
        <w:spacing w:line="400" w:lineRule="atLeast"/>
        <w:jc w:val="center"/>
        <w:rPr>
          <w:rFonts w:ascii="宋体" w:hAnsi="宋体" w:eastAsia="宋体" w:cs="宋体"/>
          <w:b/>
          <w:bCs/>
          <w:color w:val="auto"/>
          <w:sz w:val="36"/>
          <w:szCs w:val="36"/>
          <w:highlight w:val="none"/>
        </w:rPr>
      </w:pPr>
    </w:p>
    <w:p w14:paraId="5540A453">
      <w:pPr>
        <w:autoSpaceDE w:val="0"/>
        <w:autoSpaceDN w:val="0"/>
        <w:adjustRightInd w:val="0"/>
        <w:spacing w:line="400" w:lineRule="atLeast"/>
        <w:jc w:val="center"/>
        <w:rPr>
          <w:rFonts w:ascii="宋体" w:hAnsi="宋体" w:eastAsia="宋体" w:cs="宋体"/>
          <w:b/>
          <w:bCs/>
          <w:color w:val="auto"/>
          <w:sz w:val="72"/>
          <w:szCs w:val="72"/>
          <w:highlight w:val="none"/>
          <w:lang w:val="zh-CN"/>
        </w:rPr>
      </w:pPr>
      <w:bookmarkStart w:id="1205" w:name="_Toc18947_WPSOffice_Level2"/>
      <w:r>
        <w:rPr>
          <w:rFonts w:hint="eastAsia" w:ascii="宋体" w:hAnsi="宋体" w:eastAsia="宋体" w:cs="宋体"/>
          <w:b/>
          <w:bCs/>
          <w:color w:val="auto"/>
          <w:sz w:val="72"/>
          <w:szCs w:val="72"/>
          <w:highlight w:val="none"/>
          <w:lang w:val="zh-CN"/>
        </w:rPr>
        <w:t>评标工作大纲</w:t>
      </w:r>
      <w:bookmarkEnd w:id="1205"/>
    </w:p>
    <w:p w14:paraId="42C61315">
      <w:pPr>
        <w:autoSpaceDE w:val="0"/>
        <w:autoSpaceDN w:val="0"/>
        <w:adjustRightInd w:val="0"/>
        <w:spacing w:line="400" w:lineRule="atLeast"/>
        <w:jc w:val="center"/>
        <w:rPr>
          <w:rFonts w:ascii="宋体" w:hAnsi="宋体" w:eastAsia="宋体" w:cs="宋体"/>
          <w:b/>
          <w:bCs/>
          <w:color w:val="auto"/>
          <w:sz w:val="36"/>
          <w:szCs w:val="36"/>
          <w:highlight w:val="none"/>
        </w:rPr>
      </w:pPr>
    </w:p>
    <w:p w14:paraId="5228F77A">
      <w:pPr>
        <w:autoSpaceDE w:val="0"/>
        <w:autoSpaceDN w:val="0"/>
        <w:adjustRightInd w:val="0"/>
        <w:spacing w:line="400" w:lineRule="atLeast"/>
        <w:rPr>
          <w:rFonts w:ascii="宋体" w:hAnsi="宋体" w:eastAsia="宋体" w:cs="宋体"/>
          <w:b/>
          <w:bCs/>
          <w:color w:val="auto"/>
          <w:sz w:val="36"/>
          <w:szCs w:val="36"/>
          <w:highlight w:val="none"/>
        </w:rPr>
      </w:pPr>
    </w:p>
    <w:p w14:paraId="7BA30C9A">
      <w:pPr>
        <w:autoSpaceDE w:val="0"/>
        <w:autoSpaceDN w:val="0"/>
        <w:adjustRightInd w:val="0"/>
        <w:spacing w:line="400" w:lineRule="atLeast"/>
        <w:jc w:val="center"/>
        <w:rPr>
          <w:rFonts w:ascii="宋体" w:hAnsi="宋体" w:eastAsia="宋体" w:cs="宋体"/>
          <w:b/>
          <w:bCs/>
          <w:color w:val="auto"/>
          <w:sz w:val="36"/>
          <w:szCs w:val="36"/>
          <w:highlight w:val="none"/>
        </w:rPr>
      </w:pPr>
    </w:p>
    <w:p w14:paraId="5A49E7D6">
      <w:pPr>
        <w:autoSpaceDE w:val="0"/>
        <w:autoSpaceDN w:val="0"/>
        <w:adjustRightInd w:val="0"/>
        <w:spacing w:line="400" w:lineRule="atLeast"/>
        <w:jc w:val="center"/>
        <w:rPr>
          <w:rFonts w:ascii="宋体" w:hAnsi="宋体" w:eastAsia="宋体" w:cs="宋体"/>
          <w:b/>
          <w:bCs/>
          <w:color w:val="auto"/>
          <w:sz w:val="36"/>
          <w:szCs w:val="36"/>
          <w:highlight w:val="none"/>
        </w:rPr>
      </w:pPr>
    </w:p>
    <w:p w14:paraId="4F0ED980">
      <w:pPr>
        <w:autoSpaceDE w:val="0"/>
        <w:autoSpaceDN w:val="0"/>
        <w:adjustRightInd w:val="0"/>
        <w:spacing w:line="400" w:lineRule="atLeast"/>
        <w:jc w:val="center"/>
        <w:rPr>
          <w:rFonts w:ascii="宋体" w:hAnsi="宋体" w:eastAsia="宋体" w:cs="宋体"/>
          <w:b/>
          <w:bCs/>
          <w:color w:val="auto"/>
          <w:sz w:val="36"/>
          <w:szCs w:val="36"/>
          <w:highlight w:val="none"/>
        </w:rPr>
      </w:pPr>
    </w:p>
    <w:p w14:paraId="7C9DF058">
      <w:pPr>
        <w:autoSpaceDE w:val="0"/>
        <w:autoSpaceDN w:val="0"/>
        <w:adjustRightInd w:val="0"/>
        <w:spacing w:line="400" w:lineRule="atLeast"/>
        <w:jc w:val="center"/>
        <w:rPr>
          <w:rFonts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lang w:val="zh-CN"/>
        </w:rPr>
        <w:t>东莞市达盛招标代理有限公司</w:t>
      </w:r>
    </w:p>
    <w:p w14:paraId="164058DC">
      <w:pPr>
        <w:autoSpaceDE w:val="0"/>
        <w:autoSpaceDN w:val="0"/>
        <w:adjustRightInd w:val="0"/>
        <w:spacing w:line="400" w:lineRule="atLeast"/>
        <w:jc w:val="center"/>
        <w:rPr>
          <w:rFonts w:ascii="宋体" w:hAnsi="宋体" w:eastAsia="宋体" w:cs="宋体"/>
          <w:b/>
          <w:bCs/>
          <w:color w:val="auto"/>
          <w:sz w:val="36"/>
          <w:szCs w:val="36"/>
          <w:highlight w:val="none"/>
        </w:rPr>
      </w:pPr>
    </w:p>
    <w:p w14:paraId="0EFE96E6">
      <w:pPr>
        <w:autoSpaceDE w:val="0"/>
        <w:autoSpaceDN w:val="0"/>
        <w:adjustRightInd w:val="0"/>
        <w:spacing w:line="400" w:lineRule="atLeast"/>
        <w:jc w:val="center"/>
        <w:rPr>
          <w:rFonts w:ascii="宋体" w:hAnsi="宋体" w:eastAsia="宋体" w:cs="宋体"/>
          <w:b/>
          <w:bCs/>
          <w:color w:val="auto"/>
          <w:sz w:val="36"/>
          <w:szCs w:val="36"/>
          <w:highlight w:val="none"/>
        </w:rPr>
      </w:pPr>
      <w:r>
        <w:rPr>
          <w:rFonts w:hint="eastAsia" w:ascii="宋体" w:hAnsi="宋体" w:eastAsia="宋体" w:cs="宋体"/>
          <w:color w:val="auto"/>
          <w:sz w:val="44"/>
          <w:szCs w:val="44"/>
          <w:highlight w:val="none"/>
        </w:rPr>
        <w:br w:type="page"/>
      </w:r>
      <w:bookmarkStart w:id="1206" w:name="_Toc32395_WPSOffice_Level1"/>
      <w:r>
        <w:rPr>
          <w:rFonts w:hint="eastAsia" w:ascii="宋体" w:hAnsi="宋体" w:eastAsia="宋体" w:cs="宋体"/>
          <w:b/>
          <w:bCs/>
          <w:color w:val="auto"/>
          <w:sz w:val="36"/>
          <w:szCs w:val="36"/>
          <w:highlight w:val="none"/>
          <w:lang w:val="zh-CN"/>
        </w:rPr>
        <w:t>目录</w:t>
      </w:r>
      <w:bookmarkEnd w:id="1206"/>
    </w:p>
    <w:p w14:paraId="7964B799">
      <w:pPr>
        <w:autoSpaceDE w:val="0"/>
        <w:autoSpaceDN w:val="0"/>
        <w:adjustRightInd w:val="0"/>
        <w:spacing w:line="400" w:lineRule="atLeast"/>
        <w:jc w:val="center"/>
        <w:rPr>
          <w:rFonts w:ascii="宋体" w:hAnsi="宋体" w:eastAsia="宋体" w:cs="宋体"/>
          <w:color w:val="auto"/>
          <w:sz w:val="44"/>
          <w:szCs w:val="44"/>
          <w:highlight w:val="none"/>
        </w:rPr>
      </w:pPr>
    </w:p>
    <w:p w14:paraId="1017F546">
      <w:pPr>
        <w:autoSpaceDE w:val="0"/>
        <w:autoSpaceDN w:val="0"/>
        <w:adjustRightInd w:val="0"/>
        <w:spacing w:line="360" w:lineRule="auto"/>
        <w:ind w:left="567" w:hanging="567"/>
        <w:rPr>
          <w:rFonts w:ascii="宋体" w:hAnsi="宋体" w:eastAsia="宋体" w:cs="宋体"/>
          <w:color w:val="auto"/>
          <w:szCs w:val="30"/>
          <w:highlight w:val="none"/>
        </w:rPr>
      </w:pPr>
      <w:bookmarkStart w:id="1207" w:name="_Toc21604_WPSOffice_Level1"/>
      <w:r>
        <w:rPr>
          <w:rFonts w:hint="eastAsia" w:ascii="宋体" w:hAnsi="宋体" w:eastAsia="宋体" w:cs="宋体"/>
          <w:color w:val="auto"/>
          <w:szCs w:val="30"/>
          <w:highlight w:val="none"/>
          <w:lang w:val="zh-CN"/>
        </w:rPr>
        <w:t>一、</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总则</w:t>
      </w:r>
      <w:bookmarkEnd w:id="1207"/>
    </w:p>
    <w:p w14:paraId="000F24EE">
      <w:pPr>
        <w:autoSpaceDE w:val="0"/>
        <w:autoSpaceDN w:val="0"/>
        <w:adjustRightInd w:val="0"/>
        <w:spacing w:line="360" w:lineRule="auto"/>
        <w:ind w:left="567" w:hanging="567"/>
        <w:rPr>
          <w:rFonts w:ascii="宋体" w:hAnsi="宋体" w:eastAsia="宋体" w:cs="宋体"/>
          <w:color w:val="auto"/>
          <w:szCs w:val="30"/>
          <w:highlight w:val="none"/>
        </w:rPr>
      </w:pPr>
      <w:bookmarkStart w:id="1208" w:name="_Toc1387_WPSOffice_Level1"/>
      <w:r>
        <w:rPr>
          <w:rFonts w:hint="eastAsia" w:ascii="宋体" w:hAnsi="宋体" w:eastAsia="宋体" w:cs="宋体"/>
          <w:color w:val="auto"/>
          <w:szCs w:val="30"/>
          <w:highlight w:val="none"/>
          <w:lang w:val="zh-CN"/>
        </w:rPr>
        <w:t>二、</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投标文件的初审</w:t>
      </w:r>
      <w:bookmarkEnd w:id="1208"/>
    </w:p>
    <w:p w14:paraId="611703CF">
      <w:pPr>
        <w:autoSpaceDE w:val="0"/>
        <w:autoSpaceDN w:val="0"/>
        <w:adjustRightInd w:val="0"/>
        <w:spacing w:line="360" w:lineRule="auto"/>
        <w:ind w:left="567" w:hanging="567"/>
        <w:rPr>
          <w:rFonts w:ascii="宋体" w:hAnsi="宋体" w:eastAsia="宋体" w:cs="宋体"/>
          <w:color w:val="auto"/>
          <w:szCs w:val="30"/>
          <w:highlight w:val="none"/>
        </w:rPr>
      </w:pPr>
      <w:bookmarkStart w:id="1209" w:name="_Toc30284_WPSOffice_Level1"/>
      <w:r>
        <w:rPr>
          <w:rFonts w:hint="eastAsia" w:ascii="宋体" w:hAnsi="宋体" w:eastAsia="宋体" w:cs="宋体"/>
          <w:color w:val="auto"/>
          <w:szCs w:val="30"/>
          <w:highlight w:val="none"/>
          <w:lang w:val="zh-CN"/>
        </w:rPr>
        <w:t>三、</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澄清有关问题</w:t>
      </w:r>
      <w:bookmarkEnd w:id="1209"/>
    </w:p>
    <w:p w14:paraId="50350AA7">
      <w:pPr>
        <w:autoSpaceDE w:val="0"/>
        <w:autoSpaceDN w:val="0"/>
        <w:adjustRightInd w:val="0"/>
        <w:spacing w:line="360" w:lineRule="auto"/>
        <w:ind w:left="567" w:hanging="567"/>
        <w:rPr>
          <w:rFonts w:ascii="宋体" w:hAnsi="宋体" w:eastAsia="宋体" w:cs="宋体"/>
          <w:color w:val="auto"/>
          <w:szCs w:val="30"/>
          <w:highlight w:val="none"/>
        </w:rPr>
      </w:pPr>
      <w:bookmarkStart w:id="1210" w:name="_Toc1206_WPSOffice_Level1"/>
      <w:r>
        <w:rPr>
          <w:rFonts w:hint="eastAsia" w:ascii="宋体" w:hAnsi="宋体" w:eastAsia="宋体" w:cs="宋体"/>
          <w:color w:val="auto"/>
          <w:szCs w:val="30"/>
          <w:highlight w:val="none"/>
        </w:rPr>
        <w:t>四、 比较和评价</w:t>
      </w:r>
      <w:bookmarkEnd w:id="1210"/>
    </w:p>
    <w:p w14:paraId="01780E1F">
      <w:pPr>
        <w:autoSpaceDE w:val="0"/>
        <w:autoSpaceDN w:val="0"/>
        <w:adjustRightInd w:val="0"/>
        <w:spacing w:line="360" w:lineRule="auto"/>
        <w:ind w:left="567" w:hanging="567"/>
        <w:rPr>
          <w:rFonts w:ascii="宋体" w:hAnsi="宋体" w:eastAsia="宋体" w:cs="宋体"/>
          <w:color w:val="auto"/>
          <w:szCs w:val="30"/>
          <w:highlight w:val="none"/>
        </w:rPr>
      </w:pPr>
      <w:bookmarkStart w:id="1211" w:name="_Toc12163_WPSOffice_Level1"/>
      <w:r>
        <w:rPr>
          <w:rFonts w:hint="eastAsia" w:ascii="宋体" w:hAnsi="宋体" w:eastAsia="宋体" w:cs="宋体"/>
          <w:color w:val="auto"/>
          <w:szCs w:val="30"/>
          <w:highlight w:val="none"/>
          <w:lang w:val="zh-CN"/>
        </w:rPr>
        <w:t>五、</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推荐中标候选人名单</w:t>
      </w:r>
      <w:bookmarkEnd w:id="1211"/>
    </w:p>
    <w:p w14:paraId="376BEC47">
      <w:pPr>
        <w:autoSpaceDE w:val="0"/>
        <w:autoSpaceDN w:val="0"/>
        <w:adjustRightInd w:val="0"/>
        <w:spacing w:line="360" w:lineRule="auto"/>
        <w:ind w:left="567" w:hanging="567"/>
        <w:rPr>
          <w:rFonts w:ascii="宋体" w:hAnsi="宋体" w:eastAsia="宋体" w:cs="宋体"/>
          <w:color w:val="auto"/>
          <w:szCs w:val="30"/>
          <w:highlight w:val="none"/>
        </w:rPr>
      </w:pPr>
      <w:bookmarkStart w:id="1212" w:name="_Toc366_WPSOffice_Level1"/>
      <w:r>
        <w:rPr>
          <w:rFonts w:hint="eastAsia" w:ascii="宋体" w:hAnsi="宋体" w:eastAsia="宋体" w:cs="宋体"/>
          <w:color w:val="auto"/>
          <w:szCs w:val="30"/>
          <w:highlight w:val="none"/>
          <w:lang w:val="zh-CN"/>
        </w:rPr>
        <w:t>六、</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编写评标报告</w:t>
      </w:r>
      <w:bookmarkEnd w:id="1212"/>
    </w:p>
    <w:p w14:paraId="61FBADE6">
      <w:pPr>
        <w:autoSpaceDE w:val="0"/>
        <w:autoSpaceDN w:val="0"/>
        <w:adjustRightInd w:val="0"/>
        <w:spacing w:line="360" w:lineRule="auto"/>
        <w:ind w:left="567" w:hanging="567"/>
        <w:rPr>
          <w:rFonts w:ascii="宋体" w:hAnsi="宋体" w:eastAsia="宋体" w:cs="宋体"/>
          <w:color w:val="auto"/>
          <w:szCs w:val="30"/>
          <w:highlight w:val="none"/>
        </w:rPr>
      </w:pPr>
      <w:bookmarkStart w:id="1213" w:name="_Toc22378_WPSOffice_Level1"/>
      <w:r>
        <w:rPr>
          <w:rFonts w:hint="eastAsia" w:ascii="宋体" w:hAnsi="宋体" w:eastAsia="宋体" w:cs="宋体"/>
          <w:color w:val="auto"/>
          <w:szCs w:val="30"/>
          <w:highlight w:val="none"/>
          <w:lang w:val="zh-CN"/>
        </w:rPr>
        <w:t>七、</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注意事项</w:t>
      </w:r>
      <w:bookmarkEnd w:id="1213"/>
    </w:p>
    <w:p w14:paraId="5C77A8CC">
      <w:pPr>
        <w:tabs>
          <w:tab w:val="right" w:pos="7320"/>
        </w:tabs>
        <w:autoSpaceDE w:val="0"/>
        <w:autoSpaceDN w:val="0"/>
        <w:adjustRightInd w:val="0"/>
        <w:spacing w:line="360" w:lineRule="auto"/>
        <w:ind w:left="720" w:hanging="720"/>
        <w:rPr>
          <w:rFonts w:ascii="宋体" w:hAnsi="宋体" w:eastAsia="宋体" w:cs="宋体"/>
          <w:color w:val="auto"/>
          <w:szCs w:val="30"/>
          <w:highlight w:val="none"/>
        </w:rPr>
      </w:pPr>
    </w:p>
    <w:p w14:paraId="60F28BD9">
      <w:pPr>
        <w:tabs>
          <w:tab w:val="right" w:pos="7320"/>
        </w:tabs>
        <w:autoSpaceDE w:val="0"/>
        <w:autoSpaceDN w:val="0"/>
        <w:adjustRightInd w:val="0"/>
        <w:spacing w:line="360" w:lineRule="auto"/>
        <w:ind w:left="720" w:hanging="720"/>
        <w:rPr>
          <w:rFonts w:ascii="宋体" w:hAnsi="宋体" w:eastAsia="宋体" w:cs="宋体"/>
          <w:color w:val="auto"/>
          <w:szCs w:val="30"/>
          <w:highlight w:val="none"/>
        </w:rPr>
      </w:pPr>
    </w:p>
    <w:p w14:paraId="3AE22341">
      <w:pPr>
        <w:tabs>
          <w:tab w:val="left" w:pos="1080"/>
          <w:tab w:val="right" w:pos="7320"/>
        </w:tabs>
        <w:autoSpaceDE w:val="0"/>
        <w:autoSpaceDN w:val="0"/>
        <w:adjustRightInd w:val="0"/>
        <w:spacing w:line="400" w:lineRule="atLeast"/>
        <w:ind w:left="720" w:hanging="720"/>
        <w:rPr>
          <w:rFonts w:ascii="宋体" w:hAnsi="宋体" w:eastAsia="宋体" w:cs="宋体"/>
          <w:color w:val="auto"/>
          <w:szCs w:val="30"/>
          <w:highlight w:val="none"/>
        </w:rPr>
      </w:pPr>
    </w:p>
    <w:p w14:paraId="0F7B3660">
      <w:pPr>
        <w:tabs>
          <w:tab w:val="left" w:pos="1140"/>
        </w:tabs>
        <w:autoSpaceDE w:val="0"/>
        <w:autoSpaceDN w:val="0"/>
        <w:adjustRightInd w:val="0"/>
        <w:spacing w:line="360" w:lineRule="auto"/>
        <w:jc w:val="center"/>
        <w:rPr>
          <w:rFonts w:ascii="宋体" w:hAnsi="宋体" w:eastAsia="宋体" w:cs="宋体"/>
          <w:b/>
          <w:bCs/>
          <w:color w:val="auto"/>
          <w:sz w:val="28"/>
          <w:szCs w:val="28"/>
          <w:highlight w:val="none"/>
        </w:rPr>
      </w:pPr>
      <w:r>
        <w:rPr>
          <w:rFonts w:hint="eastAsia" w:ascii="宋体" w:hAnsi="宋体" w:eastAsia="宋体" w:cs="宋体"/>
          <w:color w:val="auto"/>
          <w:sz w:val="30"/>
          <w:szCs w:val="30"/>
          <w:highlight w:val="none"/>
        </w:rPr>
        <w:br w:type="page"/>
      </w:r>
      <w:bookmarkStart w:id="1214" w:name="_Toc27181_WPSOffice_Level1"/>
      <w:r>
        <w:rPr>
          <w:rFonts w:hint="eastAsia" w:ascii="宋体" w:hAnsi="宋体" w:eastAsia="宋体" w:cs="宋体"/>
          <w:color w:val="auto"/>
          <w:sz w:val="28"/>
          <w:szCs w:val="28"/>
          <w:highlight w:val="none"/>
          <w:lang w:val="zh-CN"/>
        </w:rPr>
        <w:t>一、</w:t>
      </w:r>
      <w:r>
        <w:rPr>
          <w:rFonts w:hint="eastAsia" w:ascii="宋体" w:hAnsi="宋体" w:eastAsia="宋体" w:cs="宋体"/>
          <w:b/>
          <w:bCs/>
          <w:color w:val="auto"/>
          <w:sz w:val="28"/>
          <w:szCs w:val="28"/>
          <w:highlight w:val="none"/>
          <w:lang w:val="zh-CN"/>
        </w:rPr>
        <w:t>总则</w:t>
      </w:r>
      <w:bookmarkEnd w:id="1214"/>
    </w:p>
    <w:p w14:paraId="28675B53">
      <w:pPr>
        <w:tabs>
          <w:tab w:val="left" w:pos="567"/>
          <w:tab w:val="left" w:pos="600"/>
        </w:tabs>
        <w:autoSpaceDE w:val="0"/>
        <w:autoSpaceDN w:val="0"/>
        <w:adjustRightInd w:val="0"/>
        <w:spacing w:line="360" w:lineRule="auto"/>
        <w:ind w:left="600" w:hanging="600"/>
        <w:rPr>
          <w:rFonts w:ascii="宋体" w:hAnsi="宋体" w:eastAsia="宋体" w:cs="宋体"/>
          <w:b/>
          <w:bCs/>
          <w:color w:val="auto"/>
          <w:szCs w:val="24"/>
          <w:highlight w:val="none"/>
          <w:lang w:val="zh-CN"/>
        </w:rPr>
      </w:pPr>
      <w:r>
        <w:rPr>
          <w:rFonts w:hint="eastAsia" w:ascii="宋体" w:hAnsi="宋体" w:eastAsia="宋体" w:cs="宋体"/>
          <w:b/>
          <w:bCs/>
          <w:color w:val="auto"/>
          <w:szCs w:val="24"/>
          <w:highlight w:val="none"/>
          <w:lang w:val="zh-CN"/>
        </w:rPr>
        <w:t>1、一般规定</w:t>
      </w:r>
    </w:p>
    <w:p w14:paraId="3E035FB1">
      <w:pPr>
        <w:autoSpaceDE w:val="0"/>
        <w:autoSpaceDN w:val="0"/>
        <w:adjustRightInd w:val="0"/>
        <w:spacing w:line="360" w:lineRule="auto"/>
        <w:ind w:left="567" w:hanging="567"/>
        <w:rPr>
          <w:rFonts w:ascii="宋体" w:hAnsi="宋体" w:eastAsia="宋体" w:cs="宋体"/>
          <w:color w:val="auto"/>
          <w:kern w:val="0"/>
          <w:szCs w:val="32"/>
          <w:highlight w:val="none"/>
        </w:rPr>
      </w:pPr>
      <w:r>
        <w:rPr>
          <w:rFonts w:hint="eastAsia" w:ascii="宋体" w:hAnsi="宋体" w:eastAsia="宋体" w:cs="宋体"/>
          <w:color w:val="auto"/>
          <w:szCs w:val="21"/>
          <w:highlight w:val="none"/>
          <w:lang w:val="zh-CN"/>
        </w:rPr>
        <w:t>1.1</w:t>
      </w:r>
      <w:r>
        <w:rPr>
          <w:rFonts w:hint="eastAsia" w:ascii="宋体" w:hAnsi="宋体" w:eastAsia="宋体" w:cs="宋体"/>
          <w:color w:val="auto"/>
          <w:szCs w:val="21"/>
          <w:highlight w:val="none"/>
          <w:lang w:val="zh-CN"/>
        </w:rPr>
        <w:tab/>
      </w:r>
      <w:r>
        <w:rPr>
          <w:rFonts w:hint="eastAsia" w:ascii="宋体" w:hAnsi="宋体" w:eastAsia="宋体" w:cs="Times New Roman"/>
          <w:color w:val="auto"/>
          <w:szCs w:val="21"/>
          <w:highlight w:val="none"/>
          <w:lang w:val="zh-CN"/>
        </w:rPr>
        <w:t>东莞市樟村水质净化厂污泥处理处置服务项目（2025-2026年）</w:t>
      </w:r>
      <w:r>
        <w:rPr>
          <w:rFonts w:hint="eastAsia" w:ascii="宋体" w:hAnsi="宋体" w:eastAsia="宋体" w:cs="宋体"/>
          <w:color w:val="auto"/>
          <w:szCs w:val="21"/>
          <w:highlight w:val="none"/>
          <w:lang w:val="zh-CN"/>
        </w:rPr>
        <w:t>(招标编号：DGDS2025-013</w:t>
      </w:r>
      <w:r>
        <w:rPr>
          <w:rFonts w:hint="eastAsia" w:ascii="宋体" w:hAnsi="宋体" w:eastAsia="宋体" w:cs="宋体"/>
          <w:color w:val="auto"/>
          <w:kern w:val="0"/>
          <w:szCs w:val="32"/>
          <w:highlight w:val="none"/>
        </w:rPr>
        <w:t>)的</w:t>
      </w:r>
      <w:r>
        <w:rPr>
          <w:rFonts w:hint="eastAsia" w:ascii="宋体" w:hAnsi="宋体" w:eastAsia="宋体" w:cs="宋体"/>
          <w:color w:val="auto"/>
          <w:szCs w:val="21"/>
          <w:highlight w:val="none"/>
          <w:lang w:val="zh-CN"/>
        </w:rPr>
        <w:t>招标</w:t>
      </w:r>
      <w:r>
        <w:rPr>
          <w:rFonts w:hint="eastAsia" w:ascii="宋体" w:hAnsi="宋体" w:eastAsia="宋体" w:cs="宋体"/>
          <w:color w:val="auto"/>
          <w:kern w:val="0"/>
          <w:szCs w:val="32"/>
          <w:highlight w:val="none"/>
        </w:rPr>
        <w:t>按照《中华人民共和国招标投标法》等有关规定进行。</w:t>
      </w:r>
    </w:p>
    <w:p w14:paraId="57B71EE0">
      <w:pPr>
        <w:autoSpaceDE w:val="0"/>
        <w:autoSpaceDN w:val="0"/>
        <w:adjustRightInd w:val="0"/>
        <w:spacing w:line="360" w:lineRule="auto"/>
        <w:ind w:left="567" w:hanging="5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1.2</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评标必须遵循公平、公正、诚实信用的原则。</w:t>
      </w:r>
    </w:p>
    <w:p w14:paraId="765407C0">
      <w:pPr>
        <w:autoSpaceDE w:val="0"/>
        <w:autoSpaceDN w:val="0"/>
        <w:adjustRightInd w:val="0"/>
        <w:spacing w:line="360" w:lineRule="auto"/>
        <w:ind w:left="567" w:hanging="5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1.3</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招标代理机构</w:t>
      </w:r>
      <w:r>
        <w:rPr>
          <w:rFonts w:hint="eastAsia" w:ascii="宋体" w:hAnsi="宋体" w:eastAsia="宋体" w:cs="宋体"/>
          <w:color w:val="auto"/>
          <w:kern w:val="0"/>
          <w:szCs w:val="32"/>
          <w:highlight w:val="none"/>
        </w:rPr>
        <w:t>(</w:t>
      </w:r>
      <w:r>
        <w:rPr>
          <w:rFonts w:hint="eastAsia" w:ascii="宋体" w:hAnsi="宋体" w:eastAsia="宋体" w:cs="宋体"/>
          <w:color w:val="auto"/>
          <w:kern w:val="0"/>
          <w:szCs w:val="32"/>
          <w:highlight w:val="none"/>
          <w:lang w:eastAsia="zh-CN"/>
        </w:rPr>
        <w:t>东莞市达盛招标代理有限公司</w:t>
      </w:r>
      <w:r>
        <w:rPr>
          <w:rFonts w:hint="eastAsia" w:ascii="宋体" w:hAnsi="宋体" w:eastAsia="宋体" w:cs="宋体"/>
          <w:color w:val="auto"/>
          <w:kern w:val="0"/>
          <w:szCs w:val="32"/>
          <w:highlight w:val="none"/>
        </w:rPr>
        <w:t>）组</w:t>
      </w:r>
      <w:r>
        <w:rPr>
          <w:rFonts w:hint="eastAsia" w:ascii="宋体" w:hAnsi="宋体" w:eastAsia="宋体" w:cs="宋体"/>
          <w:color w:val="auto"/>
          <w:szCs w:val="24"/>
          <w:highlight w:val="none"/>
          <w:lang w:val="zh-CN"/>
        </w:rPr>
        <w:t>织评标工作，全过程接受招标人及相关部门的监督、管理和指导。</w:t>
      </w:r>
    </w:p>
    <w:p w14:paraId="4BDA3501">
      <w:pPr>
        <w:autoSpaceDE w:val="0"/>
        <w:autoSpaceDN w:val="0"/>
        <w:adjustRightInd w:val="0"/>
        <w:spacing w:line="360" w:lineRule="auto"/>
        <w:ind w:left="567" w:hanging="5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1.4</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评标按照招标文件规定的内容进行，采取综合评分</w:t>
      </w:r>
      <w:r>
        <w:rPr>
          <w:rFonts w:hint="eastAsia" w:ascii="宋体" w:hAnsi="宋体" w:eastAsia="宋体" w:cs="宋体"/>
          <w:color w:val="auto"/>
          <w:szCs w:val="21"/>
          <w:highlight w:val="none"/>
        </w:rPr>
        <w:t>法进行评审</w:t>
      </w:r>
      <w:r>
        <w:rPr>
          <w:rFonts w:hint="eastAsia" w:ascii="宋体" w:hAnsi="宋体" w:eastAsia="宋体" w:cs="宋体"/>
          <w:color w:val="auto"/>
          <w:szCs w:val="24"/>
          <w:highlight w:val="none"/>
          <w:lang w:val="zh-CN"/>
        </w:rPr>
        <w:t>。</w:t>
      </w:r>
    </w:p>
    <w:p w14:paraId="7B4C40FF">
      <w:pPr>
        <w:numPr>
          <w:ilvl w:val="1"/>
          <w:numId w:val="6"/>
        </w:numPr>
        <w:autoSpaceDE w:val="0"/>
        <w:autoSpaceDN w:val="0"/>
        <w:adjustRightInd w:val="0"/>
        <w:spacing w:line="360" w:lineRule="auto"/>
        <w:ind w:left="565" w:hanging="564" w:hangingChars="269"/>
        <w:jc w:val="left"/>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en-US" w:eastAsia="zh-CN"/>
        </w:rPr>
        <w:t xml:space="preserve"> </w:t>
      </w:r>
      <w:r>
        <w:rPr>
          <w:rFonts w:hint="eastAsia" w:ascii="宋体" w:hAnsi="宋体" w:eastAsia="宋体" w:cs="宋体"/>
          <w:color w:val="auto"/>
          <w:szCs w:val="24"/>
          <w:highlight w:val="none"/>
          <w:lang w:val="zh-CN"/>
        </w:rPr>
        <w:t>本办法的评审对象是指投标人按照招标文件要求提供的有效投标文件，包括投标人应评标委员会要求对原投标文件作出的正式书面澄清文件。</w:t>
      </w:r>
    </w:p>
    <w:p w14:paraId="456AFCB9">
      <w:pPr>
        <w:autoSpaceDE w:val="0"/>
        <w:autoSpaceDN w:val="0"/>
        <w:adjustRightInd w:val="0"/>
        <w:spacing w:line="360" w:lineRule="auto"/>
        <w:rPr>
          <w:rFonts w:ascii="宋体" w:hAnsi="宋体" w:eastAsia="宋体" w:cs="宋体"/>
          <w:color w:val="auto"/>
          <w:sz w:val="24"/>
          <w:szCs w:val="24"/>
          <w:highlight w:val="none"/>
          <w:lang w:val="zh-CN"/>
        </w:rPr>
      </w:pPr>
    </w:p>
    <w:p w14:paraId="7D7054A6">
      <w:pPr>
        <w:tabs>
          <w:tab w:val="left" w:pos="360"/>
          <w:tab w:val="left" w:pos="600"/>
        </w:tabs>
        <w:autoSpaceDE w:val="0"/>
        <w:autoSpaceDN w:val="0"/>
        <w:adjustRightInd w:val="0"/>
        <w:spacing w:line="360" w:lineRule="auto"/>
        <w:ind w:left="600" w:hanging="600"/>
        <w:rPr>
          <w:rFonts w:ascii="宋体" w:hAnsi="宋体" w:eastAsia="宋体" w:cs="宋体"/>
          <w:b/>
          <w:bCs/>
          <w:color w:val="auto"/>
          <w:szCs w:val="24"/>
          <w:highlight w:val="none"/>
          <w:lang w:val="zh-CN"/>
        </w:rPr>
      </w:pPr>
      <w:r>
        <w:rPr>
          <w:rFonts w:hint="eastAsia" w:ascii="宋体" w:hAnsi="宋体" w:eastAsia="宋体" w:cs="宋体"/>
          <w:b/>
          <w:bCs/>
          <w:color w:val="auto"/>
          <w:szCs w:val="24"/>
          <w:highlight w:val="none"/>
          <w:lang w:val="zh-CN"/>
        </w:rPr>
        <w:t>2、</w:t>
      </w:r>
      <w:r>
        <w:rPr>
          <w:rFonts w:hint="eastAsia" w:ascii="宋体" w:hAnsi="宋体" w:eastAsia="宋体" w:cs="宋体"/>
          <w:b/>
          <w:bCs/>
          <w:color w:val="auto"/>
          <w:szCs w:val="24"/>
          <w:highlight w:val="none"/>
          <w:lang w:val="zh-CN"/>
        </w:rPr>
        <w:tab/>
      </w:r>
      <w:r>
        <w:rPr>
          <w:rFonts w:hint="eastAsia" w:ascii="宋体" w:hAnsi="宋体" w:eastAsia="宋体" w:cs="宋体"/>
          <w:b/>
          <w:bCs/>
          <w:color w:val="auto"/>
          <w:szCs w:val="24"/>
          <w:highlight w:val="none"/>
          <w:lang w:val="zh-CN"/>
        </w:rPr>
        <w:t>评标组织机构的组成</w:t>
      </w:r>
    </w:p>
    <w:p w14:paraId="5E2B8588">
      <w:pPr>
        <w:tabs>
          <w:tab w:val="left" w:pos="567"/>
          <w:tab w:val="left" w:pos="1145"/>
        </w:tabs>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2.1</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评标委员会</w:t>
      </w:r>
      <w:r>
        <w:rPr>
          <w:rFonts w:hint="eastAsia" w:ascii="宋体" w:hAnsi="宋体" w:eastAsia="宋体" w:cs="宋体"/>
          <w:color w:val="auto"/>
          <w:kern w:val="0"/>
          <w:szCs w:val="24"/>
          <w:highlight w:val="none"/>
        </w:rPr>
        <w:t>由招标人和技术、经济等方面的专家组成，成员为</w:t>
      </w:r>
      <w:r>
        <w:rPr>
          <w:rFonts w:hint="eastAsia" w:ascii="宋体" w:hAnsi="宋体" w:eastAsia="宋体" w:cs="宋体"/>
          <w:b/>
          <w:bCs/>
          <w:color w:val="auto"/>
          <w:kern w:val="0"/>
          <w:szCs w:val="24"/>
          <w:highlight w:val="none"/>
          <w:lang w:val="en-US" w:eastAsia="zh-CN"/>
        </w:rPr>
        <w:t>7</w:t>
      </w:r>
      <w:r>
        <w:rPr>
          <w:rFonts w:ascii="宋体" w:hAnsi="宋体" w:eastAsia="宋体" w:cs="宋体"/>
          <w:b/>
          <w:bCs/>
          <w:color w:val="auto"/>
          <w:kern w:val="0"/>
          <w:szCs w:val="24"/>
          <w:highlight w:val="none"/>
        </w:rPr>
        <w:t>人以上（含</w:t>
      </w:r>
      <w:r>
        <w:rPr>
          <w:rFonts w:hint="eastAsia" w:ascii="宋体" w:hAnsi="宋体" w:eastAsia="宋体" w:cs="宋体"/>
          <w:b/>
          <w:bCs/>
          <w:color w:val="auto"/>
          <w:kern w:val="0"/>
          <w:szCs w:val="24"/>
          <w:highlight w:val="none"/>
          <w:lang w:val="en-US" w:eastAsia="zh-CN"/>
        </w:rPr>
        <w:t>7</w:t>
      </w:r>
      <w:r>
        <w:rPr>
          <w:rFonts w:ascii="宋体" w:hAnsi="宋体" w:eastAsia="宋体" w:cs="宋体"/>
          <w:b/>
          <w:bCs/>
          <w:color w:val="auto"/>
          <w:kern w:val="0"/>
          <w:szCs w:val="24"/>
          <w:highlight w:val="none"/>
        </w:rPr>
        <w:t>人）单数</w:t>
      </w:r>
      <w:r>
        <w:rPr>
          <w:rFonts w:hint="eastAsia" w:ascii="宋体" w:hAnsi="宋体" w:eastAsia="宋体" w:cs="宋体"/>
          <w:color w:val="auto"/>
          <w:kern w:val="0"/>
          <w:szCs w:val="24"/>
          <w:highlight w:val="none"/>
        </w:rPr>
        <w:t>，其中技术、经济等方面的专家不少于成员总数的三分之二。</w:t>
      </w:r>
      <w:r>
        <w:rPr>
          <w:rFonts w:hint="eastAsia" w:ascii="宋体" w:hAnsi="宋体" w:eastAsia="宋体" w:cs="宋体"/>
          <w:color w:val="auto"/>
          <w:szCs w:val="24"/>
          <w:highlight w:val="none"/>
          <w:lang w:val="zh-CN"/>
        </w:rPr>
        <w:t>专家依法从</w:t>
      </w:r>
      <w:r>
        <w:rPr>
          <w:rFonts w:hint="eastAsia" w:ascii="宋体" w:hAnsi="宋体" w:eastAsia="宋体" w:cs="宋体"/>
          <w:color w:val="auto"/>
          <w:kern w:val="0"/>
          <w:szCs w:val="24"/>
          <w:highlight w:val="none"/>
        </w:rPr>
        <w:t>专家库中随机抽取产生。</w:t>
      </w:r>
    </w:p>
    <w:p w14:paraId="12488653">
      <w:pPr>
        <w:tabs>
          <w:tab w:val="left" w:pos="567"/>
          <w:tab w:val="left" w:pos="1145"/>
        </w:tabs>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2.2</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评标工作组由招标人、招标代理机构及有关专家组成，由评标委员会确认，并接受其领导。</w:t>
      </w:r>
    </w:p>
    <w:p w14:paraId="53586686">
      <w:pPr>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2.3</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评标工作组分成评标委员会、秘书组。</w:t>
      </w:r>
    </w:p>
    <w:p w14:paraId="5FE82A3A">
      <w:pPr>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2.4</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评标委员会应相对独立工作，负责评审、撰写评标报告。招标代理机构秘书组负责评标过程中资料的保管、发放及回收，协调技术和评标委员会评标工作的进展和整理、汇总评标资料及复核。</w:t>
      </w:r>
    </w:p>
    <w:p w14:paraId="10B6EAC6">
      <w:pPr>
        <w:autoSpaceDE w:val="0"/>
        <w:autoSpaceDN w:val="0"/>
        <w:adjustRightInd w:val="0"/>
        <w:spacing w:line="360" w:lineRule="auto"/>
        <w:rPr>
          <w:rFonts w:ascii="宋体" w:hAnsi="宋体" w:eastAsia="宋体" w:cs="宋体"/>
          <w:color w:val="auto"/>
          <w:sz w:val="24"/>
          <w:szCs w:val="24"/>
          <w:highlight w:val="none"/>
          <w:lang w:val="zh-CN"/>
        </w:rPr>
      </w:pPr>
    </w:p>
    <w:p w14:paraId="2908A8D1">
      <w:pPr>
        <w:autoSpaceDE w:val="0"/>
        <w:autoSpaceDN w:val="0"/>
        <w:adjustRightInd w:val="0"/>
        <w:spacing w:line="360" w:lineRule="auto"/>
        <w:rPr>
          <w:rFonts w:ascii="宋体" w:hAnsi="宋体" w:eastAsia="宋体" w:cs="宋体"/>
          <w:color w:val="auto"/>
          <w:sz w:val="24"/>
          <w:szCs w:val="24"/>
          <w:highlight w:val="none"/>
          <w:lang w:val="zh-CN"/>
        </w:rPr>
      </w:pPr>
      <w:r>
        <w:rPr>
          <w:rFonts w:hint="eastAsia" w:ascii="宋体" w:hAnsi="宋体" w:eastAsia="宋体" w:cs="宋体"/>
          <w:b/>
          <w:color w:val="auto"/>
          <w:szCs w:val="21"/>
          <w:highlight w:val="none"/>
          <w:lang w:val="zh-CN"/>
        </w:rPr>
        <w:t>3、</w:t>
      </w:r>
      <w:r>
        <w:rPr>
          <w:rFonts w:hint="eastAsia" w:ascii="宋体" w:hAnsi="宋体" w:eastAsia="宋体" w:cs="宋体"/>
          <w:b/>
          <w:bCs/>
          <w:color w:val="auto"/>
          <w:szCs w:val="21"/>
          <w:highlight w:val="none"/>
          <w:lang w:val="zh-CN"/>
        </w:rPr>
        <w:t>评标</w:t>
      </w:r>
      <w:r>
        <w:rPr>
          <w:rFonts w:hint="eastAsia" w:ascii="宋体" w:hAnsi="宋体" w:eastAsia="宋体" w:cs="宋体"/>
          <w:b/>
          <w:bCs/>
          <w:color w:val="auto"/>
          <w:szCs w:val="24"/>
          <w:highlight w:val="none"/>
          <w:lang w:val="zh-CN"/>
        </w:rPr>
        <w:t>委员会职责</w:t>
      </w:r>
    </w:p>
    <w:p w14:paraId="2149D6C2">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3.1  审查投标文件是否符合招标文件要求，并作出评价；</w:t>
      </w:r>
    </w:p>
    <w:p w14:paraId="76F15C85">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3.2  要求投标人对投标文件有关事项作出解释或者澄清；</w:t>
      </w:r>
    </w:p>
    <w:p w14:paraId="25BAF753">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3.3</w:t>
      </w:r>
      <w:r>
        <w:rPr>
          <w:rFonts w:hint="eastAsia" w:ascii="宋体" w:hAnsi="宋体" w:eastAsia="宋体" w:cs="宋体"/>
          <w:color w:val="auto"/>
          <w:kern w:val="0"/>
          <w:szCs w:val="24"/>
          <w:highlight w:val="none"/>
          <w:lang w:val="zh-CN"/>
        </w:rPr>
        <w:tab/>
      </w:r>
      <w:r>
        <w:rPr>
          <w:rFonts w:hint="eastAsia" w:ascii="宋体" w:hAnsi="宋体" w:eastAsia="宋体" w:cs="宋体"/>
          <w:color w:val="auto"/>
          <w:kern w:val="0"/>
          <w:szCs w:val="24"/>
          <w:highlight w:val="none"/>
          <w:lang w:val="zh-CN"/>
        </w:rPr>
        <w:t xml:space="preserve"> 推荐中标候选人名单及排序；</w:t>
      </w:r>
    </w:p>
    <w:p w14:paraId="4026B194">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3.4</w:t>
      </w:r>
      <w:r>
        <w:rPr>
          <w:rFonts w:hint="eastAsia" w:ascii="宋体" w:hAnsi="宋体" w:eastAsia="宋体" w:cs="宋体"/>
          <w:color w:val="auto"/>
          <w:kern w:val="0"/>
          <w:szCs w:val="24"/>
          <w:highlight w:val="none"/>
          <w:lang w:val="zh-CN"/>
        </w:rPr>
        <w:tab/>
      </w:r>
      <w:r>
        <w:rPr>
          <w:rFonts w:hint="eastAsia" w:ascii="宋体" w:hAnsi="宋体" w:eastAsia="宋体" w:cs="宋体"/>
          <w:color w:val="auto"/>
          <w:kern w:val="0"/>
          <w:szCs w:val="24"/>
          <w:highlight w:val="none"/>
          <w:lang w:val="zh-CN"/>
        </w:rPr>
        <w:t xml:space="preserve"> 向招标人、招标代理机构或者有关部门报告非法干预评标工作的行为。</w:t>
      </w:r>
    </w:p>
    <w:p w14:paraId="38F67116">
      <w:pPr>
        <w:autoSpaceDE w:val="0"/>
        <w:autoSpaceDN w:val="0"/>
        <w:adjustRightInd w:val="0"/>
        <w:spacing w:line="360" w:lineRule="auto"/>
        <w:jc w:val="left"/>
        <w:rPr>
          <w:rFonts w:ascii="宋体" w:hAnsi="宋体" w:eastAsia="宋体" w:cs="宋体"/>
          <w:color w:val="auto"/>
          <w:kern w:val="0"/>
          <w:sz w:val="24"/>
          <w:szCs w:val="24"/>
          <w:highlight w:val="none"/>
          <w:lang w:val="zh-CN"/>
        </w:rPr>
      </w:pPr>
    </w:p>
    <w:p w14:paraId="58ABEDB5">
      <w:pPr>
        <w:tabs>
          <w:tab w:val="left" w:pos="720"/>
        </w:tabs>
        <w:autoSpaceDE w:val="0"/>
        <w:autoSpaceDN w:val="0"/>
        <w:adjustRightInd w:val="0"/>
        <w:spacing w:line="360" w:lineRule="auto"/>
        <w:rPr>
          <w:rFonts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4、评标委员会义务</w:t>
      </w:r>
    </w:p>
    <w:p w14:paraId="394B6D01">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4.1  遵纪守法，客观、公正、廉洁地履行职责；</w:t>
      </w:r>
    </w:p>
    <w:p w14:paraId="3C4C2F1C">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4.2  按照招标文件规定的评标方法和评标标准进行评审，对评审意见承担个人责任；</w:t>
      </w:r>
    </w:p>
    <w:p w14:paraId="59106B73">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4.3  对评标过程和结果，以及投标人的商业秘密保密；</w:t>
      </w:r>
    </w:p>
    <w:p w14:paraId="29BCCDEA">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4.4  参与评标报告的起草；</w:t>
      </w:r>
    </w:p>
    <w:p w14:paraId="5620A623">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4.5  配合有关部门的投诉处理工作；</w:t>
      </w:r>
    </w:p>
    <w:p w14:paraId="439EA06F">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4.6  配合招标人、招标代理机构答复投标人提出的质疑、异议。</w:t>
      </w:r>
    </w:p>
    <w:p w14:paraId="7C1499D9">
      <w:pPr>
        <w:tabs>
          <w:tab w:val="left" w:pos="720"/>
        </w:tabs>
        <w:autoSpaceDE w:val="0"/>
        <w:autoSpaceDN w:val="0"/>
        <w:adjustRightInd w:val="0"/>
        <w:spacing w:line="360" w:lineRule="auto"/>
        <w:rPr>
          <w:rFonts w:ascii="宋体" w:hAnsi="宋体" w:eastAsia="宋体" w:cs="宋体"/>
          <w:color w:val="auto"/>
          <w:sz w:val="24"/>
          <w:szCs w:val="24"/>
          <w:highlight w:val="none"/>
          <w:lang w:val="zh-CN"/>
        </w:rPr>
      </w:pPr>
    </w:p>
    <w:p w14:paraId="42978825">
      <w:pPr>
        <w:tabs>
          <w:tab w:val="left" w:pos="1547"/>
        </w:tabs>
        <w:autoSpaceDE w:val="0"/>
        <w:autoSpaceDN w:val="0"/>
        <w:adjustRightInd w:val="0"/>
        <w:spacing w:line="360" w:lineRule="auto"/>
        <w:rPr>
          <w:rFonts w:ascii="宋体" w:hAnsi="宋体" w:eastAsia="宋体" w:cs="Times New Roman"/>
          <w:b/>
          <w:color w:val="auto"/>
          <w:szCs w:val="24"/>
          <w:highlight w:val="none"/>
          <w:lang w:val="zh-CN"/>
        </w:rPr>
      </w:pPr>
      <w:r>
        <w:rPr>
          <w:rFonts w:hint="eastAsia" w:ascii="宋体" w:hAnsi="宋体" w:eastAsia="宋体" w:cs="宋体"/>
          <w:b/>
          <w:bCs/>
          <w:color w:val="auto"/>
          <w:szCs w:val="21"/>
          <w:highlight w:val="none"/>
          <w:lang w:val="zh-CN"/>
        </w:rPr>
        <w:t>5、评审程序</w:t>
      </w:r>
    </w:p>
    <w:p w14:paraId="0119EF51">
      <w:pPr>
        <w:autoSpaceDE w:val="0"/>
        <w:autoSpaceDN w:val="0"/>
        <w:adjustRightInd w:val="0"/>
        <w:spacing w:line="360" w:lineRule="auto"/>
        <w:ind w:left="567" w:hanging="567"/>
        <w:rPr>
          <w:rFonts w:ascii="宋体" w:hAnsi="宋体" w:eastAsia="宋体" w:cs="Times New Roman"/>
          <w:b/>
          <w:color w:val="auto"/>
          <w:szCs w:val="24"/>
          <w:highlight w:val="none"/>
          <w:lang w:val="zh-CN"/>
        </w:rPr>
      </w:pPr>
      <w:r>
        <w:rPr>
          <w:rFonts w:hint="eastAsia" w:ascii="宋体" w:hAnsi="宋体" w:eastAsia="宋体" w:cs="Times New Roman"/>
          <w:b/>
          <w:color w:val="auto"/>
          <w:szCs w:val="24"/>
          <w:highlight w:val="none"/>
          <w:lang w:val="zh-CN"/>
        </w:rPr>
        <w:t>公开招标：</w:t>
      </w:r>
    </w:p>
    <w:p w14:paraId="68C6A9C4">
      <w:pPr>
        <w:autoSpaceDE w:val="0"/>
        <w:autoSpaceDN w:val="0"/>
        <w:adjustRightInd w:val="0"/>
        <w:spacing w:line="360" w:lineRule="auto"/>
        <w:ind w:left="567" w:hanging="567"/>
        <w:rPr>
          <w:rFonts w:ascii="宋体" w:hAnsi="宋体" w:eastAsia="宋体" w:cs="Times New Roman"/>
          <w:bCs/>
          <w:color w:val="auto"/>
          <w:szCs w:val="24"/>
          <w:highlight w:val="none"/>
          <w:lang w:val="zh-CN"/>
        </w:rPr>
      </w:pPr>
      <w:r>
        <w:rPr>
          <w:rFonts w:ascii="宋体" w:hAnsi="宋体" w:eastAsia="宋体" w:cs="Times New Roman"/>
          <w:color w:val="auto"/>
          <w:szCs w:val="24"/>
          <w:highlight w:val="none"/>
          <w:lang w:val="zh-CN"/>
        </w:rPr>
        <w:t>5.</w:t>
      </w:r>
      <w:r>
        <w:rPr>
          <w:rFonts w:hint="eastAsia" w:ascii="宋体" w:hAnsi="宋体" w:eastAsia="宋体" w:cs="Times New Roman"/>
          <w:color w:val="auto"/>
          <w:szCs w:val="24"/>
          <w:highlight w:val="none"/>
          <w:lang w:val="zh-CN"/>
        </w:rPr>
        <w:t>1</w:t>
      </w:r>
      <w:r>
        <w:rPr>
          <w:rFonts w:ascii="宋体" w:hAnsi="宋体" w:eastAsia="宋体" w:cs="Times New Roman"/>
          <w:color w:val="auto"/>
          <w:szCs w:val="24"/>
          <w:highlight w:val="none"/>
          <w:lang w:val="zh-CN"/>
        </w:rPr>
        <w:tab/>
      </w:r>
      <w:r>
        <w:rPr>
          <w:rFonts w:hint="eastAsia" w:ascii="宋体" w:hAnsi="宋体" w:eastAsia="宋体" w:cs="Times New Roman"/>
          <w:bCs/>
          <w:color w:val="auto"/>
          <w:szCs w:val="24"/>
          <w:highlight w:val="none"/>
          <w:lang w:val="zh-CN"/>
        </w:rPr>
        <w:t>评审首先由评标委员会对投标人的</w:t>
      </w:r>
      <w:r>
        <w:rPr>
          <w:rFonts w:hint="eastAsia" w:ascii="宋体" w:hAnsi="宋体" w:eastAsia="宋体" w:cs="Times New Roman"/>
          <w:color w:val="auto"/>
          <w:szCs w:val="24"/>
          <w:highlight w:val="none"/>
          <w:lang w:val="zh-CN"/>
        </w:rPr>
        <w:t>投标</w:t>
      </w:r>
      <w:r>
        <w:rPr>
          <w:rFonts w:hint="eastAsia" w:ascii="宋体" w:hAnsi="宋体" w:eastAsia="宋体" w:cs="Times New Roman"/>
          <w:bCs/>
          <w:color w:val="auto"/>
          <w:szCs w:val="24"/>
          <w:highlight w:val="none"/>
          <w:lang w:val="zh-CN"/>
        </w:rPr>
        <w:t>文件做初审，对未能通过初审的投标文件不再进入下一阶段评审。</w:t>
      </w:r>
    </w:p>
    <w:p w14:paraId="7DF65436">
      <w:pPr>
        <w:autoSpaceDE w:val="0"/>
        <w:autoSpaceDN w:val="0"/>
        <w:adjustRightInd w:val="0"/>
        <w:spacing w:line="360" w:lineRule="auto"/>
        <w:ind w:left="567" w:hanging="567"/>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5.</w:t>
      </w:r>
      <w:r>
        <w:rPr>
          <w:rFonts w:hint="eastAsia" w:ascii="宋体" w:hAnsi="宋体" w:eastAsia="宋体" w:cs="Times New Roman"/>
          <w:color w:val="auto"/>
          <w:szCs w:val="24"/>
          <w:highlight w:val="none"/>
          <w:lang w:val="zh-CN"/>
        </w:rPr>
        <w:t>2</w:t>
      </w:r>
      <w:r>
        <w:rPr>
          <w:rFonts w:ascii="宋体" w:hAnsi="宋体" w:eastAsia="宋体" w:cs="Times New Roman"/>
          <w:color w:val="auto"/>
          <w:szCs w:val="24"/>
          <w:highlight w:val="none"/>
          <w:lang w:val="zh-CN"/>
        </w:rPr>
        <w:tab/>
      </w:r>
      <w:r>
        <w:rPr>
          <w:rFonts w:hint="eastAsia" w:ascii="宋体" w:hAnsi="宋体" w:eastAsia="宋体" w:cs="Times New Roman"/>
          <w:bCs/>
          <w:color w:val="auto"/>
          <w:szCs w:val="24"/>
          <w:highlight w:val="none"/>
          <w:lang w:val="zh-CN"/>
        </w:rPr>
        <w:t>评标</w:t>
      </w:r>
      <w:r>
        <w:rPr>
          <w:rFonts w:hint="eastAsia" w:ascii="宋体" w:hAnsi="宋体" w:eastAsia="宋体" w:cs="Arial"/>
          <w:color w:val="auto"/>
          <w:szCs w:val="24"/>
          <w:highlight w:val="none"/>
          <w:lang w:val="zh-CN"/>
        </w:rPr>
        <w:t>委员会</w:t>
      </w:r>
      <w:r>
        <w:rPr>
          <w:rFonts w:hint="eastAsia" w:ascii="宋体" w:hAnsi="宋体" w:eastAsia="宋体" w:cs="Times New Roman"/>
          <w:color w:val="auto"/>
          <w:szCs w:val="24"/>
          <w:highlight w:val="none"/>
          <w:lang w:val="zh-CN"/>
        </w:rPr>
        <w:t>对</w:t>
      </w:r>
      <w:r>
        <w:rPr>
          <w:rFonts w:hint="eastAsia" w:ascii="宋体" w:hAnsi="宋体" w:eastAsia="宋体" w:cs="Arial"/>
          <w:color w:val="auto"/>
          <w:szCs w:val="24"/>
          <w:highlight w:val="none"/>
          <w:lang w:val="zh-CN"/>
        </w:rPr>
        <w:t>通过初审的</w:t>
      </w:r>
      <w:r>
        <w:rPr>
          <w:rFonts w:hint="eastAsia" w:ascii="宋体" w:hAnsi="宋体" w:eastAsia="宋体" w:cs="Times New Roman"/>
          <w:color w:val="auto"/>
          <w:szCs w:val="24"/>
          <w:highlight w:val="none"/>
          <w:lang w:val="zh-CN"/>
        </w:rPr>
        <w:t>投标人的投标文件进行详细的比较和评价。如需要，进行必要的澄清工作。</w:t>
      </w:r>
    </w:p>
    <w:p w14:paraId="5935F998">
      <w:pPr>
        <w:autoSpaceDE w:val="0"/>
        <w:autoSpaceDN w:val="0"/>
        <w:adjustRightInd w:val="0"/>
        <w:spacing w:line="360" w:lineRule="auto"/>
        <w:ind w:left="567" w:hanging="567"/>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5.</w:t>
      </w:r>
      <w:r>
        <w:rPr>
          <w:rFonts w:hint="eastAsia" w:ascii="宋体" w:hAnsi="宋体" w:eastAsia="宋体" w:cs="Times New Roman"/>
          <w:color w:val="auto"/>
          <w:szCs w:val="24"/>
          <w:highlight w:val="none"/>
          <w:lang w:val="zh-CN"/>
        </w:rPr>
        <w:t>3  依据评分标准以及各项权重，各位评标委员会成员单独就每个投标人的商务状况、技术状况进行比较和评价，分别评出其商务得分和技术得分。</w:t>
      </w:r>
    </w:p>
    <w:p w14:paraId="557FA8F9">
      <w:pPr>
        <w:autoSpaceDE w:val="0"/>
        <w:autoSpaceDN w:val="0"/>
        <w:adjustRightInd w:val="0"/>
        <w:spacing w:line="360" w:lineRule="auto"/>
        <w:ind w:left="567" w:hanging="567"/>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5.4</w:t>
      </w:r>
      <w:r>
        <w:rPr>
          <w:rFonts w:ascii="宋体" w:hAnsi="宋体" w:eastAsia="宋体" w:cs="Times New Roman"/>
          <w:color w:val="auto"/>
          <w:szCs w:val="24"/>
          <w:highlight w:val="none"/>
          <w:lang w:val="zh-CN"/>
        </w:rPr>
        <w:tab/>
      </w:r>
      <w:r>
        <w:rPr>
          <w:rFonts w:hint="eastAsia" w:ascii="宋体" w:hAnsi="宋体" w:eastAsia="宋体" w:cs="Times New Roman"/>
          <w:color w:val="auto"/>
          <w:kern w:val="0"/>
          <w:szCs w:val="24"/>
          <w:highlight w:val="none"/>
          <w:lang w:val="zh-CN"/>
        </w:rPr>
        <w:t>对有效投标人的投标报价进行审查和价格评分。</w:t>
      </w:r>
    </w:p>
    <w:p w14:paraId="52ACB1A8">
      <w:pPr>
        <w:autoSpaceDE w:val="0"/>
        <w:autoSpaceDN w:val="0"/>
        <w:adjustRightInd w:val="0"/>
        <w:spacing w:line="360" w:lineRule="auto"/>
        <w:ind w:left="567" w:hanging="567"/>
        <w:rPr>
          <w:rFonts w:ascii="宋体" w:hAnsi="宋体" w:eastAsia="宋体" w:cs="Times New Roman"/>
          <w:color w:val="auto"/>
          <w:kern w:val="0"/>
          <w:szCs w:val="24"/>
          <w:highlight w:val="none"/>
          <w:lang w:val="zh-CN"/>
        </w:rPr>
      </w:pPr>
      <w:r>
        <w:rPr>
          <w:rFonts w:hint="eastAsia" w:ascii="宋体" w:hAnsi="宋体" w:eastAsia="宋体" w:cs="Times New Roman"/>
          <w:color w:val="auto"/>
          <w:kern w:val="0"/>
          <w:szCs w:val="24"/>
          <w:highlight w:val="none"/>
          <w:lang w:val="zh-CN"/>
        </w:rPr>
        <w:t>5.5  将各</w:t>
      </w:r>
      <w:r>
        <w:rPr>
          <w:rFonts w:hint="eastAsia" w:ascii="宋体" w:hAnsi="宋体" w:eastAsia="宋体" w:cs="Times New Roman"/>
          <w:color w:val="auto"/>
          <w:szCs w:val="24"/>
          <w:highlight w:val="none"/>
          <w:lang w:val="zh-CN"/>
        </w:rPr>
        <w:t>评委对</w:t>
      </w:r>
      <w:r>
        <w:rPr>
          <w:rFonts w:hint="eastAsia" w:ascii="宋体" w:hAnsi="宋体" w:eastAsia="宋体" w:cs="Times New Roman"/>
          <w:color w:val="auto"/>
          <w:kern w:val="0"/>
          <w:szCs w:val="24"/>
          <w:highlight w:val="none"/>
          <w:lang w:val="zh-CN"/>
        </w:rPr>
        <w:t>投标人的技术打分的最终综合得分、商务打分的算术平均值和价格得分相加得出投标人的总分。</w:t>
      </w:r>
    </w:p>
    <w:p w14:paraId="74FB7CF2">
      <w:pPr>
        <w:autoSpaceDE w:val="0"/>
        <w:autoSpaceDN w:val="0"/>
        <w:adjustRightInd w:val="0"/>
        <w:spacing w:line="360" w:lineRule="auto"/>
        <w:ind w:left="567" w:hanging="567"/>
        <w:rPr>
          <w:rFonts w:ascii="宋体" w:hAnsi="宋体" w:eastAsia="宋体" w:cs="Times New Roman"/>
          <w:color w:val="auto"/>
          <w:kern w:val="0"/>
          <w:szCs w:val="21"/>
          <w:highlight w:val="none"/>
        </w:rPr>
      </w:pPr>
      <w:r>
        <w:rPr>
          <w:rFonts w:hint="eastAsia" w:ascii="宋体" w:hAnsi="宋体" w:eastAsia="宋体" w:cs="Times New Roman"/>
          <w:bCs/>
          <w:color w:val="auto"/>
          <w:kern w:val="0"/>
          <w:szCs w:val="24"/>
          <w:highlight w:val="none"/>
        </w:rPr>
        <w:t xml:space="preserve">5.6  </w:t>
      </w:r>
      <w:r>
        <w:rPr>
          <w:rFonts w:hint="eastAsia" w:ascii="宋体" w:hAnsi="宋体" w:eastAsia="宋体" w:cs="Times New Roman"/>
          <w:color w:val="auto"/>
          <w:kern w:val="0"/>
          <w:szCs w:val="21"/>
          <w:highlight w:val="none"/>
        </w:rPr>
        <w:t>评标委员会将向招标人推荐评标最后综合得分最高的前二名投标人为中标候选人，并标明排列顺序。</w:t>
      </w:r>
    </w:p>
    <w:p w14:paraId="3407F1AE">
      <w:pPr>
        <w:autoSpaceDE w:val="0"/>
        <w:autoSpaceDN w:val="0"/>
        <w:adjustRightInd w:val="0"/>
        <w:spacing w:line="360" w:lineRule="auto"/>
        <w:ind w:left="525" w:hanging="525" w:hangingChars="250"/>
        <w:jc w:val="left"/>
        <w:rPr>
          <w:rFonts w:ascii="宋体" w:hAnsi="宋体" w:eastAsia="宋体" w:cs="Times New Roman"/>
          <w:color w:val="auto"/>
          <w:szCs w:val="24"/>
          <w:highlight w:val="none"/>
          <w:lang w:val="zh-CN"/>
        </w:rPr>
      </w:pPr>
      <w:r>
        <w:rPr>
          <w:rFonts w:hint="eastAsia" w:ascii="宋体" w:hAnsi="宋体" w:eastAsia="宋体" w:cs="Times New Roman"/>
          <w:color w:val="auto"/>
          <w:kern w:val="0"/>
          <w:szCs w:val="24"/>
          <w:highlight w:val="none"/>
          <w:lang w:val="zh-CN"/>
        </w:rPr>
        <w:t>5.</w:t>
      </w:r>
      <w:r>
        <w:rPr>
          <w:rFonts w:hint="eastAsia" w:ascii="宋体" w:hAnsi="宋体" w:eastAsia="宋体" w:cs="Times New Roman"/>
          <w:color w:val="auto"/>
          <w:szCs w:val="24"/>
          <w:highlight w:val="none"/>
          <w:lang w:val="zh-CN"/>
        </w:rPr>
        <w:t>7</w:t>
      </w:r>
      <w:r>
        <w:rPr>
          <w:rFonts w:ascii="宋体" w:hAnsi="宋体" w:eastAsia="宋体" w:cs="Times New Roman"/>
          <w:color w:val="auto"/>
          <w:szCs w:val="24"/>
          <w:highlight w:val="none"/>
          <w:lang w:val="zh-CN"/>
        </w:rPr>
        <w:tab/>
      </w:r>
      <w:r>
        <w:rPr>
          <w:rFonts w:hint="eastAsia" w:ascii="宋体" w:hAnsi="宋体" w:eastAsia="宋体" w:cs="Times New Roman"/>
          <w:color w:val="auto"/>
          <w:kern w:val="0"/>
          <w:szCs w:val="24"/>
          <w:highlight w:val="none"/>
          <w:lang w:val="zh-CN"/>
        </w:rPr>
        <w:t>评标委员会</w:t>
      </w:r>
      <w:r>
        <w:rPr>
          <w:rFonts w:hint="eastAsia" w:ascii="宋体" w:hAnsi="宋体" w:eastAsia="宋体" w:cs="Times New Roman"/>
          <w:color w:val="auto"/>
          <w:szCs w:val="24"/>
          <w:highlight w:val="none"/>
          <w:lang w:val="zh-CN"/>
        </w:rPr>
        <w:t>根据评审结果编写评标报告。</w:t>
      </w:r>
    </w:p>
    <w:p w14:paraId="4794ACC4">
      <w:pPr>
        <w:autoSpaceDE w:val="0"/>
        <w:autoSpaceDN w:val="0"/>
        <w:adjustRightInd w:val="0"/>
        <w:spacing w:line="360" w:lineRule="auto"/>
        <w:ind w:left="525" w:hanging="525" w:hangingChars="250"/>
        <w:jc w:val="left"/>
        <w:rPr>
          <w:rFonts w:ascii="宋体" w:hAnsi="宋体" w:eastAsia="宋体" w:cs="Times New Roman"/>
          <w:color w:val="auto"/>
          <w:szCs w:val="24"/>
          <w:highlight w:val="none"/>
          <w:lang w:val="zh-CN"/>
        </w:rPr>
      </w:pPr>
    </w:p>
    <w:p w14:paraId="41B35211">
      <w:pPr>
        <w:tabs>
          <w:tab w:val="left" w:pos="1140"/>
        </w:tabs>
        <w:autoSpaceDE w:val="0"/>
        <w:autoSpaceDN w:val="0"/>
        <w:adjustRightInd w:val="0"/>
        <w:spacing w:line="360" w:lineRule="auto"/>
        <w:jc w:val="center"/>
        <w:rPr>
          <w:rFonts w:ascii="宋体" w:hAnsi="宋体" w:eastAsia="宋体" w:cs="宋体"/>
          <w:b/>
          <w:bCs/>
          <w:color w:val="auto"/>
          <w:sz w:val="28"/>
          <w:szCs w:val="28"/>
          <w:highlight w:val="none"/>
        </w:rPr>
      </w:pPr>
      <w:bookmarkStart w:id="1215" w:name="_Toc19435_WPSOffice_Level1"/>
      <w:r>
        <w:rPr>
          <w:rFonts w:hint="eastAsia" w:ascii="宋体" w:hAnsi="宋体" w:eastAsia="宋体" w:cs="宋体"/>
          <w:b/>
          <w:bCs/>
          <w:color w:val="auto"/>
          <w:sz w:val="28"/>
          <w:szCs w:val="28"/>
          <w:highlight w:val="none"/>
          <w:lang w:val="zh-CN"/>
        </w:rPr>
        <w:t>二、投标文件的初审</w:t>
      </w:r>
      <w:bookmarkEnd w:id="1215"/>
    </w:p>
    <w:p w14:paraId="68C77F5A">
      <w:pPr>
        <w:autoSpaceDE w:val="0"/>
        <w:autoSpaceDN w:val="0"/>
        <w:adjustRightInd w:val="0"/>
        <w:spacing w:line="360" w:lineRule="auto"/>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6、投标文件的初审分为资格性检查和符合性检查。</w:t>
      </w:r>
    </w:p>
    <w:p w14:paraId="6BB3C63C">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6.1  资格性检查是指评标委员会依据法律法规和招标文件的规定，对投标文件中的资格证明、投标保证金、投标人（含其不具有独立法人资格的分支机构）信用（由招标代理机构在递交投标文件截止时间当天通过“信用中国”网站对投标人信用进行查询，招标代理机构将查询情况提交评标委员会评审）等进行审查，以确定投标人是否具备投标资格。</w:t>
      </w:r>
    </w:p>
    <w:p w14:paraId="6338FED7">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6.2  符合性检查是指评标委员会依据招标文件规定，从投标文件的有效性、完整性和对招标文件的响应程度进行审查，以确定是否对招标文件的实质性要求作出响应。</w:t>
      </w:r>
    </w:p>
    <w:p w14:paraId="0CF29BCD">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实质性响应的投标指的是符合招标文件要求的全部“★”条款和验收标准而无任何重大偏离或保留。重大偏离或保留系指实质上影响到合同项下的服务范围、质量，或指与招标文件有实质不一致，限制了合同项下委托人的权利和承包人的义务, 或对该重大偏离的修改对提交实质性响应投标的其他投标人将不公平。</w:t>
      </w:r>
    </w:p>
    <w:p w14:paraId="7153E37F">
      <w:pPr>
        <w:autoSpaceDE w:val="0"/>
        <w:autoSpaceDN w:val="0"/>
        <w:adjustRightInd w:val="0"/>
        <w:spacing w:line="360" w:lineRule="auto"/>
        <w:ind w:firstLine="840" w:firstLineChars="4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评标委员会决定投标文件的响应性是基于投标文件的内容本身而不靠外部的证据。</w:t>
      </w:r>
    </w:p>
    <w:p w14:paraId="096354E3">
      <w:pPr>
        <w:autoSpaceDE w:val="0"/>
        <w:autoSpaceDN w:val="0"/>
        <w:adjustRightInd w:val="0"/>
        <w:spacing w:line="360" w:lineRule="auto"/>
        <w:ind w:left="420" w:leftChars="200" w:firstLine="422" w:firstLineChars="200"/>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对是否符合实质性响应招标文件有争议的投标文件,评标委员会成员将以记名方式表决,根据少数服</w:t>
      </w:r>
      <w:r>
        <w:rPr>
          <w:rFonts w:hint="eastAsia" w:ascii="宋体" w:hAnsi="宋体" w:eastAsia="宋体" w:cs="宋体"/>
          <w:b/>
          <w:color w:val="auto"/>
          <w:szCs w:val="24"/>
          <w:highlight w:val="none"/>
          <w:lang w:val="en-US" w:eastAsia="zh-CN"/>
        </w:rPr>
        <w:t>从</w:t>
      </w:r>
      <w:r>
        <w:rPr>
          <w:rFonts w:hint="eastAsia" w:ascii="宋体" w:hAnsi="宋体" w:eastAsia="宋体" w:cs="宋体"/>
          <w:b/>
          <w:color w:val="auto"/>
          <w:szCs w:val="24"/>
          <w:highlight w:val="none"/>
          <w:lang w:val="zh-CN"/>
        </w:rPr>
        <w:t>多数的原则，获多数表决通过的投标人才有资格进入下一阶段的评审,否则将被认定为无效投标文件。</w:t>
      </w:r>
    </w:p>
    <w:p w14:paraId="401FCB6C">
      <w:pPr>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7、投标文件出现下列情况之一的，被认定为无效投标：</w:t>
      </w:r>
    </w:p>
    <w:p w14:paraId="00A434C8">
      <w:pPr>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7</w:t>
      </w:r>
      <w:r>
        <w:rPr>
          <w:rFonts w:ascii="宋体" w:hAnsi="宋体" w:eastAsia="宋体" w:cs="宋体"/>
          <w:b/>
          <w:color w:val="auto"/>
          <w:szCs w:val="21"/>
          <w:highlight w:val="none"/>
          <w:lang w:val="zh-CN"/>
        </w:rPr>
        <w:t xml:space="preserve">.1  </w:t>
      </w:r>
      <w:r>
        <w:rPr>
          <w:rFonts w:hint="eastAsia" w:ascii="宋体" w:hAnsi="宋体" w:eastAsia="宋体" w:cs="宋体"/>
          <w:b/>
          <w:bCs/>
          <w:color w:val="auto"/>
          <w:kern w:val="0"/>
          <w:szCs w:val="21"/>
          <w:highlight w:val="none"/>
        </w:rPr>
        <w:t>投标人未按招标文件要求交纳投标保证金的；</w:t>
      </w:r>
    </w:p>
    <w:p w14:paraId="3829442D">
      <w:pPr>
        <w:tabs>
          <w:tab w:val="left" w:pos="567"/>
        </w:tabs>
        <w:spacing w:line="360" w:lineRule="auto"/>
        <w:ind w:left="632" w:hanging="632" w:hangingChars="30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7.2  </w:t>
      </w:r>
      <w:r>
        <w:rPr>
          <w:rFonts w:hint="eastAsia" w:ascii="宋体" w:hAnsi="宋体" w:eastAsia="宋体" w:cs="宋体"/>
          <w:b/>
          <w:color w:val="auto"/>
          <w:kern w:val="0"/>
          <w:szCs w:val="21"/>
          <w:highlight w:val="none"/>
        </w:rPr>
        <w:t>投标文件中的投标报价高于</w:t>
      </w:r>
      <w:r>
        <w:rPr>
          <w:rFonts w:hint="eastAsia" w:ascii="宋体" w:hAnsi="宋体" w:eastAsia="宋体" w:cs="Times New Roman"/>
          <w:b/>
          <w:bCs/>
          <w:color w:val="auto"/>
          <w:kern w:val="0"/>
          <w:szCs w:val="24"/>
          <w:highlight w:val="none"/>
          <w:u w:val="none"/>
        </w:rPr>
        <w:t>最高</w:t>
      </w:r>
      <w:r>
        <w:rPr>
          <w:rFonts w:hint="eastAsia" w:ascii="宋体" w:hAnsi="宋体" w:eastAsia="宋体" w:cs="Times New Roman"/>
          <w:b/>
          <w:bCs/>
          <w:color w:val="auto"/>
          <w:kern w:val="0"/>
          <w:szCs w:val="24"/>
          <w:highlight w:val="none"/>
          <w:u w:val="none"/>
          <w:lang w:val="en-US" w:eastAsia="zh-CN"/>
        </w:rPr>
        <w:t>投标</w:t>
      </w:r>
      <w:r>
        <w:rPr>
          <w:rFonts w:hint="eastAsia" w:ascii="宋体" w:hAnsi="宋体" w:eastAsia="宋体" w:cs="Times New Roman"/>
          <w:b/>
          <w:bCs/>
          <w:color w:val="auto"/>
          <w:kern w:val="0"/>
          <w:szCs w:val="24"/>
          <w:highlight w:val="none"/>
          <w:u w:val="none"/>
        </w:rPr>
        <w:t>限价</w:t>
      </w:r>
      <w:r>
        <w:rPr>
          <w:rFonts w:hint="eastAsia" w:ascii="宋体" w:hAnsi="宋体" w:eastAsia="宋体" w:cs="宋体"/>
          <w:b/>
          <w:color w:val="auto"/>
          <w:kern w:val="0"/>
          <w:szCs w:val="21"/>
          <w:highlight w:val="none"/>
        </w:rPr>
        <w:t>的</w:t>
      </w:r>
      <w:r>
        <w:rPr>
          <w:rFonts w:hint="eastAsia" w:ascii="宋体" w:hAnsi="宋体" w:eastAsia="宋体" w:cs="宋体"/>
          <w:b/>
          <w:bCs/>
          <w:color w:val="auto"/>
          <w:kern w:val="0"/>
          <w:szCs w:val="21"/>
          <w:highlight w:val="none"/>
        </w:rPr>
        <w:t>；</w:t>
      </w:r>
    </w:p>
    <w:p w14:paraId="52083915">
      <w:pPr>
        <w:tabs>
          <w:tab w:val="left" w:pos="567"/>
        </w:tabs>
        <w:spacing w:line="360" w:lineRule="auto"/>
        <w:ind w:left="632" w:hanging="632" w:hangingChars="3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7.3  投标人以低于企业成本价报价，且投标人不能合理说明或不能提供相关证明材料；</w:t>
      </w:r>
    </w:p>
    <w:p w14:paraId="255FE397">
      <w:pPr>
        <w:tabs>
          <w:tab w:val="left" w:pos="567"/>
        </w:tabs>
        <w:spacing w:line="360" w:lineRule="auto"/>
        <w:ind w:left="632" w:hanging="632" w:hangingChars="3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7.4  投标人递交两份或多份内容不同的投标文件，或在一份投标文件中报有两个或多个报价，且未书面声明哪一个有效；</w:t>
      </w:r>
    </w:p>
    <w:p w14:paraId="5DF54622">
      <w:pPr>
        <w:tabs>
          <w:tab w:val="left" w:pos="567"/>
        </w:tabs>
        <w:spacing w:line="360" w:lineRule="auto"/>
        <w:ind w:left="632" w:hanging="632" w:hangingChars="30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7.5  </w:t>
      </w:r>
      <w:r>
        <w:rPr>
          <w:rFonts w:hint="eastAsia" w:ascii="宋体" w:hAnsi="宋体" w:eastAsia="宋体" w:cs="宋体"/>
          <w:b/>
          <w:color w:val="auto"/>
          <w:kern w:val="0"/>
          <w:szCs w:val="21"/>
          <w:highlight w:val="none"/>
        </w:rPr>
        <w:t>投标人不符合合格投标人的基本条件[含未提供资格证明文件，或投标人（含其不具有独立法人资格的分支机构）被列入“信用中国”网站（www.creditchina.gov.cn）失信被执行人、重大税收违法失信主体、</w:t>
      </w:r>
      <w:r>
        <w:rPr>
          <w:rFonts w:hint="eastAsia" w:ascii="宋体" w:hAnsi="宋体" w:eastAsia="宋体" w:cs="宋体"/>
          <w:b/>
          <w:color w:val="auto"/>
          <w:kern w:val="0"/>
          <w:szCs w:val="21"/>
          <w:highlight w:val="none"/>
          <w:lang w:val="en-US" w:eastAsia="zh-CN"/>
        </w:rPr>
        <w:t>政府采购</w:t>
      </w:r>
      <w:r>
        <w:rPr>
          <w:rFonts w:hint="eastAsia" w:ascii="宋体" w:hAnsi="宋体" w:eastAsia="宋体" w:cs="宋体"/>
          <w:b/>
          <w:color w:val="auto"/>
          <w:kern w:val="0"/>
          <w:szCs w:val="21"/>
          <w:highlight w:val="none"/>
        </w:rPr>
        <w:t>严重违法失信行为记录名单（处罚期限届满的除外）]；</w:t>
      </w:r>
    </w:p>
    <w:p w14:paraId="11F3B146">
      <w:pPr>
        <w:spacing w:line="360" w:lineRule="auto"/>
        <w:ind w:left="527" w:hanging="527" w:hangingChars="25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7.6  投标文件未按照招标文件规定要求密封；投标文件无法定代表人或其授权代表签字（或盖私章），或签字人无法定代表人有效授权的；签字盖章不符合招标文件要求的； </w:t>
      </w:r>
    </w:p>
    <w:p w14:paraId="1D66E219">
      <w:pPr>
        <w:spacing w:line="360" w:lineRule="auto"/>
        <w:ind w:left="527" w:hanging="527" w:hangingChars="250"/>
        <w:rPr>
          <w:rFonts w:ascii="宋体" w:hAnsi="宋体" w:eastAsia="宋体" w:cs="宋体"/>
          <w:b/>
          <w:bCs/>
          <w:color w:val="auto"/>
          <w:kern w:val="0"/>
          <w:szCs w:val="21"/>
          <w:highlight w:val="none"/>
        </w:rPr>
      </w:pPr>
      <w:r>
        <w:rPr>
          <w:rFonts w:ascii="宋体" w:hAnsi="宋体" w:eastAsia="宋体" w:cs="宋体"/>
          <w:b/>
          <w:bCs/>
          <w:color w:val="auto"/>
          <w:kern w:val="0"/>
          <w:szCs w:val="21"/>
          <w:highlight w:val="none"/>
        </w:rPr>
        <w:t>7.</w:t>
      </w:r>
      <w:r>
        <w:rPr>
          <w:rFonts w:hint="eastAsia" w:ascii="宋体" w:hAnsi="宋体" w:eastAsia="宋体" w:cs="宋体"/>
          <w:b/>
          <w:bCs/>
          <w:color w:val="auto"/>
          <w:kern w:val="0"/>
          <w:szCs w:val="21"/>
          <w:highlight w:val="none"/>
        </w:rPr>
        <w:t>7</w:t>
      </w:r>
      <w:r>
        <w:rPr>
          <w:rFonts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rPr>
        <w:t>投标有效期限不符合要求；</w:t>
      </w:r>
    </w:p>
    <w:p w14:paraId="60D1DD9B">
      <w:pPr>
        <w:spacing w:line="360" w:lineRule="auto"/>
        <w:ind w:left="527" w:hanging="527" w:hangingChars="25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7.8  投标文件未对招标范围内的全部内容进行投标报价</w:t>
      </w:r>
      <w:r>
        <w:rPr>
          <w:rFonts w:hint="eastAsia" w:ascii="宋体" w:hAnsi="宋体" w:eastAsia="宋体" w:cs="Times New Roman"/>
          <w:b/>
          <w:color w:val="auto"/>
          <w:kern w:val="0"/>
          <w:szCs w:val="21"/>
          <w:highlight w:val="none"/>
        </w:rPr>
        <w:t>或投标方案不是唯一</w:t>
      </w:r>
      <w:r>
        <w:rPr>
          <w:rFonts w:hint="eastAsia" w:ascii="宋体" w:hAnsi="宋体" w:eastAsia="宋体" w:cs="宋体"/>
          <w:b/>
          <w:bCs/>
          <w:color w:val="auto"/>
          <w:kern w:val="0"/>
          <w:szCs w:val="21"/>
          <w:highlight w:val="none"/>
        </w:rPr>
        <w:t>；</w:t>
      </w:r>
    </w:p>
    <w:p w14:paraId="5AB25E38">
      <w:pPr>
        <w:spacing w:line="360" w:lineRule="auto"/>
        <w:ind w:left="413" w:hanging="413" w:hangingChars="196"/>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7.</w:t>
      </w:r>
      <w:r>
        <w:rPr>
          <w:rFonts w:hint="eastAsia" w:ascii="宋体" w:hAnsi="宋体" w:eastAsia="宋体" w:cs="Times New Roman"/>
          <w:b/>
          <w:color w:val="auto"/>
          <w:kern w:val="0"/>
          <w:szCs w:val="21"/>
          <w:highlight w:val="none"/>
        </w:rPr>
        <w:t>9</w:t>
      </w:r>
      <w:r>
        <w:rPr>
          <w:rFonts w:ascii="宋体" w:hAnsi="宋体" w:eastAsia="宋体" w:cs="Times New Roman"/>
          <w:b/>
          <w:color w:val="auto"/>
          <w:kern w:val="0"/>
          <w:szCs w:val="21"/>
          <w:highlight w:val="none"/>
        </w:rPr>
        <w:t xml:space="preserve">  未提供或虚假填写《合同条款偏离表》，或对《合同条款偏离表》有负偏离的；</w:t>
      </w:r>
    </w:p>
    <w:p w14:paraId="30EE680E">
      <w:pPr>
        <w:spacing w:line="360" w:lineRule="auto"/>
        <w:ind w:left="413" w:hanging="413" w:hangingChars="196"/>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7.</w:t>
      </w:r>
      <w:r>
        <w:rPr>
          <w:rFonts w:hint="eastAsia" w:ascii="宋体" w:hAnsi="宋体" w:eastAsia="宋体" w:cs="Times New Roman"/>
          <w:b/>
          <w:color w:val="auto"/>
          <w:kern w:val="0"/>
          <w:szCs w:val="21"/>
          <w:highlight w:val="none"/>
        </w:rPr>
        <w:t>10</w:t>
      </w:r>
      <w:r>
        <w:rPr>
          <w:rFonts w:ascii="宋体" w:hAnsi="宋体" w:eastAsia="宋体" w:cs="Times New Roman"/>
          <w:b/>
          <w:color w:val="auto"/>
          <w:kern w:val="0"/>
          <w:szCs w:val="21"/>
          <w:highlight w:val="none"/>
        </w:rPr>
        <w:t xml:space="preserve">  未填写或虚假填写《用户需求偏离表》的；</w:t>
      </w:r>
    </w:p>
    <w:p w14:paraId="751D2A04">
      <w:pPr>
        <w:spacing w:line="360" w:lineRule="auto"/>
        <w:ind w:left="413" w:hanging="413" w:hangingChars="196"/>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7.</w:t>
      </w:r>
      <w:r>
        <w:rPr>
          <w:rFonts w:hint="eastAsia" w:ascii="宋体" w:hAnsi="宋体" w:eastAsia="宋体" w:cs="Times New Roman"/>
          <w:b/>
          <w:color w:val="auto"/>
          <w:kern w:val="0"/>
          <w:szCs w:val="21"/>
          <w:highlight w:val="none"/>
        </w:rPr>
        <w:t>11</w:t>
      </w:r>
      <w:r>
        <w:rPr>
          <w:rFonts w:ascii="宋体" w:hAnsi="宋体" w:eastAsia="宋体" w:cs="Times New Roman"/>
          <w:b/>
          <w:color w:val="auto"/>
          <w:kern w:val="0"/>
          <w:szCs w:val="21"/>
          <w:highlight w:val="none"/>
        </w:rPr>
        <w:t xml:space="preserve"> </w:t>
      </w:r>
      <w:r>
        <w:rPr>
          <w:rFonts w:hint="eastAsia" w:ascii="宋体" w:hAnsi="宋体" w:eastAsia="宋体" w:cs="Times New Roman"/>
          <w:b/>
          <w:color w:val="auto"/>
          <w:kern w:val="0"/>
          <w:szCs w:val="21"/>
          <w:highlight w:val="none"/>
          <w:lang w:val="en-US" w:eastAsia="zh-CN"/>
        </w:rPr>
        <w:t xml:space="preserve"> </w:t>
      </w:r>
      <w:r>
        <w:rPr>
          <w:rFonts w:ascii="宋体" w:hAnsi="宋体" w:eastAsia="宋体" w:cs="Times New Roman"/>
          <w:b/>
          <w:color w:val="auto"/>
          <w:kern w:val="0"/>
          <w:szCs w:val="21"/>
          <w:highlight w:val="none"/>
        </w:rPr>
        <w:t>未</w:t>
      </w:r>
      <w:r>
        <w:rPr>
          <w:rFonts w:hint="eastAsia" w:ascii="宋体" w:hAnsi="宋体" w:eastAsia="宋体" w:cs="Times New Roman"/>
          <w:b/>
          <w:color w:val="auto"/>
          <w:kern w:val="0"/>
          <w:szCs w:val="21"/>
          <w:highlight w:val="none"/>
        </w:rPr>
        <w:t>响应</w:t>
      </w:r>
      <w:r>
        <w:rPr>
          <w:rFonts w:ascii="宋体" w:hAnsi="宋体" w:eastAsia="宋体" w:cs="Times New Roman"/>
          <w:b/>
          <w:color w:val="auto"/>
          <w:kern w:val="0"/>
          <w:szCs w:val="21"/>
          <w:highlight w:val="none"/>
        </w:rPr>
        <w:t>招标文件提出的实质性要求和条件（标注★的条款）</w:t>
      </w:r>
      <w:r>
        <w:rPr>
          <w:rFonts w:hint="eastAsia" w:ascii="宋体" w:hAnsi="宋体" w:eastAsia="宋体" w:cs="Times New Roman"/>
          <w:b/>
          <w:color w:val="auto"/>
          <w:kern w:val="0"/>
          <w:szCs w:val="21"/>
          <w:highlight w:val="none"/>
        </w:rPr>
        <w:t>。</w:t>
      </w:r>
    </w:p>
    <w:p w14:paraId="067D341A">
      <w:pPr>
        <w:autoSpaceDE w:val="0"/>
        <w:autoSpaceDN w:val="0"/>
        <w:adjustRightInd w:val="0"/>
        <w:spacing w:line="360" w:lineRule="auto"/>
        <w:ind w:left="315" w:hanging="315" w:hangingChars="150"/>
        <w:rPr>
          <w:rFonts w:ascii="宋体" w:hAnsi="宋体" w:eastAsia="宋体" w:cs="宋体"/>
          <w:color w:val="auto"/>
          <w:kern w:val="0"/>
          <w:szCs w:val="24"/>
          <w:highlight w:val="none"/>
          <w:lang w:val="zh-CN"/>
        </w:rPr>
      </w:pPr>
      <w:r>
        <w:rPr>
          <w:rFonts w:hint="eastAsia" w:ascii="宋体" w:hAnsi="宋体" w:eastAsia="宋体" w:cs="宋体"/>
          <w:bCs/>
          <w:color w:val="auto"/>
          <w:kern w:val="0"/>
          <w:szCs w:val="24"/>
          <w:highlight w:val="none"/>
          <w:lang w:val="zh-CN"/>
        </w:rPr>
        <w:t>8、</w:t>
      </w:r>
      <w:r>
        <w:rPr>
          <w:rFonts w:hint="eastAsia" w:ascii="宋体" w:hAnsi="宋体" w:eastAsia="宋体" w:cs="宋体"/>
          <w:color w:val="auto"/>
          <w:kern w:val="0"/>
          <w:szCs w:val="24"/>
          <w:highlight w:val="none"/>
          <w:lang w:val="zh-CN"/>
        </w:rPr>
        <w:t>评标委员会应当书面要求存在细微偏差的投标人在开标评审结束前予以补正。细微偏差是指投标文件在实质上响应招标文件要求，但在个别地方存在漏项或者提供了不完整的技术方案信息和数据等情况，并且补正这些遗漏或者不完整不会对其他投标人造成不公平的结果。细微偏差不影响投标文件的有效性。</w:t>
      </w:r>
    </w:p>
    <w:p w14:paraId="49FB3C37">
      <w:pPr>
        <w:spacing w:line="360" w:lineRule="auto"/>
        <w:ind w:left="480"/>
        <w:rPr>
          <w:rFonts w:ascii="宋体" w:hAnsi="宋体" w:eastAsia="宋体" w:cs="宋体"/>
          <w:b/>
          <w:color w:val="auto"/>
          <w:kern w:val="0"/>
          <w:szCs w:val="21"/>
          <w:highlight w:val="none"/>
        </w:rPr>
      </w:pPr>
    </w:p>
    <w:p w14:paraId="5BB55287">
      <w:pPr>
        <w:tabs>
          <w:tab w:val="left" w:pos="1140"/>
        </w:tabs>
        <w:autoSpaceDE w:val="0"/>
        <w:autoSpaceDN w:val="0"/>
        <w:adjustRightInd w:val="0"/>
        <w:spacing w:line="360" w:lineRule="auto"/>
        <w:ind w:firstLine="3528" w:firstLineChars="1255"/>
        <w:jc w:val="left"/>
        <w:rPr>
          <w:rFonts w:ascii="宋体" w:hAnsi="宋体" w:eastAsia="宋体" w:cs="宋体"/>
          <w:b/>
          <w:bCs/>
          <w:color w:val="auto"/>
          <w:sz w:val="28"/>
          <w:szCs w:val="28"/>
          <w:highlight w:val="none"/>
        </w:rPr>
      </w:pPr>
      <w:bookmarkStart w:id="1216" w:name="_Toc4109_WPSOffice_Level1"/>
      <w:r>
        <w:rPr>
          <w:rFonts w:hint="eastAsia" w:ascii="宋体" w:hAnsi="宋体" w:eastAsia="宋体" w:cs="宋体"/>
          <w:b/>
          <w:bCs/>
          <w:color w:val="auto"/>
          <w:sz w:val="28"/>
          <w:szCs w:val="28"/>
          <w:highlight w:val="none"/>
          <w:lang w:val="zh-CN"/>
        </w:rPr>
        <w:t>三、澄清有关问题</w:t>
      </w:r>
      <w:bookmarkEnd w:id="1216"/>
    </w:p>
    <w:p w14:paraId="4DB49751">
      <w:pPr>
        <w:autoSpaceDE w:val="0"/>
        <w:autoSpaceDN w:val="0"/>
        <w:adjustRightInd w:val="0"/>
        <w:spacing w:line="360" w:lineRule="auto"/>
        <w:ind w:left="315" w:hanging="315" w:hangingChars="150"/>
        <w:rPr>
          <w:rFonts w:ascii="宋体" w:hAnsi="宋体" w:eastAsia="宋体" w:cs="宋体"/>
          <w:color w:val="auto"/>
          <w:szCs w:val="24"/>
          <w:highlight w:val="none"/>
          <w:lang w:val="zh-CN"/>
        </w:rPr>
      </w:pPr>
      <w:r>
        <w:rPr>
          <w:rFonts w:hint="eastAsia" w:ascii="宋体" w:hAnsi="宋体" w:eastAsia="宋体" w:cs="宋体"/>
          <w:bCs/>
          <w:color w:val="auto"/>
          <w:szCs w:val="24"/>
          <w:highlight w:val="none"/>
          <w:lang w:val="zh-CN"/>
        </w:rPr>
        <w:t>9、</w:t>
      </w:r>
      <w:r>
        <w:rPr>
          <w:rFonts w:hint="eastAsia" w:ascii="宋体" w:hAnsi="宋体" w:eastAsia="宋体" w:cs="宋体"/>
          <w:color w:val="auto"/>
          <w:szCs w:val="24"/>
          <w:highlight w:val="none"/>
          <w:lang w:val="zh-CN"/>
        </w:rPr>
        <w:t>在</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的商务、技术资格性检查及符合性检查过程中，</w:t>
      </w:r>
      <w:r>
        <w:rPr>
          <w:rFonts w:hint="eastAsia" w:ascii="宋体" w:hAnsi="宋体" w:eastAsia="宋体" w:cs="宋体"/>
          <w:color w:val="auto"/>
          <w:kern w:val="0"/>
          <w:szCs w:val="24"/>
          <w:highlight w:val="none"/>
          <w:lang w:val="zh-CN"/>
        </w:rPr>
        <w:t>投标人</w:t>
      </w:r>
      <w:r>
        <w:rPr>
          <w:rFonts w:hint="eastAsia" w:ascii="宋体" w:hAnsi="宋体" w:eastAsia="宋体" w:cs="宋体"/>
          <w:color w:val="auto"/>
          <w:szCs w:val="24"/>
          <w:highlight w:val="none"/>
          <w:lang w:val="zh-CN"/>
        </w:rPr>
        <w:t>可应评标委员会要求对</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中有关问题进行书面澄清。该书面澄清作为其</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的一部分。</w:t>
      </w:r>
    </w:p>
    <w:p w14:paraId="6CD118D7">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9.1  对</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中含义不明确、同类问题表述不一致或者有明显文字和计算错误的内容，评标委员会可以书面形式（由评标委员会专家签字）要求投标人作出必要的澄清、说明或者纠正。</w:t>
      </w:r>
    </w:p>
    <w:p w14:paraId="47485222">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9.2  投标人的澄清、说明或者纠正应当采用书面形式，经加盖其公章或其合法代表人（法定代表人或法定代表人授权书列明的被授权人）签署方有效，并不得超出投标文件的范围或者改变投标文件的实质性内容。</w:t>
      </w:r>
    </w:p>
    <w:p w14:paraId="5ED78DAF">
      <w:pPr>
        <w:autoSpaceDE w:val="0"/>
        <w:autoSpaceDN w:val="0"/>
        <w:adjustRightInd w:val="0"/>
        <w:spacing w:line="360" w:lineRule="auto"/>
        <w:ind w:left="529" w:right="18"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9.3  经过澄清后仍不符合要求，则该项目在下一步评审进行评分调整；若重大（实质性）偏差仍存在，且不可接受，投标人则被认为是“不响应招标文件要求的投标人”，不再进入下一步评审。</w:t>
      </w:r>
    </w:p>
    <w:p w14:paraId="1E1244F5">
      <w:pPr>
        <w:spacing w:line="360" w:lineRule="auto"/>
        <w:ind w:left="424" w:hanging="424" w:hangingChars="20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9.4  投标文件报价计算错误的修正</w:t>
      </w:r>
    </w:p>
    <w:p w14:paraId="495EDF23">
      <w:pPr>
        <w:autoSpaceDE/>
        <w:autoSpaceDN/>
        <w:adjustRightInd/>
        <w:spacing w:line="360" w:lineRule="auto"/>
        <w:ind w:left="567"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（1）评标委员会将对确定为实质上响应招标文件要求的投标文件进行校核，看其是否有计算或表达上的错误，修正错误的原则为：</w:t>
      </w:r>
    </w:p>
    <w:p w14:paraId="010AAA25">
      <w:pPr>
        <w:autoSpaceDE/>
        <w:autoSpaceDN/>
        <w:adjustRightInd/>
        <w:spacing w:line="360" w:lineRule="auto"/>
        <w:ind w:left="0" w:firstLine="420" w:firstLineChars="200"/>
        <w:jc w:val="left"/>
        <w:rPr>
          <w:rFonts w:ascii="宋体" w:hAnsi="宋体" w:eastAsia="宋体" w:cs="Times New Roman"/>
          <w:color w:val="auto"/>
          <w:kern w:val="0"/>
          <w:sz w:val="24"/>
          <w:szCs w:val="24"/>
          <w:highlight w:val="none"/>
        </w:rPr>
      </w:pP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lang w:val="en-US" w:eastAsia="zh-CN"/>
        </w:rPr>
        <w:t>A</w:t>
      </w:r>
      <w:r>
        <w:rPr>
          <w:rFonts w:hint="eastAsia" w:ascii="宋体" w:hAnsi="宋体" w:eastAsia="宋体" w:cs="宋体"/>
          <w:color w:val="auto"/>
          <w:kern w:val="0"/>
          <w:szCs w:val="21"/>
          <w:highlight w:val="none"/>
          <w:lang w:val="zh-CN"/>
        </w:rPr>
        <w:t>）当以数字表示的金额与以文字表示的金额不一致时，以文字表示的金额为准。经双方确认后，作为合同文件的组成部分。</w:t>
      </w:r>
    </w:p>
    <w:p w14:paraId="4E953DC6">
      <w:pPr>
        <w:spacing w:line="360" w:lineRule="auto"/>
        <w:ind w:left="567" w:hanging="567" w:hangingChars="270"/>
        <w:rPr>
          <w:rFonts w:ascii="宋体" w:hAnsi="宋体" w:eastAsia="宋体" w:cs="宋体"/>
          <w:b/>
          <w:color w:val="auto"/>
          <w:kern w:val="0"/>
          <w:szCs w:val="21"/>
          <w:highlight w:val="none"/>
          <w:lang w:val="zh-CN"/>
        </w:rPr>
      </w:pPr>
      <w:r>
        <w:rPr>
          <w:rFonts w:hint="eastAsia" w:ascii="宋体" w:hAnsi="宋体" w:eastAsia="宋体" w:cs="宋体"/>
          <w:color w:val="auto"/>
          <w:kern w:val="0"/>
          <w:szCs w:val="21"/>
          <w:highlight w:val="none"/>
          <w:lang w:val="zh-CN"/>
        </w:rPr>
        <w:t>（2）</w:t>
      </w:r>
      <w:r>
        <w:rPr>
          <w:rFonts w:hint="eastAsia" w:ascii="宋体" w:hAnsi="宋体" w:eastAsia="宋体" w:cs="宋体"/>
          <w:b/>
          <w:color w:val="auto"/>
          <w:kern w:val="0"/>
          <w:szCs w:val="21"/>
          <w:highlight w:val="none"/>
          <w:u w:val="single"/>
          <w:lang w:val="zh-CN"/>
        </w:rPr>
        <w:t>按上述修正</w:t>
      </w:r>
      <w:r>
        <w:rPr>
          <w:rFonts w:hint="eastAsia" w:ascii="宋体" w:hAnsi="宋体" w:eastAsia="宋体" w:cs="宋体"/>
          <w:b/>
          <w:color w:val="auto"/>
          <w:kern w:val="0"/>
          <w:szCs w:val="21"/>
          <w:highlight w:val="none"/>
          <w:u w:val="single"/>
        </w:rPr>
        <w:t>错误</w:t>
      </w:r>
      <w:r>
        <w:rPr>
          <w:rFonts w:hint="eastAsia" w:ascii="宋体" w:hAnsi="宋体" w:eastAsia="宋体" w:cs="宋体"/>
          <w:b/>
          <w:color w:val="auto"/>
          <w:kern w:val="0"/>
          <w:szCs w:val="21"/>
          <w:highlight w:val="none"/>
          <w:u w:val="single"/>
          <w:lang w:val="zh-CN"/>
        </w:rPr>
        <w:t>的原则及方法调整或修正投标文件的投标报价，调整后的投标报价对投标人起约束作用。如果投标人不接受修正后的报价，则其投标将被拒绝，作为无效投标处理</w:t>
      </w:r>
      <w:r>
        <w:rPr>
          <w:rFonts w:hint="eastAsia" w:ascii="宋体" w:hAnsi="宋体" w:eastAsia="宋体" w:cs="宋体"/>
          <w:b/>
          <w:color w:val="auto"/>
          <w:kern w:val="0"/>
          <w:szCs w:val="21"/>
          <w:highlight w:val="none"/>
          <w:lang w:val="zh-CN"/>
        </w:rPr>
        <w:t>。</w:t>
      </w:r>
    </w:p>
    <w:p w14:paraId="0BA9DA02">
      <w:pPr>
        <w:spacing w:line="360" w:lineRule="auto"/>
        <w:ind w:left="567" w:hanging="567" w:hangingChars="27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9.5  若投标人出现超低报价，有可能影响服务质量和不能诚信履约的，</w:t>
      </w:r>
      <w:r>
        <w:rPr>
          <w:rFonts w:hint="eastAsia" w:ascii="宋体" w:hAnsi="宋体" w:eastAsia="宋体" w:cs="宋体"/>
          <w:b w:val="0"/>
          <w:bCs/>
          <w:color w:val="auto"/>
          <w:szCs w:val="21"/>
          <w:highlight w:val="none"/>
          <w:lang w:val="zh-CN"/>
        </w:rPr>
        <w:t>评标委员会将要求该投标人作出书面说明并提供相关证明材料，以确定投标人是否以低于企业成本价报价。</w:t>
      </w:r>
      <w:r>
        <w:rPr>
          <w:rFonts w:hint="eastAsia" w:ascii="宋体" w:hAnsi="宋体" w:eastAsia="宋体" w:cs="宋体"/>
          <w:b/>
          <w:color w:val="auto"/>
          <w:szCs w:val="21"/>
          <w:highlight w:val="none"/>
          <w:lang w:val="zh-CN"/>
        </w:rPr>
        <w:t>若投标人不能合理说明或不能提供相关证明材料的，评标委员会将认定其投标报价低于成本，同时否决其投标。</w:t>
      </w:r>
    </w:p>
    <w:p w14:paraId="0B2C57F0">
      <w:pPr>
        <w:autoSpaceDE w:val="0"/>
        <w:autoSpaceDN w:val="0"/>
        <w:adjustRightInd w:val="0"/>
        <w:spacing w:line="360" w:lineRule="auto"/>
        <w:jc w:val="center"/>
        <w:rPr>
          <w:rFonts w:ascii="宋体" w:hAnsi="宋体" w:eastAsia="宋体" w:cs="宋体"/>
          <w:b/>
          <w:bCs/>
          <w:color w:val="auto"/>
          <w:sz w:val="28"/>
          <w:szCs w:val="28"/>
          <w:highlight w:val="none"/>
          <w:lang w:val="zh-CN"/>
        </w:rPr>
      </w:pPr>
      <w:bookmarkStart w:id="1217" w:name="_Toc8518_WPSOffice_Level1"/>
    </w:p>
    <w:p w14:paraId="651C2566">
      <w:pPr>
        <w:autoSpaceDE w:val="0"/>
        <w:autoSpaceDN w:val="0"/>
        <w:adjustRightInd w:val="0"/>
        <w:spacing w:line="360" w:lineRule="auto"/>
        <w:jc w:val="center"/>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zh-CN"/>
        </w:rPr>
        <w:t>四、比较和评价</w:t>
      </w:r>
      <w:bookmarkEnd w:id="1217"/>
    </w:p>
    <w:p w14:paraId="20F93556">
      <w:pPr>
        <w:autoSpaceDE w:val="0"/>
        <w:autoSpaceDN w:val="0"/>
        <w:adjustRightInd w:val="0"/>
        <w:spacing w:line="360" w:lineRule="auto"/>
        <w:ind w:left="422" w:leftChars="1" w:hanging="420" w:hangingChars="200"/>
        <w:rPr>
          <w:rFonts w:ascii="宋体" w:hAnsi="宋体" w:eastAsia="宋体" w:cs="宋体"/>
          <w:color w:val="auto"/>
          <w:szCs w:val="24"/>
          <w:highlight w:val="none"/>
          <w:lang w:val="zh-CN"/>
        </w:rPr>
      </w:pPr>
      <w:r>
        <w:rPr>
          <w:rFonts w:hint="eastAsia" w:ascii="宋体" w:hAnsi="宋体" w:eastAsia="宋体" w:cs="宋体"/>
          <w:bCs/>
          <w:color w:val="auto"/>
          <w:szCs w:val="24"/>
          <w:highlight w:val="none"/>
          <w:lang w:val="zh-CN"/>
        </w:rPr>
        <w:t>10、</w:t>
      </w:r>
      <w:r>
        <w:rPr>
          <w:rFonts w:hint="eastAsia" w:ascii="宋体" w:hAnsi="宋体" w:eastAsia="宋体" w:cs="宋体"/>
          <w:color w:val="auto"/>
          <w:szCs w:val="24"/>
          <w:highlight w:val="none"/>
          <w:lang w:val="zh-CN"/>
        </w:rPr>
        <w:t>评标委员会按招标文件中规定的评审方法和标准，对资格性检查和符合性检查合格的投标文件进行商务和技术评审、综合比较与评价；评标委员会根据商务和技术评审的结果，采用综合评分法，分别对投标文件的商务、技术、价格等内容进行打分。</w:t>
      </w:r>
    </w:p>
    <w:p w14:paraId="2C1B959C">
      <w:pPr>
        <w:autoSpaceDE w:val="0"/>
        <w:autoSpaceDN w:val="0"/>
        <w:adjustRightInd w:val="0"/>
        <w:spacing w:line="360" w:lineRule="auto"/>
        <w:ind w:left="422" w:leftChars="1" w:hanging="420" w:hangingChars="200"/>
        <w:rPr>
          <w:rFonts w:ascii="宋体" w:hAnsi="宋体" w:eastAsia="宋体" w:cs="宋体"/>
          <w:color w:val="auto"/>
          <w:szCs w:val="24"/>
          <w:highlight w:val="none"/>
          <w:lang w:val="zh-CN"/>
        </w:rPr>
      </w:pPr>
    </w:p>
    <w:p w14:paraId="70D1D8A6">
      <w:pPr>
        <w:tabs>
          <w:tab w:val="left" w:pos="1701"/>
        </w:tabs>
        <w:autoSpaceDE w:val="0"/>
        <w:autoSpaceDN w:val="0"/>
        <w:adjustRightInd w:val="0"/>
        <w:spacing w:line="360" w:lineRule="auto"/>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11、评委打分办法</w:t>
      </w:r>
    </w:p>
    <w:p w14:paraId="69015076">
      <w:pPr>
        <w:autoSpaceDE w:val="0"/>
        <w:autoSpaceDN w:val="0"/>
        <w:adjustRightInd w:val="0"/>
        <w:spacing w:line="360" w:lineRule="auto"/>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.1 参加评分的评委应尽力体现客观、实事求是，避免学派偏见和个人偏好。</w:t>
      </w:r>
    </w:p>
    <w:p w14:paraId="38902023">
      <w:pPr>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.2 衡量、对比的依据，应以招标文件、投标文件、提供的正式试验数据、开标澄清中的文字为准，口头回答和收集的资料只作为参考。</w:t>
      </w:r>
    </w:p>
    <w:p w14:paraId="4816C1F7">
      <w:pPr>
        <w:autoSpaceDE w:val="0"/>
        <w:autoSpaceDN w:val="0"/>
        <w:adjustRightInd w:val="0"/>
        <w:spacing w:line="360" w:lineRule="auto"/>
        <w:ind w:left="565" w:leftChars="-1" w:hanging="567" w:hangingChars="270"/>
        <w:rPr>
          <w:rFonts w:hint="eastAsia" w:ascii="宋体" w:hAnsi="宋体" w:eastAsia="宋体" w:cs="宋体"/>
          <w:color w:val="auto"/>
          <w:kern w:val="0"/>
          <w:szCs w:val="21"/>
          <w:highlight w:val="none"/>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.3 评分主要是为比较各投标人的商务、技术</w:t>
      </w:r>
      <w:r>
        <w:rPr>
          <w:rFonts w:hint="eastAsia" w:ascii="宋体" w:hAnsi="宋体" w:eastAsia="宋体" w:cs="Times New Roman"/>
          <w:color w:val="auto"/>
          <w:szCs w:val="24"/>
          <w:highlight w:val="none"/>
          <w:lang w:val="en-US" w:eastAsia="zh-CN"/>
        </w:rPr>
        <w:t>和</w:t>
      </w:r>
      <w:r>
        <w:rPr>
          <w:rFonts w:hint="eastAsia" w:ascii="宋体" w:hAnsi="宋体" w:eastAsia="宋体" w:cs="Times New Roman"/>
          <w:color w:val="auto"/>
          <w:szCs w:val="24"/>
          <w:highlight w:val="none"/>
          <w:lang w:val="zh-CN"/>
        </w:rPr>
        <w:t>价格综合排序。</w:t>
      </w:r>
      <w:r>
        <w:rPr>
          <w:rFonts w:hint="eastAsia" w:ascii="宋体" w:hAnsi="宋体" w:eastAsia="宋体" w:cs="宋体"/>
          <w:color w:val="auto"/>
          <w:kern w:val="0"/>
          <w:szCs w:val="21"/>
          <w:highlight w:val="none"/>
        </w:rPr>
        <w:t>评标委员会专家组的每一位评委根据招标文件评分标准对投标文件分别评审，对有效投标人投标文件的商务、技术、报价分别评分。</w:t>
      </w:r>
    </w:p>
    <w:p w14:paraId="00802CAE">
      <w:pPr>
        <w:autoSpaceDE w:val="0"/>
        <w:autoSpaceDN w:val="0"/>
        <w:adjustRightInd w:val="0"/>
        <w:spacing w:line="360" w:lineRule="auto"/>
        <w:ind w:left="565" w:leftChars="-1" w:hanging="567" w:hangingChars="27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评标委员会首先对商务标进行评审，按评标标准打分后，取所有评委评分的平均值得出该投标人的商务评分；</w:t>
      </w:r>
    </w:p>
    <w:p w14:paraId="2F81BBDD">
      <w:pPr>
        <w:autoSpaceDE w:val="0"/>
        <w:autoSpaceDN w:val="0"/>
        <w:adjustRightInd w:val="0"/>
        <w:spacing w:line="360" w:lineRule="auto"/>
        <w:ind w:left="565" w:leftChars="-1" w:hanging="567" w:hangingChars="270"/>
        <w:rPr>
          <w:rFonts w:hint="eastAsia" w:ascii="宋体" w:hAnsi="宋体" w:eastAsia="宋体" w:cs="宋体"/>
          <w:color w:val="auto"/>
          <w:sz w:val="21"/>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然后评标委员会对技术标进行评审，按评标标准打分后</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sz w:val="21"/>
          <w:szCs w:val="21"/>
          <w:highlight w:val="none"/>
        </w:rPr>
        <w:t>当评标委员会为五人时，在所有评委对同一份投标文件技术标评审的总评分中，去掉一个最高分和一个最低分，计算剩余总评分的算术平均值即为该投标人技术部分的</w:t>
      </w:r>
      <w:r>
        <w:rPr>
          <w:rFonts w:hint="eastAsia" w:ascii="宋体" w:hAnsi="宋体" w:eastAsia="宋体" w:cs="宋体"/>
          <w:color w:val="auto"/>
          <w:sz w:val="21"/>
          <w:szCs w:val="21"/>
          <w:highlight w:val="none"/>
          <w:lang w:val="en-US" w:eastAsia="zh-CN"/>
        </w:rPr>
        <w:t>最终综合得分</w:t>
      </w:r>
      <w:r>
        <w:rPr>
          <w:rFonts w:hint="eastAsia" w:ascii="宋体" w:hAnsi="宋体" w:eastAsia="宋体" w:cs="宋体"/>
          <w:color w:val="auto"/>
          <w:sz w:val="21"/>
          <w:szCs w:val="21"/>
          <w:highlight w:val="none"/>
        </w:rPr>
        <w:t>；当评标委员会为七人及以上单数时，在各评委的打分中，同一评委的最高评分减去最低评分，去掉分差最大评委的所有打分（出现分差相同时，按最高评分减去次最低评分进行比较，如此类推），在所有剩余评委对同一份投标文件技术部分评审的总评分中，去掉一个最高分和一个最低分，计算剩余总评分的算术平均值即为该投标人技术部分的最终综合得分；若评标委员会成员对某一项按“优、中、差”评审</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评分因素的评分低于权重分值60%的，应在评标报告中作出说明。</w:t>
      </w:r>
    </w:p>
    <w:p w14:paraId="380402A5">
      <w:pPr>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最后评标委员会对报价进行评审，按评标标准计算得出该投标人的报价评分。</w:t>
      </w:r>
    </w:p>
    <w:p w14:paraId="4FDB7A6B">
      <w:pPr>
        <w:tabs>
          <w:tab w:val="left" w:pos="600"/>
        </w:tabs>
        <w:autoSpaceDE w:val="0"/>
        <w:autoSpaceDN w:val="0"/>
        <w:adjustRightInd w:val="0"/>
        <w:spacing w:line="360" w:lineRule="auto"/>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.4 评标委员会打分采取记名形式。</w:t>
      </w:r>
    </w:p>
    <w:p w14:paraId="60FB7240">
      <w:pPr>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.5 各评委根据秘书组提供的打分表严格按照评标大纲内的评分标准独立自主打分，任何人不得要求评委统一打分或统一确定等次顺序。</w:t>
      </w:r>
    </w:p>
    <w:p w14:paraId="36917009">
      <w:pPr>
        <w:autoSpaceDE w:val="0"/>
        <w:autoSpaceDN w:val="0"/>
        <w:adjustRightInd w:val="0"/>
        <w:spacing w:line="360" w:lineRule="auto"/>
        <w:ind w:left="426" w:hanging="426"/>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.6 对打分表中的每项条款，各评委应根据投标文件、澄清材料、招标文件要求，按满足的程度给投标人打分。</w:t>
      </w:r>
    </w:p>
    <w:p w14:paraId="61C95731">
      <w:pPr>
        <w:tabs>
          <w:tab w:val="left" w:pos="600"/>
        </w:tabs>
        <w:autoSpaceDE w:val="0"/>
        <w:autoSpaceDN w:val="0"/>
        <w:adjustRightInd w:val="0"/>
        <w:spacing w:line="360" w:lineRule="auto"/>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.7 评分程序</w:t>
      </w:r>
    </w:p>
    <w:p w14:paraId="09A5C1E5">
      <w:pPr>
        <w:tabs>
          <w:tab w:val="left" w:pos="1134"/>
        </w:tabs>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1</w:t>
      </w:r>
      <w:r>
        <w:rPr>
          <w:rFonts w:hint="eastAsia" w:ascii="宋体" w:hAnsi="宋体" w:eastAsia="宋体" w:cs="Times New Roman"/>
          <w:color w:val="auto"/>
          <w:szCs w:val="24"/>
          <w:highlight w:val="none"/>
          <w:lang w:val="zh-CN"/>
        </w:rPr>
        <w:t>）就投标人的投标文件对照整理出商务、技术评标因素对比表、偏差表，并在经过校核的基础上逐项打分。</w:t>
      </w:r>
    </w:p>
    <w:p w14:paraId="1FB1DEAB">
      <w:pPr>
        <w:tabs>
          <w:tab w:val="left" w:pos="1134"/>
        </w:tabs>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2</w:t>
      </w:r>
      <w:r>
        <w:rPr>
          <w:rFonts w:hint="eastAsia" w:ascii="宋体" w:hAnsi="宋体" w:eastAsia="宋体" w:cs="Times New Roman"/>
          <w:color w:val="auto"/>
          <w:szCs w:val="24"/>
          <w:highlight w:val="none"/>
          <w:lang w:val="zh-CN"/>
        </w:rPr>
        <w:t>）各评委独立完成打分后，将统计好的评分表交给招标代理机构秘书组复核。</w:t>
      </w:r>
    </w:p>
    <w:p w14:paraId="7DA07A9E">
      <w:pPr>
        <w:tabs>
          <w:tab w:val="left" w:pos="1134"/>
        </w:tabs>
        <w:autoSpaceDE w:val="0"/>
        <w:autoSpaceDN w:val="0"/>
        <w:adjustRightInd w:val="0"/>
        <w:spacing w:line="360" w:lineRule="auto"/>
        <w:ind w:left="565" w:leftChars="-1" w:hanging="567" w:hangingChars="27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3</w:t>
      </w:r>
      <w:r>
        <w:rPr>
          <w:rFonts w:hint="eastAsia" w:ascii="宋体" w:hAnsi="宋体" w:eastAsia="宋体" w:cs="Times New Roman"/>
          <w:color w:val="auto"/>
          <w:szCs w:val="24"/>
          <w:highlight w:val="none"/>
          <w:lang w:val="zh-CN"/>
        </w:rPr>
        <w:t>）评分统计表中各投标人技术得分应为最终综合得分，商务和价格得分应为评委打分的算术平均值。</w:t>
      </w:r>
    </w:p>
    <w:p w14:paraId="2F5D6963">
      <w:pPr>
        <w:autoSpaceDE w:val="0"/>
        <w:autoSpaceDN w:val="0"/>
        <w:adjustRightInd w:val="0"/>
        <w:spacing w:line="360" w:lineRule="auto"/>
        <w:rPr>
          <w:rFonts w:ascii="宋体" w:hAnsi="宋体" w:eastAsia="宋体" w:cs="宋体"/>
          <w:color w:val="auto"/>
          <w:szCs w:val="24"/>
          <w:highlight w:val="none"/>
          <w:lang w:val="zh-CN"/>
        </w:rPr>
      </w:pPr>
    </w:p>
    <w:p w14:paraId="29537766">
      <w:pPr>
        <w:tabs>
          <w:tab w:val="left" w:pos="1701"/>
        </w:tabs>
        <w:autoSpaceDE w:val="0"/>
        <w:autoSpaceDN w:val="0"/>
        <w:adjustRightInd w:val="0"/>
        <w:spacing w:line="360" w:lineRule="auto"/>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12、评分因素及分值</w:t>
      </w:r>
    </w:p>
    <w:tbl>
      <w:tblPr>
        <w:tblStyle w:val="37"/>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197"/>
        <w:gridCol w:w="5173"/>
      </w:tblGrid>
      <w:tr w14:paraId="1EC37F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7BC9CADF">
            <w:pPr>
              <w:keepNext w:val="0"/>
              <w:keepLines w:val="0"/>
              <w:suppressLineNumbers w:val="0"/>
              <w:spacing w:before="0" w:beforeAutospacing="0" w:after="0" w:afterAutospacing="0" w:line="400" w:lineRule="exact"/>
              <w:ind w:left="0" w:right="0"/>
              <w:jc w:val="center"/>
              <w:rPr>
                <w:rFonts w:hint="default"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zh-CN"/>
              </w:rPr>
              <w:t>评分因素</w:t>
            </w:r>
          </w:p>
        </w:tc>
        <w:tc>
          <w:tcPr>
            <w:tcW w:w="2494" w:type="pct"/>
            <w:tcBorders>
              <w:top w:val="single" w:color="auto" w:sz="4" w:space="0"/>
              <w:left w:val="single" w:color="auto" w:sz="4" w:space="0"/>
              <w:bottom w:val="single" w:color="auto" w:sz="4" w:space="0"/>
              <w:right w:val="single" w:color="auto" w:sz="4" w:space="0"/>
            </w:tcBorders>
            <w:vAlign w:val="center"/>
          </w:tcPr>
          <w:p w14:paraId="45B935AC">
            <w:pPr>
              <w:keepNext w:val="0"/>
              <w:keepLines w:val="0"/>
              <w:suppressLineNumbers w:val="0"/>
              <w:spacing w:before="0" w:beforeAutospacing="0" w:after="0" w:afterAutospacing="0" w:line="400" w:lineRule="exact"/>
              <w:ind w:left="0" w:right="0"/>
              <w:jc w:val="center"/>
              <w:rPr>
                <w:rFonts w:hint="default"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zh-CN"/>
              </w:rPr>
              <w:t>分值</w:t>
            </w:r>
          </w:p>
        </w:tc>
      </w:tr>
      <w:tr w14:paraId="45B725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0F578011">
            <w:pPr>
              <w:keepNext w:val="0"/>
              <w:keepLines w:val="0"/>
              <w:suppressLineNumbers w:val="0"/>
              <w:spacing w:before="0" w:beforeAutospacing="0" w:after="0" w:afterAutospacing="0" w:line="400" w:lineRule="exact"/>
              <w:ind w:left="0" w:right="0"/>
              <w:jc w:val="center"/>
              <w:rPr>
                <w:rFonts w:hint="default" w:ascii="宋体" w:hAnsi="宋体" w:eastAsia="宋体" w:cs="宋体"/>
                <w:bCs/>
                <w:color w:val="auto"/>
                <w:kern w:val="0"/>
                <w:sz w:val="21"/>
                <w:szCs w:val="21"/>
                <w:highlight w:val="none"/>
                <w:lang w:val="zh-CN"/>
              </w:rPr>
            </w:pPr>
            <w:r>
              <w:rPr>
                <w:rFonts w:hint="eastAsia" w:ascii="宋体" w:hAnsi="宋体" w:eastAsia="宋体" w:cs="宋体"/>
                <w:bCs/>
                <w:color w:val="auto"/>
                <w:kern w:val="0"/>
                <w:sz w:val="21"/>
                <w:szCs w:val="21"/>
                <w:highlight w:val="none"/>
                <w:lang w:val="zh-CN"/>
              </w:rPr>
              <w:t>1、商务</w:t>
            </w:r>
          </w:p>
        </w:tc>
        <w:tc>
          <w:tcPr>
            <w:tcW w:w="2494" w:type="pct"/>
            <w:tcBorders>
              <w:top w:val="single" w:color="auto" w:sz="4" w:space="0"/>
              <w:left w:val="single" w:color="auto" w:sz="4" w:space="0"/>
              <w:bottom w:val="single" w:color="auto" w:sz="4" w:space="0"/>
              <w:right w:val="single" w:color="auto" w:sz="4" w:space="0"/>
            </w:tcBorders>
            <w:vAlign w:val="center"/>
          </w:tcPr>
          <w:p w14:paraId="5441B66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Cs/>
                <w:color w:val="auto"/>
                <w:kern w:val="0"/>
                <w:sz w:val="21"/>
                <w:szCs w:val="21"/>
                <w:highlight w:val="none"/>
                <w:lang w:val="zh-CN"/>
              </w:rPr>
            </w:pPr>
            <w:r>
              <w:rPr>
                <w:rFonts w:hint="eastAsia" w:ascii="宋体" w:hAnsi="宋体" w:eastAsia="宋体" w:cs="宋体"/>
                <w:b/>
                <w:color w:val="auto"/>
                <w:sz w:val="21"/>
                <w:szCs w:val="21"/>
                <w:highlight w:val="none"/>
                <w:lang w:val="en-US" w:eastAsia="zh-CN"/>
              </w:rPr>
              <w:t>15</w:t>
            </w:r>
            <w:r>
              <w:rPr>
                <w:rFonts w:hint="eastAsia" w:ascii="宋体" w:hAnsi="宋体" w:eastAsia="宋体" w:cs="宋体"/>
                <w:b/>
                <w:color w:val="auto"/>
                <w:sz w:val="21"/>
                <w:szCs w:val="21"/>
                <w:highlight w:val="none"/>
                <w:lang w:val="zh-CN"/>
              </w:rPr>
              <w:t>分</w:t>
            </w:r>
          </w:p>
        </w:tc>
      </w:tr>
      <w:tr w14:paraId="027836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47DD007E">
            <w:pPr>
              <w:keepNext w:val="0"/>
              <w:keepLines w:val="0"/>
              <w:suppressLineNumbers w:val="0"/>
              <w:spacing w:before="0" w:beforeAutospacing="0" w:after="0" w:afterAutospacing="0" w:line="400" w:lineRule="exact"/>
              <w:ind w:left="0" w:right="0"/>
              <w:jc w:val="center"/>
              <w:rPr>
                <w:rFonts w:hint="default" w:ascii="宋体" w:hAnsi="宋体" w:eastAsia="宋体" w:cs="宋体"/>
                <w:bCs/>
                <w:color w:val="auto"/>
                <w:kern w:val="0"/>
                <w:sz w:val="21"/>
                <w:szCs w:val="21"/>
                <w:highlight w:val="none"/>
                <w:lang w:val="zh-CN"/>
              </w:rPr>
            </w:pPr>
            <w:r>
              <w:rPr>
                <w:rFonts w:hint="eastAsia" w:ascii="宋体" w:hAnsi="宋体" w:eastAsia="宋体" w:cs="宋体"/>
                <w:bCs/>
                <w:color w:val="auto"/>
                <w:kern w:val="0"/>
                <w:sz w:val="21"/>
                <w:szCs w:val="21"/>
                <w:highlight w:val="none"/>
                <w:lang w:val="zh-CN"/>
              </w:rPr>
              <w:t>2、技术</w:t>
            </w:r>
          </w:p>
        </w:tc>
        <w:tc>
          <w:tcPr>
            <w:tcW w:w="2494" w:type="pct"/>
            <w:tcBorders>
              <w:top w:val="single" w:color="auto" w:sz="4" w:space="0"/>
              <w:left w:val="single" w:color="auto" w:sz="4" w:space="0"/>
              <w:bottom w:val="single" w:color="auto" w:sz="4" w:space="0"/>
              <w:right w:val="single" w:color="auto" w:sz="4" w:space="0"/>
            </w:tcBorders>
            <w:vAlign w:val="center"/>
          </w:tcPr>
          <w:p w14:paraId="45F40CD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Cs/>
                <w:color w:val="auto"/>
                <w:kern w:val="0"/>
                <w:sz w:val="21"/>
                <w:szCs w:val="21"/>
                <w:highlight w:val="none"/>
                <w:lang w:val="zh-CN"/>
              </w:rPr>
            </w:pPr>
            <w:r>
              <w:rPr>
                <w:rFonts w:hint="eastAsia" w:ascii="宋体" w:hAnsi="宋体" w:eastAsia="宋体" w:cs="宋体"/>
                <w:b/>
                <w:color w:val="auto"/>
                <w:sz w:val="21"/>
                <w:szCs w:val="21"/>
                <w:highlight w:val="none"/>
                <w:lang w:val="en-US" w:eastAsia="zh-CN"/>
              </w:rPr>
              <w:t>35</w:t>
            </w:r>
            <w:r>
              <w:rPr>
                <w:rFonts w:hint="eastAsia" w:ascii="宋体" w:hAnsi="宋体" w:eastAsia="宋体" w:cs="宋体"/>
                <w:b/>
                <w:color w:val="auto"/>
                <w:sz w:val="21"/>
                <w:szCs w:val="21"/>
                <w:highlight w:val="none"/>
                <w:lang w:val="zh-CN"/>
              </w:rPr>
              <w:t>分</w:t>
            </w:r>
          </w:p>
        </w:tc>
      </w:tr>
      <w:tr w14:paraId="65136D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356E2071">
            <w:pPr>
              <w:keepNext w:val="0"/>
              <w:keepLines w:val="0"/>
              <w:suppressLineNumbers w:val="0"/>
              <w:spacing w:before="0" w:beforeAutospacing="0" w:after="0" w:afterAutospacing="0" w:line="400" w:lineRule="exact"/>
              <w:ind w:left="0" w:right="0"/>
              <w:jc w:val="center"/>
              <w:rPr>
                <w:rFonts w:hint="default" w:ascii="宋体" w:hAnsi="宋体" w:eastAsia="宋体" w:cs="宋体"/>
                <w:bCs/>
                <w:color w:val="auto"/>
                <w:kern w:val="0"/>
                <w:sz w:val="21"/>
                <w:szCs w:val="21"/>
                <w:highlight w:val="none"/>
                <w:lang w:val="zh-CN"/>
              </w:rPr>
            </w:pPr>
            <w:r>
              <w:rPr>
                <w:rFonts w:hint="eastAsia" w:ascii="宋体" w:hAnsi="宋体" w:eastAsia="宋体" w:cs="宋体"/>
                <w:bCs/>
                <w:color w:val="auto"/>
                <w:kern w:val="0"/>
                <w:sz w:val="21"/>
                <w:szCs w:val="21"/>
                <w:highlight w:val="none"/>
                <w:lang w:val="zh-CN"/>
              </w:rPr>
              <w:t>3、价格</w:t>
            </w:r>
          </w:p>
        </w:tc>
        <w:tc>
          <w:tcPr>
            <w:tcW w:w="2494" w:type="pct"/>
            <w:tcBorders>
              <w:top w:val="single" w:color="auto" w:sz="4" w:space="0"/>
              <w:left w:val="single" w:color="auto" w:sz="4" w:space="0"/>
              <w:bottom w:val="single" w:color="auto" w:sz="4" w:space="0"/>
              <w:right w:val="single" w:color="auto" w:sz="4" w:space="0"/>
            </w:tcBorders>
            <w:vAlign w:val="center"/>
          </w:tcPr>
          <w:p w14:paraId="435839A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Cs/>
                <w:color w:val="auto"/>
                <w:kern w:val="0"/>
                <w:sz w:val="21"/>
                <w:szCs w:val="21"/>
                <w:highlight w:val="none"/>
                <w:lang w:val="zh-CN"/>
              </w:rPr>
            </w:pPr>
            <w:r>
              <w:rPr>
                <w:rFonts w:hint="eastAsia" w:ascii="宋体" w:hAnsi="宋体" w:eastAsia="宋体" w:cs="宋体"/>
                <w:b/>
                <w:color w:val="auto"/>
                <w:sz w:val="21"/>
                <w:szCs w:val="21"/>
                <w:highlight w:val="none"/>
                <w:lang w:val="en-US" w:eastAsia="zh-CN"/>
              </w:rPr>
              <w:t>50</w:t>
            </w:r>
            <w:r>
              <w:rPr>
                <w:rFonts w:hint="eastAsia" w:ascii="宋体" w:hAnsi="宋体" w:eastAsia="宋体" w:cs="宋体"/>
                <w:b/>
                <w:color w:val="auto"/>
                <w:sz w:val="21"/>
                <w:szCs w:val="21"/>
                <w:highlight w:val="none"/>
                <w:lang w:val="zh-CN"/>
              </w:rPr>
              <w:t>分</w:t>
            </w:r>
          </w:p>
        </w:tc>
      </w:tr>
    </w:tbl>
    <w:p w14:paraId="1CCD98C6">
      <w:pPr>
        <w:tabs>
          <w:tab w:val="left" w:pos="585"/>
        </w:tabs>
        <w:autoSpaceDE w:val="0"/>
        <w:autoSpaceDN w:val="0"/>
        <w:adjustRightInd w:val="0"/>
        <w:spacing w:line="360" w:lineRule="auto"/>
        <w:rPr>
          <w:rFonts w:ascii="宋体" w:hAnsi="宋体" w:eastAsia="宋体" w:cs="宋体"/>
          <w:b/>
          <w:color w:val="auto"/>
          <w:szCs w:val="21"/>
          <w:highlight w:val="none"/>
        </w:rPr>
      </w:pPr>
      <w:bookmarkStart w:id="1218" w:name="_Toc18349_WPSOffice_Level2"/>
    </w:p>
    <w:p w14:paraId="63ED22A6">
      <w:pPr>
        <w:tabs>
          <w:tab w:val="left" w:pos="585"/>
        </w:tabs>
        <w:autoSpaceDE w:val="0"/>
        <w:autoSpaceDN w:val="0"/>
        <w:adjustRightInd w:val="0"/>
        <w:spacing w:line="360" w:lineRule="auto"/>
        <w:rPr>
          <w:rFonts w:ascii="宋体" w:hAnsi="宋体" w:eastAsia="宋体" w:cs="宋体"/>
          <w:b/>
          <w:color w:val="auto"/>
          <w:szCs w:val="21"/>
          <w:highlight w:val="none"/>
          <w:lang w:val="en-US"/>
        </w:rPr>
      </w:pPr>
      <w:r>
        <w:rPr>
          <w:rFonts w:hint="eastAsia" w:ascii="宋体" w:hAnsi="宋体" w:eastAsia="宋体" w:cs="宋体"/>
          <w:b/>
          <w:color w:val="auto"/>
          <w:szCs w:val="21"/>
          <w:highlight w:val="none"/>
        </w:rPr>
        <w:t>（1）</w:t>
      </w:r>
      <w:r>
        <w:rPr>
          <w:rFonts w:hint="eastAsia" w:ascii="宋体" w:hAnsi="宋体" w:eastAsia="宋体" w:cs="宋体"/>
          <w:b/>
          <w:color w:val="auto"/>
          <w:szCs w:val="21"/>
          <w:highlight w:val="none"/>
          <w:lang w:val="zh-CN"/>
        </w:rPr>
        <w:t>商务：总分</w:t>
      </w:r>
      <w:bookmarkEnd w:id="1218"/>
      <w:r>
        <w:rPr>
          <w:rFonts w:hint="eastAsia" w:ascii="宋体" w:hAnsi="宋体" w:eastAsia="宋体" w:cs="宋体"/>
          <w:b/>
          <w:color w:val="auto"/>
          <w:szCs w:val="21"/>
          <w:highlight w:val="none"/>
          <w:lang w:val="en-US" w:eastAsia="zh-CN"/>
        </w:rPr>
        <w:t>15分</w:t>
      </w:r>
    </w:p>
    <w:tbl>
      <w:tblPr>
        <w:tblStyle w:val="3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1133"/>
        <w:gridCol w:w="7658"/>
        <w:gridCol w:w="907"/>
      </w:tblGrid>
      <w:tr w14:paraId="3CD33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1" w:hRule="atLeast"/>
          <w:jc w:val="center"/>
        </w:trPr>
        <w:tc>
          <w:tcPr>
            <w:tcW w:w="324" w:type="pct"/>
            <w:tcBorders>
              <w:top w:val="single" w:color="auto" w:sz="4" w:space="0"/>
              <w:left w:val="single" w:color="auto" w:sz="4" w:space="0"/>
              <w:bottom w:val="single" w:color="auto" w:sz="4" w:space="0"/>
              <w:right w:val="single" w:color="auto" w:sz="4" w:space="0"/>
            </w:tcBorders>
            <w:vAlign w:val="bottom"/>
          </w:tcPr>
          <w:p w14:paraId="4A76E77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546" w:type="pct"/>
            <w:tcBorders>
              <w:top w:val="single" w:color="auto" w:sz="4" w:space="0"/>
              <w:left w:val="single" w:color="auto" w:sz="4" w:space="0"/>
              <w:bottom w:val="single" w:color="auto" w:sz="4" w:space="0"/>
              <w:right w:val="single" w:color="auto" w:sz="4" w:space="0"/>
            </w:tcBorders>
            <w:vAlign w:val="bottom"/>
          </w:tcPr>
          <w:p w14:paraId="514F03B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
                <w:color w:val="auto"/>
                <w:kern w:val="0"/>
                <w:szCs w:val="21"/>
                <w:highlight w:val="none"/>
              </w:rPr>
            </w:pPr>
            <w:r>
              <w:rPr>
                <w:rFonts w:hint="eastAsia" w:ascii="宋体" w:hAnsi="宋体" w:eastAsia="宋体" w:cs="宋体"/>
                <w:b/>
                <w:color w:val="auto"/>
                <w:szCs w:val="21"/>
                <w:highlight w:val="none"/>
                <w:lang w:val="zh-CN"/>
              </w:rPr>
              <w:t>评审内容</w:t>
            </w:r>
          </w:p>
        </w:tc>
        <w:tc>
          <w:tcPr>
            <w:tcW w:w="3691" w:type="pct"/>
            <w:tcBorders>
              <w:top w:val="single" w:color="auto" w:sz="4" w:space="0"/>
              <w:left w:val="single" w:color="auto" w:sz="4" w:space="0"/>
              <w:bottom w:val="single" w:color="auto" w:sz="4" w:space="0"/>
              <w:right w:val="single" w:color="auto" w:sz="4" w:space="0"/>
            </w:tcBorders>
            <w:vAlign w:val="bottom"/>
          </w:tcPr>
          <w:p w14:paraId="6FA3DBF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评审细则</w:t>
            </w:r>
          </w:p>
        </w:tc>
        <w:tc>
          <w:tcPr>
            <w:tcW w:w="437" w:type="pct"/>
            <w:tcBorders>
              <w:top w:val="single" w:color="auto" w:sz="4" w:space="0"/>
              <w:left w:val="single" w:color="auto" w:sz="4" w:space="0"/>
              <w:bottom w:val="single" w:color="auto" w:sz="4" w:space="0"/>
              <w:right w:val="single" w:color="auto" w:sz="4" w:space="0"/>
            </w:tcBorders>
            <w:vAlign w:val="bottom"/>
          </w:tcPr>
          <w:p w14:paraId="47A38B0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满分值</w:t>
            </w:r>
          </w:p>
        </w:tc>
      </w:tr>
      <w:tr w14:paraId="64C02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14:paraId="2FDDF0F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sz w:val="21"/>
                <w:szCs w:val="21"/>
                <w:highlight w:val="none"/>
              </w:rPr>
              <w:t>1</w:t>
            </w:r>
          </w:p>
        </w:tc>
        <w:tc>
          <w:tcPr>
            <w:tcW w:w="546" w:type="pct"/>
            <w:tcBorders>
              <w:top w:val="single" w:color="auto" w:sz="4" w:space="0"/>
              <w:left w:val="single" w:color="auto" w:sz="4" w:space="0"/>
              <w:bottom w:val="single" w:color="auto" w:sz="4" w:space="0"/>
              <w:right w:val="single" w:color="auto" w:sz="4" w:space="0"/>
            </w:tcBorders>
            <w:vAlign w:val="center"/>
          </w:tcPr>
          <w:p w14:paraId="79A15353">
            <w:pPr>
              <w:keepNext w:val="0"/>
              <w:keepLines w:val="0"/>
              <w:suppressLineNumbers w:val="0"/>
              <w:autoSpaceDE w:val="0"/>
              <w:autoSpaceDN w:val="0"/>
              <w:spacing w:before="0" w:beforeAutospacing="0" w:after="0" w:afterAutospacing="0" w:line="400" w:lineRule="exact"/>
              <w:ind w:left="0" w:right="0"/>
              <w:jc w:val="center"/>
              <w:rPr>
                <w:rFonts w:hint="default" w:ascii="宋体" w:hAnsi="宋体" w:eastAsia="宋体" w:cs="Times New Roman"/>
                <w:bCs/>
                <w:color w:val="auto"/>
                <w:kern w:val="0"/>
                <w:sz w:val="24"/>
                <w:szCs w:val="21"/>
                <w:highlight w:val="none"/>
              </w:rPr>
            </w:pPr>
            <w:r>
              <w:rPr>
                <w:rFonts w:hint="eastAsia" w:ascii="宋体" w:hAnsi="宋体" w:eastAsia="宋体" w:cs="宋体"/>
                <w:color w:val="auto"/>
                <w:kern w:val="2"/>
                <w:sz w:val="21"/>
                <w:szCs w:val="21"/>
                <w:highlight w:val="none"/>
                <w:lang w:val="zh-CN"/>
              </w:rPr>
              <w:t>财务状况</w:t>
            </w:r>
          </w:p>
        </w:tc>
        <w:tc>
          <w:tcPr>
            <w:tcW w:w="3691" w:type="pct"/>
            <w:tcBorders>
              <w:top w:val="single" w:color="auto" w:sz="4" w:space="0"/>
              <w:left w:val="single" w:color="auto" w:sz="4" w:space="0"/>
              <w:bottom w:val="single" w:color="auto" w:sz="4" w:space="0"/>
              <w:right w:val="single" w:color="auto" w:sz="4" w:space="0"/>
            </w:tcBorders>
            <w:vAlign w:val="center"/>
          </w:tcPr>
          <w:p w14:paraId="1AE57AC3">
            <w:pPr>
              <w:keepNext w:val="0"/>
              <w:keepLines w:val="0"/>
              <w:suppressLineNumbers w:val="0"/>
              <w:spacing w:before="0" w:beforeAutospacing="0" w:after="0" w:afterAutospacing="0" w:line="400" w:lineRule="exact"/>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投标人202</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年-202</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年三个年度，每具有1个年度盈利的得1分，满分3分。</w:t>
            </w:r>
          </w:p>
          <w:p w14:paraId="043FD00B">
            <w:pPr>
              <w:keepNext w:val="0"/>
              <w:keepLines w:val="0"/>
              <w:suppressLineNumbers w:val="0"/>
              <w:autoSpaceDE w:val="0"/>
              <w:autoSpaceDN w:val="0"/>
              <w:spacing w:before="0" w:beforeAutospacing="0" w:after="0" w:afterAutospacing="0" w:line="400" w:lineRule="exact"/>
              <w:ind w:left="0" w:right="0"/>
              <w:jc w:val="left"/>
              <w:rPr>
                <w:rFonts w:hint="default" w:ascii="宋体" w:hAnsi="宋体" w:eastAsia="宋体" w:cs="Times New Roman"/>
                <w:b/>
                <w:color w:val="auto"/>
                <w:kern w:val="0"/>
                <w:szCs w:val="21"/>
                <w:highlight w:val="none"/>
                <w:lang w:val="zh-CN"/>
              </w:rPr>
            </w:pPr>
            <w:r>
              <w:rPr>
                <w:rFonts w:hint="eastAsia" w:ascii="宋体" w:hAnsi="宋体" w:eastAsia="宋体" w:cs="宋体"/>
                <w:b/>
                <w:bCs/>
                <w:color w:val="auto"/>
                <w:sz w:val="21"/>
                <w:szCs w:val="21"/>
                <w:highlight w:val="none"/>
              </w:rPr>
              <w:t>备注：</w:t>
            </w:r>
            <w:r>
              <w:rPr>
                <w:rFonts w:hint="eastAsia" w:ascii="宋体" w:hAnsi="宋体" w:eastAsia="宋体" w:cs="宋体"/>
                <w:b/>
                <w:color w:val="auto"/>
                <w:sz w:val="21"/>
                <w:szCs w:val="21"/>
                <w:highlight w:val="none"/>
                <w:lang w:val="zh-CN"/>
              </w:rPr>
              <w:t>盈利指净利润为正数（非零、非负数），投标人应提供202</w:t>
            </w: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lang w:val="zh-CN"/>
              </w:rPr>
              <w:t>年、202</w:t>
            </w: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lang w:val="zh-CN"/>
              </w:rPr>
              <w:t>年、202</w:t>
            </w:r>
            <w:r>
              <w:rPr>
                <w:rFonts w:hint="eastAsia" w:ascii="宋体" w:hAnsi="宋体" w:eastAsia="宋体" w:cs="宋体"/>
                <w:b/>
                <w:color w:val="auto"/>
                <w:sz w:val="21"/>
                <w:szCs w:val="21"/>
                <w:highlight w:val="none"/>
                <w:lang w:val="en-US" w:eastAsia="zh-CN"/>
              </w:rPr>
              <w:t>3</w:t>
            </w:r>
            <w:r>
              <w:rPr>
                <w:rFonts w:hint="eastAsia" w:ascii="宋体" w:hAnsi="宋体" w:eastAsia="宋体" w:cs="宋体"/>
                <w:b/>
                <w:color w:val="auto"/>
                <w:sz w:val="21"/>
                <w:szCs w:val="21"/>
                <w:highlight w:val="none"/>
                <w:lang w:val="zh-CN"/>
              </w:rPr>
              <w:t>年三个年度的财务报表，净利润以对应年度经审计的财务报表为准，应提供经独立会计师事务所审计过的有效的财务报表复印件；未提供前述财务报表或财务报表未能反映净利润的，不得分</w:t>
            </w:r>
            <w:r>
              <w:rPr>
                <w:rFonts w:hint="eastAsia" w:ascii="宋体" w:hAnsi="宋体" w:eastAsia="宋体" w:cs="宋体"/>
                <w:color w:val="auto"/>
                <w:sz w:val="21"/>
                <w:szCs w:val="21"/>
                <w:highlight w:val="none"/>
                <w:lang w:val="zh-CN"/>
              </w:rPr>
              <w:t>。</w:t>
            </w:r>
          </w:p>
        </w:tc>
        <w:tc>
          <w:tcPr>
            <w:tcW w:w="437" w:type="pct"/>
            <w:tcBorders>
              <w:top w:val="single" w:color="auto" w:sz="4" w:space="0"/>
              <w:left w:val="single" w:color="auto" w:sz="4" w:space="0"/>
              <w:bottom w:val="single" w:color="auto" w:sz="4" w:space="0"/>
              <w:right w:val="single" w:color="auto" w:sz="4" w:space="0"/>
            </w:tcBorders>
            <w:vAlign w:val="center"/>
          </w:tcPr>
          <w:p w14:paraId="2F25F85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3分</w:t>
            </w:r>
          </w:p>
        </w:tc>
      </w:tr>
      <w:tr w14:paraId="6B942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14:paraId="68A1CFDE">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546" w:type="pct"/>
            <w:tcBorders>
              <w:top w:val="single" w:color="auto" w:sz="4" w:space="0"/>
              <w:left w:val="single" w:color="auto" w:sz="4" w:space="0"/>
              <w:bottom w:val="single" w:color="auto" w:sz="4" w:space="0"/>
              <w:right w:val="single" w:color="auto" w:sz="4" w:space="0"/>
            </w:tcBorders>
            <w:vAlign w:val="center"/>
          </w:tcPr>
          <w:p w14:paraId="4A1CE764">
            <w:pPr>
              <w:keepNext w:val="0"/>
              <w:keepLines w:val="0"/>
              <w:suppressLineNumbers w:val="0"/>
              <w:autoSpaceDE w:val="0"/>
              <w:autoSpaceDN w:val="0"/>
              <w:spacing w:before="0" w:beforeAutospacing="0" w:after="0" w:afterAutospacing="0" w:line="400" w:lineRule="exact"/>
              <w:ind w:left="0" w:right="0"/>
              <w:jc w:val="center"/>
              <w:rPr>
                <w:rFonts w:hint="eastAsia" w:ascii="宋体" w:hAnsi="宋体" w:eastAsia="宋体" w:cs="宋体"/>
                <w:color w:val="auto"/>
                <w:kern w:val="2"/>
                <w:sz w:val="21"/>
                <w:szCs w:val="21"/>
                <w:highlight w:val="none"/>
                <w:lang w:val="zh-CN"/>
              </w:rPr>
            </w:pPr>
            <w:r>
              <w:rPr>
                <w:rFonts w:hint="eastAsia" w:ascii="宋体" w:hAnsi="宋体" w:eastAsia="宋体" w:cs="宋体"/>
                <w:i w:val="0"/>
                <w:color w:val="auto"/>
                <w:sz w:val="21"/>
                <w:szCs w:val="21"/>
                <w:highlight w:val="none"/>
                <w:u w:val="none"/>
                <w:lang w:val="en-US" w:eastAsia="zh-CN"/>
              </w:rPr>
              <w:t>标准化程度</w:t>
            </w:r>
          </w:p>
        </w:tc>
        <w:tc>
          <w:tcPr>
            <w:tcW w:w="3691" w:type="pct"/>
            <w:tcBorders>
              <w:top w:val="single" w:color="auto" w:sz="4" w:space="0"/>
              <w:left w:val="single" w:color="auto" w:sz="4" w:space="0"/>
              <w:bottom w:val="single" w:color="auto" w:sz="4" w:space="0"/>
              <w:right w:val="single" w:color="auto" w:sz="4" w:space="0"/>
            </w:tcBorders>
            <w:vAlign w:val="center"/>
          </w:tcPr>
          <w:p w14:paraId="3B0D1D5A">
            <w:pPr>
              <w:keepNext w:val="0"/>
              <w:keepLines w:val="0"/>
              <w:suppressLineNumbers w:val="0"/>
              <w:autoSpaceDE w:val="0"/>
              <w:autoSpaceDN w:val="0"/>
              <w:spacing w:before="0" w:beforeAutospacing="0" w:after="0" w:afterAutospacing="0" w:line="400" w:lineRule="exact"/>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(1)投标人具有有效期内的ISO9001质量管理体系认证证书得1分；</w:t>
            </w:r>
          </w:p>
          <w:p w14:paraId="02D25C9E">
            <w:pPr>
              <w:keepNext w:val="0"/>
              <w:keepLines w:val="0"/>
              <w:suppressLineNumbers w:val="0"/>
              <w:autoSpaceDE w:val="0"/>
              <w:autoSpaceDN w:val="0"/>
              <w:spacing w:before="0" w:beforeAutospacing="0" w:after="0" w:afterAutospacing="0" w:line="400" w:lineRule="exact"/>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(2)投标人具有有效期内的ISO14001环境管理体系认证证书得1分；</w:t>
            </w:r>
          </w:p>
          <w:p w14:paraId="43BA19B4">
            <w:pPr>
              <w:keepNext w:val="0"/>
              <w:keepLines w:val="0"/>
              <w:suppressLineNumbers w:val="0"/>
              <w:autoSpaceDE w:val="0"/>
              <w:autoSpaceDN w:val="0"/>
              <w:spacing w:before="0" w:beforeAutospacing="0" w:after="0" w:afterAutospacing="0" w:line="400" w:lineRule="exact"/>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(3)投标人具有有效期内的OHSAS18001（或GB/T45001-2020，或IS045001）职业健康安全管理体系认证证书得1分。</w:t>
            </w:r>
          </w:p>
          <w:p w14:paraId="23B2DF31">
            <w:pPr>
              <w:keepNext w:val="0"/>
              <w:keepLines w:val="0"/>
              <w:suppressLineNumbers w:val="0"/>
              <w:autoSpaceDE w:val="0"/>
              <w:autoSpaceDN w:val="0"/>
              <w:spacing w:before="0" w:beforeAutospacing="0" w:after="0" w:afterAutospacing="0" w:line="400" w:lineRule="exact"/>
              <w:ind w:left="0" w:right="0"/>
              <w:jc w:val="lef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备注：</w:t>
            </w:r>
          </w:p>
          <w:p w14:paraId="4603CA7D">
            <w:pPr>
              <w:keepNext w:val="0"/>
              <w:keepLines w:val="0"/>
              <w:suppressLineNumbers w:val="0"/>
              <w:autoSpaceDE w:val="0"/>
              <w:autoSpaceDN w:val="0"/>
              <w:spacing w:before="0" w:beforeAutospacing="0" w:after="0" w:afterAutospacing="0" w:line="400" w:lineRule="exact"/>
              <w:ind w:left="0" w:right="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投标人应提供上述有效证书复印件及能显示证书有效状态的全国认证认可信息公共服务平台（http://cx.cnca.cn/）查询结果凭证[凭证界面需显示有“全国认证认可信息公共服务平台”或“认证证书（需显示网址cx.cnca.cn）”]，否则不得分。</w:t>
            </w:r>
          </w:p>
        </w:tc>
        <w:tc>
          <w:tcPr>
            <w:tcW w:w="437" w:type="pct"/>
            <w:tcBorders>
              <w:top w:val="single" w:color="auto" w:sz="4" w:space="0"/>
              <w:left w:val="single" w:color="auto" w:sz="4" w:space="0"/>
              <w:bottom w:val="single" w:color="auto" w:sz="4" w:space="0"/>
              <w:right w:val="single" w:color="auto" w:sz="4" w:space="0"/>
            </w:tcBorders>
            <w:vAlign w:val="center"/>
          </w:tcPr>
          <w:p w14:paraId="61E8512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3分</w:t>
            </w:r>
          </w:p>
        </w:tc>
      </w:tr>
      <w:tr w14:paraId="413F2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4" w:type="pct"/>
            <w:tcBorders>
              <w:top w:val="single" w:color="auto" w:sz="4" w:space="0"/>
              <w:left w:val="single" w:color="auto" w:sz="4" w:space="0"/>
              <w:bottom w:val="single" w:color="auto" w:sz="4" w:space="0"/>
              <w:right w:val="single" w:color="auto" w:sz="4" w:space="0"/>
            </w:tcBorders>
            <w:vAlign w:val="center"/>
          </w:tcPr>
          <w:p w14:paraId="1B2F20E8">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w:t>
            </w:r>
          </w:p>
        </w:tc>
        <w:tc>
          <w:tcPr>
            <w:tcW w:w="546" w:type="pct"/>
            <w:tcBorders>
              <w:top w:val="single" w:color="auto" w:sz="4" w:space="0"/>
              <w:left w:val="single" w:color="auto" w:sz="4" w:space="0"/>
              <w:bottom w:val="single" w:color="auto" w:sz="4" w:space="0"/>
              <w:right w:val="single" w:color="auto" w:sz="4" w:space="0"/>
            </w:tcBorders>
            <w:vAlign w:val="center"/>
          </w:tcPr>
          <w:p w14:paraId="24C07B0C">
            <w:pPr>
              <w:keepNext w:val="0"/>
              <w:keepLines w:val="0"/>
              <w:suppressLineNumbers w:val="0"/>
              <w:autoSpaceDE w:val="0"/>
              <w:autoSpaceDN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zh-CN"/>
              </w:rPr>
            </w:pPr>
            <w:r>
              <w:rPr>
                <w:rFonts w:hint="eastAsia" w:ascii="宋体" w:hAnsi="宋体" w:eastAsia="宋体" w:cs="宋体"/>
                <w:color w:val="auto"/>
                <w:sz w:val="21"/>
                <w:szCs w:val="21"/>
                <w:highlight w:val="none"/>
              </w:rPr>
              <w:t>业绩</w:t>
            </w:r>
          </w:p>
        </w:tc>
        <w:tc>
          <w:tcPr>
            <w:tcW w:w="3691" w:type="pct"/>
            <w:tcBorders>
              <w:top w:val="single" w:color="auto" w:sz="4" w:space="0"/>
              <w:left w:val="single" w:color="auto" w:sz="4" w:space="0"/>
              <w:bottom w:val="single" w:color="auto" w:sz="4" w:space="0"/>
              <w:right w:val="single" w:color="auto" w:sz="4" w:space="0"/>
            </w:tcBorders>
            <w:vAlign w:val="center"/>
          </w:tcPr>
          <w:p w14:paraId="5232CAA9">
            <w:pPr>
              <w:keepNext w:val="0"/>
              <w:keepLines w:val="0"/>
              <w:widowControl w:val="0"/>
              <w:suppressLineNumbers w:val="0"/>
              <w:autoSpaceDE w:val="0"/>
              <w:autoSpaceDN w:val="0"/>
              <w:spacing w:before="0" w:beforeAutospacing="0" w:after="0" w:afterAutospacing="0" w:line="400" w:lineRule="exact"/>
              <w:ind w:left="0" w:leftChars="0" w:right="0" w:rightChars="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投标人具有的已完成或正在执行运营服务的水质净化厂或生活污水处理厂污泥处理处置服务业绩（合同服务结束日期为2022年1月1日或以后）进行评审，满分9分。</w:t>
            </w:r>
          </w:p>
          <w:p w14:paraId="183F5969">
            <w:pPr>
              <w:keepNext w:val="0"/>
              <w:keepLines w:val="0"/>
              <w:widowControl w:val="0"/>
              <w:suppressLineNumbers w:val="0"/>
              <w:autoSpaceDE w:val="0"/>
              <w:autoSpaceDN w:val="0"/>
              <w:spacing w:before="0" w:beforeAutospacing="0" w:after="0" w:afterAutospacing="0" w:line="400" w:lineRule="exact"/>
              <w:ind w:left="0" w:leftChars="0" w:right="0" w:rightChars="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(1)每提供一个【水质净化厂或生活污水处理厂的污水设计或实际处理规模≥200万吨/日（或立方米/日）】的前述业绩合同的，得7分；</w:t>
            </w:r>
          </w:p>
          <w:p w14:paraId="627836BC">
            <w:pPr>
              <w:keepNext w:val="0"/>
              <w:keepLines w:val="0"/>
              <w:widowControl w:val="0"/>
              <w:suppressLineNumbers w:val="0"/>
              <w:autoSpaceDE w:val="0"/>
              <w:autoSpaceDN w:val="0"/>
              <w:spacing w:before="0" w:beforeAutospacing="0" w:after="0" w:afterAutospacing="0" w:line="400" w:lineRule="exact"/>
              <w:ind w:left="0" w:leftChars="0" w:right="0" w:rightChars="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(2)每提供一个【100万吨/日（或立方米/日）≤水质净化厂或生活污水处理厂的污水设计或实际处理规模&lt;200万吨/日（或立方米/日）】的前述业绩合同的，得3分；</w:t>
            </w:r>
          </w:p>
          <w:p w14:paraId="10567E74">
            <w:pPr>
              <w:keepNext w:val="0"/>
              <w:keepLines w:val="0"/>
              <w:widowControl w:val="0"/>
              <w:suppressLineNumbers w:val="0"/>
              <w:autoSpaceDE w:val="0"/>
              <w:autoSpaceDN w:val="0"/>
              <w:spacing w:before="0" w:beforeAutospacing="0" w:after="0" w:afterAutospacing="0" w:line="400" w:lineRule="exact"/>
              <w:ind w:left="0" w:leftChars="0" w:right="0" w:rightChars="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(3)每提供一个【20万吨/日（或立方米/日）≤水质净化厂或生活污水处理厂的污水设计或实际处理规模&lt;100万吨/日（或立方米/日）】的前述业绩合同的，得1分；</w:t>
            </w:r>
          </w:p>
          <w:p w14:paraId="46CAB64F">
            <w:pPr>
              <w:keepNext w:val="0"/>
              <w:keepLines w:val="0"/>
              <w:widowControl w:val="0"/>
              <w:suppressLineNumbers w:val="0"/>
              <w:autoSpaceDE w:val="0"/>
              <w:autoSpaceDN w:val="0"/>
              <w:spacing w:before="0" w:beforeAutospacing="0" w:after="0" w:afterAutospacing="0" w:line="400" w:lineRule="exact"/>
              <w:ind w:left="0" w:leftChars="0" w:right="0" w:rightChars="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(4)每提供一个【10万吨/日（或立方米/日）≤水质净化厂或生活污水处理厂的污水设计或实际处理规模&lt;20万吨/日（或立方米/日）】的前述业绩合同的，得0.5分，本小项最高得2分。</w:t>
            </w:r>
          </w:p>
          <w:p w14:paraId="654E7A0C">
            <w:pPr>
              <w:keepNext w:val="0"/>
              <w:keepLines w:val="0"/>
              <w:widowControl w:val="0"/>
              <w:suppressLineNumbers w:val="0"/>
              <w:autoSpaceDE w:val="0"/>
              <w:autoSpaceDN w:val="0"/>
              <w:spacing w:before="0" w:beforeAutospacing="0" w:after="0" w:afterAutospacing="0" w:line="400" w:lineRule="exact"/>
              <w:ind w:left="0" w:leftChars="0" w:right="0" w:rightChars="0"/>
              <w:jc w:val="left"/>
              <w:rPr>
                <w:rFonts w:hint="eastAsia" w:ascii="宋体" w:hAnsi="宋体" w:eastAsia="宋体" w:cs="宋体"/>
                <w:b/>
                <w:bCs/>
                <w:color w:val="auto"/>
                <w:kern w:val="2"/>
                <w:sz w:val="21"/>
                <w:szCs w:val="21"/>
                <w:highlight w:val="none"/>
                <w:lang w:val="en-US" w:eastAsia="zh-CN" w:bidi="ar"/>
              </w:rPr>
            </w:pPr>
            <w:r>
              <w:rPr>
                <w:rFonts w:hint="eastAsia" w:ascii="宋体" w:hAnsi="宋体" w:eastAsia="宋体" w:cs="宋体"/>
                <w:b/>
                <w:bCs/>
                <w:color w:val="auto"/>
                <w:kern w:val="2"/>
                <w:sz w:val="21"/>
                <w:szCs w:val="21"/>
                <w:highlight w:val="none"/>
                <w:lang w:val="en-US" w:eastAsia="zh-CN" w:bidi="ar"/>
              </w:rPr>
              <w:t>备注:</w:t>
            </w:r>
          </w:p>
          <w:p w14:paraId="23E6E94E">
            <w:pPr>
              <w:keepNext w:val="0"/>
              <w:keepLines w:val="0"/>
              <w:widowControl w:val="0"/>
              <w:suppressLineNumbers w:val="0"/>
              <w:autoSpaceDE w:val="0"/>
              <w:autoSpaceDN w:val="0"/>
              <w:spacing w:before="0" w:beforeAutospacing="0" w:after="0" w:afterAutospacing="0" w:line="400" w:lineRule="exact"/>
              <w:ind w:left="0" w:leftChars="0" w:right="0" w:rightChars="0"/>
              <w:jc w:val="left"/>
              <w:rPr>
                <w:rFonts w:hint="eastAsia" w:ascii="宋体" w:hAnsi="宋体" w:eastAsia="宋体" w:cs="宋体"/>
                <w:b/>
                <w:bCs/>
                <w:color w:val="auto"/>
                <w:kern w:val="2"/>
                <w:sz w:val="21"/>
                <w:szCs w:val="21"/>
                <w:highlight w:val="none"/>
                <w:lang w:val="en-US" w:eastAsia="zh-CN" w:bidi="ar"/>
              </w:rPr>
            </w:pPr>
            <w:r>
              <w:rPr>
                <w:rFonts w:hint="eastAsia" w:ascii="宋体" w:hAnsi="宋体" w:eastAsia="宋体" w:cs="宋体"/>
                <w:b/>
                <w:bCs/>
                <w:color w:val="auto"/>
                <w:kern w:val="2"/>
                <w:sz w:val="21"/>
                <w:szCs w:val="21"/>
                <w:highlight w:val="none"/>
                <w:lang w:val="en-US" w:eastAsia="zh-CN" w:bidi="ar"/>
              </w:rPr>
              <w:t>(1)业绩须附合同复印件(合同服务提供方为投标人)；</w:t>
            </w:r>
          </w:p>
          <w:p w14:paraId="09E71FAA">
            <w:pPr>
              <w:keepNext w:val="0"/>
              <w:keepLines w:val="0"/>
              <w:suppressLineNumbers w:val="0"/>
              <w:autoSpaceDE w:val="0"/>
              <w:autoSpaceDN w:val="0"/>
              <w:spacing w:before="0" w:beforeAutospacing="0" w:after="0" w:afterAutospacing="0" w:line="400" w:lineRule="exact"/>
              <w:ind w:left="0" w:right="0"/>
              <w:jc w:val="left"/>
              <w:rPr>
                <w:rFonts w:hint="eastAsia" w:ascii="宋体" w:hAnsi="宋体" w:eastAsia="宋体" w:cs="宋体"/>
                <w:b/>
                <w:bCs/>
                <w:color w:val="auto"/>
                <w:szCs w:val="21"/>
                <w:highlight w:val="none"/>
              </w:rPr>
            </w:pPr>
            <w:r>
              <w:rPr>
                <w:rFonts w:hint="eastAsia" w:ascii="宋体" w:hAnsi="宋体" w:eastAsia="宋体" w:cs="宋体"/>
                <w:b/>
                <w:bCs/>
                <w:color w:val="auto"/>
                <w:kern w:val="2"/>
                <w:sz w:val="21"/>
                <w:szCs w:val="21"/>
                <w:highlight w:val="none"/>
                <w:lang w:val="en-US" w:eastAsia="zh-CN" w:bidi="ar"/>
              </w:rPr>
              <w:t>(2)</w:t>
            </w:r>
            <w:r>
              <w:rPr>
                <w:rFonts w:hint="eastAsia" w:ascii="宋体" w:hAnsi="宋体" w:eastAsia="宋体" w:cs="Times New Roman"/>
                <w:b/>
                <w:bCs/>
                <w:color w:val="auto"/>
                <w:szCs w:val="24"/>
                <w:highlight w:val="none"/>
                <w:lang w:val="zh-CN"/>
              </w:rPr>
              <w:t>若合同无法反映评分要求条件</w:t>
            </w:r>
            <w:r>
              <w:rPr>
                <w:rFonts w:hint="eastAsia" w:ascii="宋体" w:hAnsi="宋体" w:eastAsia="宋体" w:cs="宋体"/>
                <w:b/>
                <w:bCs/>
                <w:color w:val="auto"/>
                <w:kern w:val="2"/>
                <w:sz w:val="21"/>
                <w:szCs w:val="21"/>
                <w:highlight w:val="none"/>
                <w:lang w:val="en-US" w:eastAsia="zh-CN" w:bidi="ar"/>
              </w:rPr>
              <w:t>【合同服务结束日期为2022年1月1日或以后、服务内容、污泥类别、水质净化厂或生活污水处理厂的污水设计或实际处理规模、合同服务期限】，还需同时提供服务购买方出具的书面补充情况说明文件复印件(</w:t>
            </w:r>
            <w:r>
              <w:rPr>
                <w:rFonts w:hint="eastAsia" w:ascii="宋体" w:hAnsi="宋体" w:eastAsia="宋体" w:cs="Times New Roman"/>
                <w:b/>
                <w:bCs/>
                <w:color w:val="auto"/>
                <w:szCs w:val="24"/>
                <w:highlight w:val="none"/>
                <w:lang w:val="zh-CN"/>
              </w:rPr>
              <w:t>书面补充说明文件复印件能显示合同服务购买方公章</w:t>
            </w:r>
            <w:r>
              <w:rPr>
                <w:rFonts w:hint="eastAsia" w:ascii="宋体" w:hAnsi="宋体" w:eastAsia="宋体" w:cs="宋体"/>
                <w:b/>
                <w:bCs/>
                <w:color w:val="auto"/>
                <w:kern w:val="2"/>
                <w:sz w:val="21"/>
                <w:szCs w:val="21"/>
                <w:highlight w:val="none"/>
                <w:lang w:val="en-US" w:eastAsia="zh-CN" w:bidi="ar"/>
              </w:rPr>
              <w:t>)，否则不得分；</w:t>
            </w:r>
          </w:p>
          <w:p w14:paraId="4BAFFEB8">
            <w:pPr>
              <w:keepNext w:val="0"/>
              <w:keepLines w:val="0"/>
              <w:widowControl w:val="0"/>
              <w:suppressLineNumbers w:val="0"/>
              <w:autoSpaceDE w:val="0"/>
              <w:autoSpaceDN w:val="0"/>
              <w:spacing w:before="0" w:beforeAutospacing="0" w:after="0" w:afterAutospacing="0" w:line="400" w:lineRule="exact"/>
              <w:ind w:left="0" w:leftChars="0" w:right="0" w:rightChars="0"/>
              <w:jc w:val="left"/>
              <w:rPr>
                <w:rFonts w:hint="eastAsia" w:ascii="宋体" w:hAnsi="宋体" w:eastAsia="宋体" w:cs="宋体"/>
                <w:b/>
                <w:bCs/>
                <w:color w:val="auto"/>
                <w:kern w:val="2"/>
                <w:sz w:val="21"/>
                <w:szCs w:val="21"/>
                <w:highlight w:val="none"/>
                <w:lang w:val="en-US" w:eastAsia="zh-CN" w:bidi="ar"/>
              </w:rPr>
            </w:pPr>
            <w:r>
              <w:rPr>
                <w:rFonts w:hint="eastAsia" w:ascii="宋体" w:hAnsi="宋体" w:eastAsia="宋体" w:cs="宋体"/>
                <w:b/>
                <w:bCs/>
                <w:color w:val="auto"/>
                <w:kern w:val="2"/>
                <w:sz w:val="21"/>
                <w:szCs w:val="21"/>
                <w:highlight w:val="none"/>
                <w:lang w:val="en-US" w:eastAsia="zh-CN" w:bidi="ar"/>
              </w:rPr>
              <w:t>(3)污泥处理处置服务业绩的污泥类别须为水质净化厂或生活污水处理厂污泥，服务内容须包含水质净化厂或生活污水处理厂污泥处理处置（包含污泥的脱水减量化和脱水泥块的处置），否则不得分；</w:t>
            </w:r>
          </w:p>
          <w:p w14:paraId="63F61653">
            <w:pPr>
              <w:keepNext w:val="0"/>
              <w:keepLines w:val="0"/>
              <w:widowControl w:val="0"/>
              <w:suppressLineNumbers w:val="0"/>
              <w:autoSpaceDE w:val="0"/>
              <w:autoSpaceDN w:val="0"/>
              <w:spacing w:before="0" w:beforeAutospacing="0" w:after="0" w:afterAutospacing="0" w:line="400" w:lineRule="exact"/>
              <w:ind w:left="0" w:leftChars="0" w:right="0" w:rightChars="0"/>
              <w:jc w:val="left"/>
              <w:rPr>
                <w:rFonts w:hint="eastAsia" w:ascii="宋体" w:hAnsi="宋体" w:eastAsia="宋体" w:cs="宋体"/>
                <w:b/>
                <w:bCs/>
                <w:color w:val="auto"/>
                <w:kern w:val="2"/>
                <w:sz w:val="21"/>
                <w:szCs w:val="21"/>
                <w:highlight w:val="none"/>
                <w:lang w:val="en-US" w:eastAsia="zh-CN" w:bidi="ar"/>
              </w:rPr>
            </w:pPr>
            <w:r>
              <w:rPr>
                <w:rFonts w:hint="eastAsia" w:ascii="宋体" w:hAnsi="宋体" w:eastAsia="宋体" w:cs="宋体"/>
                <w:b/>
                <w:bCs/>
                <w:color w:val="auto"/>
                <w:kern w:val="2"/>
                <w:sz w:val="21"/>
                <w:szCs w:val="21"/>
                <w:highlight w:val="none"/>
                <w:lang w:val="en-US" w:eastAsia="zh-CN" w:bidi="ar"/>
              </w:rPr>
              <w:t>（4）水质净化厂或生活污水处理厂的污水设计处理规模与污水实际处理规模不一致的，以较大处理规模为准；若单个业绩合同中包含多个水质净化厂或生活污水处理厂污泥处理处置服务项目，评分时按合同中单个水质净化厂或生活污水处理厂污水处理规模最高的计算该业绩合同得分，同一业绩合同不重复得分；</w:t>
            </w:r>
          </w:p>
          <w:p w14:paraId="12ADB99D">
            <w:pPr>
              <w:keepNext w:val="0"/>
              <w:keepLines w:val="0"/>
              <w:widowControl w:val="0"/>
              <w:suppressLineNumbers w:val="0"/>
              <w:autoSpaceDE w:val="0"/>
              <w:autoSpaceDN w:val="0"/>
              <w:spacing w:before="0" w:beforeAutospacing="0" w:after="0" w:afterAutospacing="0" w:line="400" w:lineRule="exact"/>
              <w:ind w:left="0" w:leftChars="0" w:right="0" w:rightChars="0"/>
              <w:jc w:val="left"/>
              <w:rPr>
                <w:rFonts w:hint="eastAsia" w:ascii="宋体" w:hAnsi="宋体" w:eastAsia="宋体" w:cs="宋体"/>
                <w:b/>
                <w:bCs/>
                <w:color w:val="auto"/>
                <w:kern w:val="2"/>
                <w:sz w:val="21"/>
                <w:szCs w:val="21"/>
                <w:highlight w:val="none"/>
                <w:lang w:val="en-US" w:eastAsia="zh-CN" w:bidi="ar"/>
              </w:rPr>
            </w:pPr>
            <w:r>
              <w:rPr>
                <w:rFonts w:hint="eastAsia" w:ascii="宋体" w:hAnsi="宋体" w:eastAsia="宋体" w:cs="宋体"/>
                <w:b/>
                <w:bCs/>
                <w:color w:val="auto"/>
                <w:kern w:val="2"/>
                <w:sz w:val="21"/>
                <w:szCs w:val="21"/>
                <w:highlight w:val="none"/>
                <w:lang w:val="en-US" w:eastAsia="zh-CN" w:bidi="ar"/>
              </w:rPr>
              <w:t>(5)污泥处理处置服务业绩合同服务期限要求大于或等于1年，小于1年的业绩合同在评标时不予考虑；</w:t>
            </w:r>
          </w:p>
          <w:p w14:paraId="17B2F1E7">
            <w:pPr>
              <w:keepNext w:val="0"/>
              <w:keepLines w:val="0"/>
              <w:suppressLineNumbers w:val="0"/>
              <w:autoSpaceDE w:val="0"/>
              <w:autoSpaceDN w:val="0"/>
              <w:adjustRightInd w:val="0"/>
              <w:snapToGrid w:val="0"/>
              <w:spacing w:before="0" w:beforeAutospacing="0" w:after="0" w:afterAutospacing="0" w:line="400" w:lineRule="exact"/>
              <w:ind w:left="0" w:right="0"/>
              <w:jc w:val="left"/>
              <w:rPr>
                <w:rFonts w:hint="eastAsia" w:ascii="宋体" w:hAnsi="宋体" w:eastAsia="宋体" w:cs="宋体"/>
                <w:color w:val="auto"/>
                <w:szCs w:val="21"/>
                <w:highlight w:val="none"/>
              </w:rPr>
            </w:pPr>
            <w:r>
              <w:rPr>
                <w:rFonts w:hint="eastAsia" w:ascii="宋体" w:hAnsi="宋体" w:eastAsia="宋体" w:cs="宋体"/>
                <w:b/>
                <w:bCs/>
                <w:color w:val="auto"/>
                <w:kern w:val="2"/>
                <w:sz w:val="21"/>
                <w:szCs w:val="21"/>
                <w:highlight w:val="none"/>
                <w:lang w:val="en-US" w:eastAsia="zh-CN" w:bidi="ar"/>
              </w:rPr>
              <w:t>(6)未按上述要求提供证明材料的业绩，或所附材料无法证明填报项目符合本项评分要求的业绩，在评标时将不予考虑。</w:t>
            </w:r>
          </w:p>
        </w:tc>
        <w:tc>
          <w:tcPr>
            <w:tcW w:w="437" w:type="pct"/>
            <w:tcBorders>
              <w:top w:val="single" w:color="auto" w:sz="4" w:space="0"/>
              <w:left w:val="single" w:color="auto" w:sz="4" w:space="0"/>
              <w:bottom w:val="single" w:color="auto" w:sz="4" w:space="0"/>
              <w:right w:val="single" w:color="auto" w:sz="4" w:space="0"/>
            </w:tcBorders>
            <w:vAlign w:val="center"/>
          </w:tcPr>
          <w:p w14:paraId="3BA55B0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9分</w:t>
            </w:r>
          </w:p>
        </w:tc>
      </w:tr>
    </w:tbl>
    <w:p w14:paraId="13610D51">
      <w:pPr>
        <w:autoSpaceDE w:val="0"/>
        <w:autoSpaceDN w:val="0"/>
        <w:adjustRightInd w:val="0"/>
        <w:ind w:right="-26" w:firstLine="480"/>
        <w:jc w:val="center"/>
        <w:rPr>
          <w:rFonts w:ascii="宋体" w:hAnsi="宋体" w:eastAsia="宋体" w:cs="Times New Roman"/>
          <w:b/>
          <w:bCs/>
          <w:color w:val="auto"/>
          <w:kern w:val="0"/>
          <w:sz w:val="24"/>
          <w:szCs w:val="24"/>
          <w:highlight w:val="none"/>
        </w:rPr>
      </w:pPr>
      <w:bookmarkStart w:id="1219" w:name="_Toc11639_WPSOffice_Level2"/>
    </w:p>
    <w:p w14:paraId="062B3182">
      <w:pPr>
        <w:tabs>
          <w:tab w:val="left" w:pos="585"/>
        </w:tabs>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Times New Roman"/>
          <w:b/>
          <w:color w:val="auto"/>
          <w:szCs w:val="21"/>
          <w:highlight w:val="none"/>
          <w:lang w:val="zh-CN"/>
        </w:rPr>
        <w:t>（</w:t>
      </w:r>
      <w:r>
        <w:rPr>
          <w:rFonts w:hint="eastAsia" w:ascii="宋体" w:hAnsi="宋体" w:eastAsia="宋体" w:cs="宋体"/>
          <w:b/>
          <w:color w:val="auto"/>
          <w:szCs w:val="24"/>
          <w:highlight w:val="none"/>
        </w:rPr>
        <w:t>2）</w:t>
      </w:r>
      <w:r>
        <w:rPr>
          <w:rFonts w:hint="eastAsia" w:ascii="宋体" w:hAnsi="宋体" w:eastAsia="宋体" w:cs="宋体"/>
          <w:b/>
          <w:color w:val="auto"/>
          <w:szCs w:val="24"/>
          <w:highlight w:val="none"/>
          <w:lang w:val="zh-CN"/>
        </w:rPr>
        <w:t>技术：</w:t>
      </w:r>
      <w:r>
        <w:rPr>
          <w:rFonts w:hint="eastAsia" w:ascii="宋体" w:hAnsi="宋体" w:eastAsia="宋体" w:cs="宋体"/>
          <w:b/>
          <w:color w:val="auto"/>
          <w:szCs w:val="21"/>
          <w:highlight w:val="none"/>
          <w:lang w:val="zh-CN"/>
        </w:rPr>
        <w:t>总分</w:t>
      </w:r>
      <w:r>
        <w:rPr>
          <w:rFonts w:hint="eastAsia" w:ascii="宋体" w:hAnsi="宋体" w:eastAsia="宋体" w:cs="宋体"/>
          <w:b/>
          <w:color w:val="auto"/>
          <w:szCs w:val="21"/>
          <w:highlight w:val="none"/>
          <w:lang w:val="en-US" w:eastAsia="zh-CN"/>
        </w:rPr>
        <w:t>35</w:t>
      </w:r>
      <w:r>
        <w:rPr>
          <w:rFonts w:hint="eastAsia" w:ascii="宋体" w:hAnsi="宋体" w:eastAsia="宋体" w:cs="宋体"/>
          <w:b/>
          <w:color w:val="auto"/>
          <w:szCs w:val="21"/>
          <w:highlight w:val="none"/>
          <w:lang w:val="zh-CN"/>
        </w:rPr>
        <w:t>分</w:t>
      </w:r>
      <w:bookmarkEnd w:id="1219"/>
    </w:p>
    <w:tbl>
      <w:tblPr>
        <w:tblStyle w:val="3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6"/>
        <w:gridCol w:w="1133"/>
        <w:gridCol w:w="7664"/>
        <w:gridCol w:w="907"/>
      </w:tblGrid>
      <w:tr w14:paraId="50712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1" w:type="pct"/>
            <w:tcBorders>
              <w:top w:val="single" w:color="auto" w:sz="4" w:space="0"/>
              <w:left w:val="single" w:color="auto" w:sz="4" w:space="0"/>
              <w:bottom w:val="single" w:color="auto" w:sz="4" w:space="0"/>
              <w:right w:val="single" w:color="auto" w:sz="4" w:space="0"/>
            </w:tcBorders>
            <w:vAlign w:val="center"/>
          </w:tcPr>
          <w:p w14:paraId="25449E7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
                <w:color w:val="auto"/>
                <w:kern w:val="0"/>
                <w:szCs w:val="21"/>
                <w:highlight w:val="none"/>
              </w:rPr>
            </w:pPr>
            <w:bookmarkStart w:id="1220" w:name="_Hlk104987779"/>
            <w:r>
              <w:rPr>
                <w:rFonts w:hint="eastAsia" w:ascii="宋体" w:hAnsi="宋体" w:eastAsia="宋体" w:cs="宋体"/>
                <w:b/>
                <w:color w:val="auto"/>
                <w:kern w:val="0"/>
                <w:szCs w:val="21"/>
                <w:highlight w:val="none"/>
              </w:rPr>
              <w:t>序号</w:t>
            </w:r>
          </w:p>
        </w:tc>
        <w:tc>
          <w:tcPr>
            <w:tcW w:w="546" w:type="pct"/>
            <w:tcBorders>
              <w:top w:val="single" w:color="auto" w:sz="4" w:space="0"/>
              <w:left w:val="single" w:color="auto" w:sz="4" w:space="0"/>
              <w:bottom w:val="single" w:color="auto" w:sz="4" w:space="0"/>
              <w:right w:val="single" w:color="auto" w:sz="4" w:space="0"/>
            </w:tcBorders>
            <w:vAlign w:val="center"/>
          </w:tcPr>
          <w:p w14:paraId="69FDA42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
                <w:color w:val="auto"/>
                <w:kern w:val="0"/>
                <w:szCs w:val="21"/>
                <w:highlight w:val="none"/>
              </w:rPr>
            </w:pPr>
            <w:r>
              <w:rPr>
                <w:rFonts w:hint="eastAsia" w:ascii="宋体" w:hAnsi="宋体" w:eastAsia="宋体" w:cs="宋体"/>
                <w:b/>
                <w:color w:val="auto"/>
                <w:szCs w:val="21"/>
                <w:highlight w:val="none"/>
                <w:lang w:val="zh-CN"/>
              </w:rPr>
              <w:t>评审内容</w:t>
            </w:r>
          </w:p>
        </w:tc>
        <w:tc>
          <w:tcPr>
            <w:tcW w:w="3694" w:type="pct"/>
            <w:tcBorders>
              <w:top w:val="single" w:color="auto" w:sz="4" w:space="0"/>
              <w:left w:val="single" w:color="auto" w:sz="4" w:space="0"/>
              <w:bottom w:val="single" w:color="auto" w:sz="4" w:space="0"/>
              <w:right w:val="single" w:color="auto" w:sz="4" w:space="0"/>
            </w:tcBorders>
            <w:vAlign w:val="center"/>
          </w:tcPr>
          <w:p w14:paraId="4E55F5B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评审细则</w:t>
            </w:r>
          </w:p>
        </w:tc>
        <w:tc>
          <w:tcPr>
            <w:tcW w:w="437" w:type="pct"/>
            <w:tcBorders>
              <w:top w:val="single" w:color="auto" w:sz="4" w:space="0"/>
              <w:left w:val="single" w:color="auto" w:sz="4" w:space="0"/>
              <w:bottom w:val="single" w:color="auto" w:sz="4" w:space="0"/>
              <w:right w:val="single" w:color="auto" w:sz="4" w:space="0"/>
            </w:tcBorders>
            <w:vAlign w:val="center"/>
          </w:tcPr>
          <w:p w14:paraId="5FEFF48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满分值</w:t>
            </w:r>
          </w:p>
        </w:tc>
      </w:tr>
      <w:tr w14:paraId="6BCF9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1" w:type="pct"/>
            <w:tcBorders>
              <w:top w:val="single" w:color="auto" w:sz="4" w:space="0"/>
              <w:left w:val="single" w:color="auto" w:sz="4" w:space="0"/>
              <w:bottom w:val="single" w:color="auto" w:sz="4" w:space="0"/>
              <w:right w:val="single" w:color="auto" w:sz="4" w:space="0"/>
            </w:tcBorders>
            <w:vAlign w:val="center"/>
          </w:tcPr>
          <w:p w14:paraId="4FC7FE9E">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w:t>
            </w:r>
          </w:p>
        </w:tc>
        <w:tc>
          <w:tcPr>
            <w:tcW w:w="546" w:type="pct"/>
            <w:tcBorders>
              <w:top w:val="single" w:color="auto" w:sz="4" w:space="0"/>
              <w:left w:val="single" w:color="auto" w:sz="4" w:space="0"/>
              <w:bottom w:val="single" w:color="auto" w:sz="4" w:space="0"/>
              <w:right w:val="single" w:color="auto" w:sz="4" w:space="0"/>
            </w:tcBorders>
            <w:vAlign w:val="center"/>
          </w:tcPr>
          <w:p w14:paraId="6FD2DBE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sz w:val="21"/>
                <w:szCs w:val="21"/>
                <w:highlight w:val="none"/>
              </w:rPr>
              <w:t>用户需求的响应程度</w:t>
            </w:r>
          </w:p>
        </w:tc>
        <w:tc>
          <w:tcPr>
            <w:tcW w:w="3694" w:type="pct"/>
            <w:tcBorders>
              <w:top w:val="single" w:color="auto" w:sz="4" w:space="0"/>
              <w:left w:val="single" w:color="auto" w:sz="4" w:space="0"/>
              <w:bottom w:val="single" w:color="auto" w:sz="4" w:space="0"/>
              <w:right w:val="single" w:color="auto" w:sz="4" w:space="0"/>
            </w:tcBorders>
            <w:vAlign w:val="center"/>
          </w:tcPr>
          <w:p w14:paraId="1F593392">
            <w:pPr>
              <w:keepNext w:val="0"/>
              <w:keepLines w:val="0"/>
              <w:suppressLineNumbers w:val="0"/>
              <w:autoSpaceDE w:val="0"/>
              <w:autoSpaceDN w:val="0"/>
              <w:adjustRightInd w:val="0"/>
              <w:spacing w:before="0" w:beforeAutospacing="0" w:after="0" w:afterAutospacing="0" w:line="400" w:lineRule="exact"/>
              <w:ind w:left="0" w:right="0"/>
              <w:rPr>
                <w:rFonts w:hint="default" w:ascii="宋体" w:hAnsi="宋体" w:eastAsia="宋体" w:cs="宋体"/>
                <w:color w:val="auto"/>
                <w:kern w:val="0"/>
                <w:szCs w:val="21"/>
                <w:highlight w:val="none"/>
              </w:rPr>
            </w:pPr>
            <w:r>
              <w:rPr>
                <w:rFonts w:hint="eastAsia" w:ascii="宋体" w:hAnsi="宋体" w:eastAsia="宋体" w:cs="宋体"/>
                <w:color w:val="auto"/>
                <w:sz w:val="21"/>
                <w:szCs w:val="21"/>
                <w:highlight w:val="none"/>
                <w:lang w:val="zh-CN"/>
              </w:rPr>
              <w:t>对用户需求偏离表的偏离情况进行评审计分，完全满足用户需求书的要求得满分；每一处负偏离，扣</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分；同时参照其投标文件中技术资料内容进行对比，每发现一处投标人填写为无偏离或正偏离，但评标委员会评审认定其为负偏离的，每处扣</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zh-CN"/>
              </w:rPr>
              <w:t>分；本项最低分为0分。</w:t>
            </w:r>
          </w:p>
        </w:tc>
        <w:tc>
          <w:tcPr>
            <w:tcW w:w="437" w:type="pct"/>
            <w:tcBorders>
              <w:top w:val="single" w:color="auto" w:sz="4" w:space="0"/>
              <w:left w:val="single" w:color="auto" w:sz="4" w:space="0"/>
              <w:bottom w:val="single" w:color="auto" w:sz="4" w:space="0"/>
              <w:right w:val="single" w:color="auto" w:sz="4" w:space="0"/>
            </w:tcBorders>
            <w:vAlign w:val="center"/>
          </w:tcPr>
          <w:p w14:paraId="4C836B6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5分</w:t>
            </w:r>
          </w:p>
        </w:tc>
      </w:tr>
      <w:tr w14:paraId="1CF03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1" w:type="pct"/>
            <w:tcBorders>
              <w:top w:val="single" w:color="auto" w:sz="4" w:space="0"/>
              <w:left w:val="single" w:color="auto" w:sz="4" w:space="0"/>
              <w:right w:val="single" w:color="auto" w:sz="4" w:space="0"/>
            </w:tcBorders>
            <w:vAlign w:val="center"/>
          </w:tcPr>
          <w:p w14:paraId="2BBC5F65">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w:t>
            </w:r>
          </w:p>
        </w:tc>
        <w:tc>
          <w:tcPr>
            <w:tcW w:w="546" w:type="pct"/>
            <w:tcBorders>
              <w:top w:val="single" w:color="auto" w:sz="4" w:space="0"/>
              <w:left w:val="single" w:color="auto" w:sz="4" w:space="0"/>
              <w:right w:val="single" w:color="auto" w:sz="4" w:space="0"/>
            </w:tcBorders>
            <w:vAlign w:val="center"/>
          </w:tcPr>
          <w:p w14:paraId="7F723DF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项目服务总方案</w:t>
            </w:r>
          </w:p>
        </w:tc>
        <w:tc>
          <w:tcPr>
            <w:tcW w:w="3694" w:type="pct"/>
            <w:tcBorders>
              <w:top w:val="single" w:color="auto" w:sz="4" w:space="0"/>
              <w:left w:val="single" w:color="auto" w:sz="4" w:space="0"/>
              <w:bottom w:val="single" w:color="auto" w:sz="4" w:space="0"/>
              <w:right w:val="single" w:color="auto" w:sz="4" w:space="0"/>
            </w:tcBorders>
            <w:vAlign w:val="center"/>
          </w:tcPr>
          <w:p w14:paraId="21374DE0">
            <w:pPr>
              <w:keepNext w:val="0"/>
              <w:keepLines w:val="0"/>
              <w:numPr>
                <w:ilvl w:val="0"/>
                <w:numId w:val="0"/>
              </w:numPr>
              <w:suppressLineNumbers w:val="0"/>
              <w:spacing w:before="0" w:beforeAutospacing="0" w:after="0" w:afterAutospacing="0" w:line="400" w:lineRule="exact"/>
              <w:ind w:left="0" w:right="0" w:firstLine="0" w:firstLineChars="0"/>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sz w:val="21"/>
                <w:szCs w:val="21"/>
                <w:highlight w:val="none"/>
              </w:rPr>
              <w:t>根据</w:t>
            </w:r>
            <w:r>
              <w:rPr>
                <w:rFonts w:hint="eastAsia" w:ascii="宋体" w:hAnsi="宋体" w:eastAsia="宋体" w:cs="宋体"/>
                <w:color w:val="auto"/>
                <w:kern w:val="0"/>
                <w:szCs w:val="21"/>
                <w:highlight w:val="none"/>
                <w:lang w:val="en-US" w:eastAsia="zh-CN"/>
              </w:rPr>
              <w:t>投标人提供服务总体方案，包括</w:t>
            </w:r>
            <w:r>
              <w:rPr>
                <w:rFonts w:hint="eastAsia" w:ascii="宋体" w:hAnsi="宋体" w:eastAsia="宋体" w:cs="宋体"/>
                <w:color w:val="auto"/>
                <w:sz w:val="21"/>
                <w:szCs w:val="21"/>
                <w:highlight w:val="none"/>
                <w:lang w:val="en-US" w:eastAsia="zh-CN"/>
              </w:rPr>
              <w:t>组织构架</w:t>
            </w:r>
            <w:r>
              <w:rPr>
                <w:rFonts w:hint="eastAsia" w:ascii="宋体" w:hAnsi="宋体" w:eastAsia="宋体" w:cs="宋体"/>
                <w:color w:val="auto"/>
                <w:kern w:val="0"/>
                <w:szCs w:val="21"/>
                <w:highlight w:val="none"/>
                <w:lang w:val="en-US" w:eastAsia="zh-CN"/>
              </w:rPr>
              <w:t>、人员配置、进度计划、</w:t>
            </w:r>
            <w:r>
              <w:rPr>
                <w:rFonts w:hint="eastAsia" w:ascii="宋体" w:hAnsi="宋体" w:eastAsia="宋体" w:cs="宋体"/>
                <w:color w:val="auto"/>
                <w:sz w:val="21"/>
                <w:szCs w:val="21"/>
                <w:highlight w:val="none"/>
                <w:lang w:val="en-US" w:eastAsia="zh-CN"/>
              </w:rPr>
              <w:t>工艺运行管理、设备维护管理、应急预案及保障措施</w:t>
            </w:r>
            <w:r>
              <w:rPr>
                <w:rFonts w:hint="eastAsia" w:ascii="宋体" w:hAnsi="宋体" w:eastAsia="宋体" w:cs="宋体"/>
                <w:color w:val="auto"/>
                <w:kern w:val="0"/>
                <w:szCs w:val="21"/>
                <w:highlight w:val="none"/>
                <w:lang w:val="en-US" w:eastAsia="zh-CN"/>
              </w:rPr>
              <w:t>等</w:t>
            </w:r>
            <w:r>
              <w:rPr>
                <w:rFonts w:hint="eastAsia" w:ascii="宋体" w:hAnsi="宋体" w:eastAsia="宋体" w:cs="宋体"/>
                <w:color w:val="auto"/>
                <w:sz w:val="21"/>
                <w:szCs w:val="21"/>
                <w:highlight w:val="none"/>
              </w:rPr>
              <w:t>方面</w:t>
            </w:r>
            <w:r>
              <w:rPr>
                <w:rFonts w:hint="eastAsia" w:ascii="宋体" w:hAnsi="宋体" w:eastAsia="宋体" w:cs="宋体"/>
                <w:color w:val="auto"/>
                <w:kern w:val="0"/>
                <w:szCs w:val="21"/>
                <w:highlight w:val="none"/>
                <w:lang w:val="en-US" w:eastAsia="zh-CN"/>
              </w:rPr>
              <w:t>进行评审：</w:t>
            </w:r>
          </w:p>
          <w:p w14:paraId="425475CC">
            <w:pPr>
              <w:keepNext w:val="0"/>
              <w:keepLines w:val="0"/>
              <w:numPr>
                <w:ilvl w:val="0"/>
                <w:numId w:val="0"/>
              </w:numPr>
              <w:suppressLineNumbers w:val="0"/>
              <w:spacing w:before="0" w:beforeAutospacing="0" w:after="0" w:afterAutospacing="0" w:line="400" w:lineRule="exact"/>
              <w:ind w:left="0" w:right="0" w:firstLine="0" w:firstLineChars="0"/>
              <w:outlineLvl w:val="9"/>
              <w:rPr>
                <w:rFonts w:hint="eastAsia"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lang w:val="en-US" w:eastAsia="zh-CN"/>
              </w:rPr>
              <w:t>服务总体方案包括但不限于：</w:t>
            </w:r>
          </w:p>
          <w:p w14:paraId="48D3A8FD">
            <w:pPr>
              <w:keepNext w:val="0"/>
              <w:keepLines w:val="0"/>
              <w:numPr>
                <w:ilvl w:val="0"/>
                <w:numId w:val="0"/>
              </w:numPr>
              <w:suppressLineNumbers w:val="0"/>
              <w:spacing w:before="0" w:beforeAutospacing="0" w:after="0" w:afterAutospacing="0" w:line="400" w:lineRule="exact"/>
              <w:ind w:left="0" w:right="0" w:firstLine="0" w:firstLineChars="0"/>
              <w:outlineLvl w:val="9"/>
              <w:rPr>
                <w:rFonts w:hint="eastAsia"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lang w:val="en-US" w:eastAsia="zh-CN"/>
              </w:rPr>
              <w:t>（1）组织构架内容包括但不限于：污泥处理处置全过程管理及各部门职能；</w:t>
            </w:r>
          </w:p>
          <w:p w14:paraId="0AA33B56">
            <w:pPr>
              <w:keepNext w:val="0"/>
              <w:keepLines w:val="0"/>
              <w:numPr>
                <w:ilvl w:val="0"/>
                <w:numId w:val="0"/>
              </w:numPr>
              <w:suppressLineNumbers w:val="0"/>
              <w:spacing w:before="0" w:beforeAutospacing="0" w:after="0" w:afterAutospacing="0" w:line="400" w:lineRule="exact"/>
              <w:ind w:left="0" w:right="0" w:firstLine="0" w:firstLineChars="0"/>
              <w:outlineLvl w:val="9"/>
              <w:rPr>
                <w:rFonts w:hint="eastAsia"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lang w:val="en-US" w:eastAsia="zh-CN"/>
              </w:rPr>
              <w:t>（2）人员配置内容包括但不限于：污泥处理、设备操作维护有专业的人员，及上述岗位人员数量及经验；</w:t>
            </w:r>
          </w:p>
          <w:p w14:paraId="0AEB847B">
            <w:pPr>
              <w:keepNext w:val="0"/>
              <w:keepLines w:val="0"/>
              <w:numPr>
                <w:ilvl w:val="0"/>
                <w:numId w:val="0"/>
              </w:numPr>
              <w:suppressLineNumbers w:val="0"/>
              <w:spacing w:before="0" w:beforeAutospacing="0" w:after="0" w:afterAutospacing="0" w:line="400" w:lineRule="exact"/>
              <w:ind w:left="0" w:right="0" w:firstLine="0" w:firstLineChars="0"/>
              <w:outlineLvl w:val="9"/>
              <w:rPr>
                <w:rFonts w:hint="eastAsia"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lang w:val="en-US" w:eastAsia="zh-CN"/>
              </w:rPr>
              <w:t>（3）进度计划内容包括但不限于：服务开始至期满计划安排，明确各阶段的目标、任务和时间节点；</w:t>
            </w:r>
          </w:p>
          <w:p w14:paraId="3CFB5EA3">
            <w:pPr>
              <w:keepNext w:val="0"/>
              <w:keepLines w:val="0"/>
              <w:numPr>
                <w:ilvl w:val="0"/>
                <w:numId w:val="0"/>
              </w:numPr>
              <w:suppressLineNumbers w:val="0"/>
              <w:spacing w:before="0" w:beforeAutospacing="0" w:after="0" w:afterAutospacing="0" w:line="400" w:lineRule="exact"/>
              <w:ind w:left="0" w:right="0" w:firstLine="0" w:firstLineChars="0"/>
              <w:outlineLvl w:val="9"/>
              <w:rPr>
                <w:rFonts w:hint="eastAsia"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lang w:val="en-US" w:eastAsia="zh-CN"/>
              </w:rPr>
              <w:t>（4）工艺运行管理内容包括但不限于：污泥处理参数监控、质量检测、药耗管理，对突发工艺异常的预案；</w:t>
            </w:r>
          </w:p>
          <w:p w14:paraId="2FC61F9E">
            <w:pPr>
              <w:keepNext w:val="0"/>
              <w:keepLines w:val="0"/>
              <w:numPr>
                <w:ilvl w:val="0"/>
                <w:numId w:val="0"/>
              </w:numPr>
              <w:suppressLineNumbers w:val="0"/>
              <w:spacing w:before="0" w:beforeAutospacing="0" w:after="0" w:afterAutospacing="0" w:line="400" w:lineRule="exact"/>
              <w:ind w:left="0" w:right="0" w:firstLine="0" w:firstLineChars="0"/>
              <w:outlineLvl w:val="9"/>
              <w:rPr>
                <w:rFonts w:hint="eastAsia"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lang w:val="en-US" w:eastAsia="zh-CN"/>
              </w:rPr>
              <w:t>（5）设备维护管理内容包括但不限于：设备选型、采购安装、日常维护与故障维修流程；</w:t>
            </w:r>
          </w:p>
          <w:p w14:paraId="0BF6A0C3">
            <w:pPr>
              <w:keepNext w:val="0"/>
              <w:keepLines w:val="0"/>
              <w:numPr>
                <w:ilvl w:val="0"/>
                <w:numId w:val="0"/>
              </w:numPr>
              <w:suppressLineNumbers w:val="0"/>
              <w:spacing w:before="0" w:beforeAutospacing="0" w:after="0" w:afterAutospacing="0" w:line="400" w:lineRule="exact"/>
              <w:ind w:left="0" w:right="0"/>
              <w:outlineLvl w:val="9"/>
              <w:rPr>
                <w:rFonts w:hint="default"/>
                <w:color w:val="auto"/>
                <w:highlight w:val="none"/>
              </w:rPr>
            </w:pPr>
            <w:r>
              <w:rPr>
                <w:rFonts w:hint="eastAsia" w:ascii="宋体" w:hAnsi="宋体" w:eastAsia="宋体" w:cs="宋体"/>
                <w:b/>
                <w:bCs/>
                <w:color w:val="auto"/>
                <w:kern w:val="0"/>
                <w:szCs w:val="21"/>
                <w:highlight w:val="none"/>
                <w:lang w:val="en-US" w:eastAsia="zh-CN"/>
              </w:rPr>
              <w:t>（6）应急预案及保障措施内容包括但不限于：针对污泥处理处置量突然增加、污泥处理设施意外停产和减产、生产事故应急处理、环境污染事故等的应急方案和保障措施。</w:t>
            </w:r>
          </w:p>
          <w:p w14:paraId="3446246E">
            <w:pPr>
              <w:keepNext w:val="0"/>
              <w:keepLines w:val="0"/>
              <w:numPr>
                <w:ilvl w:val="0"/>
                <w:numId w:val="0"/>
              </w:numPr>
              <w:suppressLineNumbers w:val="0"/>
              <w:spacing w:before="0" w:beforeAutospacing="0" w:after="0" w:afterAutospacing="0" w:line="400" w:lineRule="exact"/>
              <w:ind w:left="0" w:right="0" w:firstLine="0" w:firstLineChars="0"/>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优：投标人完整提供服务总体方案（1）、（2）、（3）、（4）、（5）、（6）全部内容，方案总体合理，无重大缺陷的，得</w:t>
            </w:r>
            <w:r>
              <w:rPr>
                <w:rFonts w:hint="eastAsia" w:ascii="宋体" w:hAnsi="宋体" w:eastAsia="宋体" w:cs="Times New Roman"/>
                <w:color w:val="auto"/>
                <w:kern w:val="2"/>
                <w:sz w:val="21"/>
                <w:szCs w:val="21"/>
                <w:highlight w:val="none"/>
                <w:lang w:val="en-US" w:eastAsia="zh-CN" w:bidi="ar-SA"/>
              </w:rPr>
              <w:t>6</w:t>
            </w:r>
            <w:r>
              <w:rPr>
                <w:rFonts w:hint="eastAsia" w:ascii="宋体" w:hAnsi="宋体" w:eastAsia="宋体" w:cs="宋体"/>
                <w:color w:val="auto"/>
                <w:kern w:val="0"/>
                <w:szCs w:val="21"/>
                <w:highlight w:val="none"/>
                <w:lang w:val="en-US" w:eastAsia="zh-CN"/>
              </w:rPr>
              <w:t>分。</w:t>
            </w:r>
          </w:p>
          <w:p w14:paraId="513968AB">
            <w:pPr>
              <w:keepNext w:val="0"/>
              <w:keepLines w:val="0"/>
              <w:numPr>
                <w:ilvl w:val="0"/>
                <w:numId w:val="0"/>
              </w:numPr>
              <w:suppressLineNumbers w:val="0"/>
              <w:spacing w:before="0" w:beforeAutospacing="0" w:after="0" w:afterAutospacing="0" w:line="400" w:lineRule="exact"/>
              <w:ind w:left="0" w:right="0" w:firstLine="0" w:firstLineChars="0"/>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中：投标人提供的服务总体方案有（1）、（2）、（3）、（4）、（5）、（6）项内容，但上述6项内容存在某项内容中的子内容缺漏的【如缺少（1）项内容中的“污泥处理处置全过程管理”】，方案总体合理，无重大缺陷的，得5分。</w:t>
            </w:r>
          </w:p>
          <w:p w14:paraId="51F9BE6B">
            <w:pPr>
              <w:keepNext w:val="0"/>
              <w:keepLines w:val="0"/>
              <w:numPr>
                <w:ilvl w:val="0"/>
                <w:numId w:val="0"/>
              </w:numPr>
              <w:suppressLineNumbers w:val="0"/>
              <w:spacing w:before="0" w:beforeAutospacing="0" w:after="0" w:afterAutospacing="0" w:line="400" w:lineRule="exact"/>
              <w:ind w:left="0" w:right="0" w:firstLine="0" w:firstLineChars="0"/>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差：投标人提供的服务总体方案存在缺项的【如缺少（1）项全部内容的】，方案总体合理，无重大缺陷的，得4分。</w:t>
            </w:r>
          </w:p>
          <w:p w14:paraId="58C99AFC">
            <w:pPr>
              <w:keepNext w:val="0"/>
              <w:keepLines w:val="0"/>
              <w:numPr>
                <w:ilvl w:val="0"/>
                <w:numId w:val="0"/>
              </w:numPr>
              <w:suppressLineNumbers w:val="0"/>
              <w:autoSpaceDE/>
              <w:autoSpaceDN/>
              <w:spacing w:before="0" w:beforeAutospacing="0" w:after="0" w:afterAutospacing="0" w:line="400" w:lineRule="exact"/>
              <w:ind w:left="0" w:right="0"/>
              <w:outlineLvl w:val="9"/>
              <w:rPr>
                <w:rFonts w:hint="eastAsia"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lang w:val="en-US" w:eastAsia="zh-CN"/>
              </w:rPr>
              <w:t>未提供服务总体方案的不得分。</w:t>
            </w:r>
          </w:p>
          <w:p w14:paraId="4580F714">
            <w:pPr>
              <w:keepNext w:val="0"/>
              <w:keepLines w:val="0"/>
              <w:numPr>
                <w:ilvl w:val="0"/>
                <w:numId w:val="0"/>
              </w:numPr>
              <w:suppressLineNumbers w:val="0"/>
              <w:autoSpaceDE/>
              <w:autoSpaceDN/>
              <w:spacing w:before="0" w:beforeAutospacing="0" w:after="0" w:afterAutospacing="0" w:line="400" w:lineRule="exact"/>
              <w:ind w:left="0" w:right="0"/>
              <w:outlineLvl w:val="9"/>
              <w:rPr>
                <w:rFonts w:hint="default"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lang w:val="en-US" w:eastAsia="zh-CN"/>
              </w:rPr>
              <w:t>备注：若投标人提供的方案不合理或存在重大缺陷的，在原得分基础上扣1分。</w:t>
            </w:r>
          </w:p>
        </w:tc>
        <w:tc>
          <w:tcPr>
            <w:tcW w:w="437" w:type="pct"/>
            <w:tcBorders>
              <w:top w:val="single" w:color="auto" w:sz="4" w:space="0"/>
              <w:left w:val="single" w:color="auto" w:sz="4" w:space="0"/>
              <w:bottom w:val="single" w:color="auto" w:sz="4" w:space="0"/>
              <w:right w:val="single" w:color="auto" w:sz="4" w:space="0"/>
            </w:tcBorders>
            <w:vAlign w:val="center"/>
          </w:tcPr>
          <w:p w14:paraId="2AC6F265">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lang w:val="en-US" w:eastAsia="zh-CN"/>
              </w:rPr>
            </w:pPr>
          </w:p>
          <w:p w14:paraId="5EF33D3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6分</w:t>
            </w:r>
          </w:p>
        </w:tc>
      </w:tr>
      <w:tr w14:paraId="59803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321" w:type="pct"/>
            <w:tcBorders>
              <w:top w:val="single" w:color="auto" w:sz="4" w:space="0"/>
              <w:left w:val="single" w:color="auto" w:sz="4" w:space="0"/>
              <w:right w:val="single" w:color="auto" w:sz="4" w:space="0"/>
            </w:tcBorders>
            <w:vAlign w:val="center"/>
          </w:tcPr>
          <w:p w14:paraId="266DE70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w:t>
            </w:r>
          </w:p>
        </w:tc>
        <w:tc>
          <w:tcPr>
            <w:tcW w:w="546" w:type="pct"/>
            <w:tcBorders>
              <w:top w:val="single" w:color="auto" w:sz="4" w:space="0"/>
              <w:left w:val="single" w:color="auto" w:sz="4" w:space="0"/>
              <w:right w:val="single" w:color="auto" w:sz="4" w:space="0"/>
            </w:tcBorders>
            <w:vAlign w:val="center"/>
          </w:tcPr>
          <w:p w14:paraId="4EFD857F">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项目衔接方案</w:t>
            </w:r>
          </w:p>
        </w:tc>
        <w:tc>
          <w:tcPr>
            <w:tcW w:w="3694" w:type="pct"/>
            <w:tcBorders>
              <w:top w:val="single" w:color="auto" w:sz="4" w:space="0"/>
              <w:left w:val="single" w:color="auto" w:sz="4" w:space="0"/>
              <w:bottom w:val="single" w:color="auto" w:sz="4" w:space="0"/>
              <w:right w:val="single" w:color="auto" w:sz="4" w:space="0"/>
            </w:tcBorders>
            <w:vAlign w:val="center"/>
          </w:tcPr>
          <w:p w14:paraId="1F5EEFA4">
            <w:pPr>
              <w:keepNext w:val="0"/>
              <w:keepLines w:val="0"/>
              <w:numPr>
                <w:ilvl w:val="0"/>
                <w:numId w:val="0"/>
              </w:numPr>
              <w:suppressLineNumbers w:val="0"/>
              <w:autoSpaceDE/>
              <w:autoSpaceDN/>
              <w:spacing w:before="0" w:beforeAutospacing="0" w:after="0" w:afterAutospacing="0" w:line="400" w:lineRule="exact"/>
              <w:ind w:left="0" w:right="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根据投标人提供的项目衔接方案（包括但不限于正常投运前过渡阶段的临时</w:t>
            </w:r>
            <w:r>
              <w:rPr>
                <w:rFonts w:hint="eastAsia" w:ascii="宋体" w:hAnsi="宋体" w:eastAsia="宋体" w:cs="宋体"/>
                <w:color w:val="auto"/>
                <w:sz w:val="21"/>
                <w:szCs w:val="21"/>
                <w:highlight w:val="none"/>
                <w:lang w:eastAsia="zh-CN"/>
              </w:rPr>
              <w:t>设施设备保障、</w:t>
            </w:r>
            <w:r>
              <w:rPr>
                <w:rFonts w:hint="eastAsia" w:ascii="宋体" w:hAnsi="宋体" w:eastAsia="宋体" w:cs="宋体"/>
                <w:color w:val="auto"/>
                <w:sz w:val="21"/>
                <w:szCs w:val="21"/>
                <w:highlight w:val="none"/>
              </w:rPr>
              <w:t>衔接保障</w:t>
            </w:r>
            <w:r>
              <w:rPr>
                <w:rFonts w:hint="eastAsia" w:ascii="宋体" w:hAnsi="宋体" w:eastAsia="宋体" w:cs="宋体"/>
                <w:color w:val="auto"/>
                <w:sz w:val="21"/>
                <w:szCs w:val="21"/>
                <w:highlight w:val="none"/>
                <w:lang w:eastAsia="zh-CN"/>
              </w:rPr>
              <w:t>措施</w:t>
            </w:r>
            <w:r>
              <w:rPr>
                <w:rFonts w:hint="eastAsia" w:ascii="宋体" w:hAnsi="宋体" w:eastAsia="宋体" w:cs="宋体"/>
                <w:color w:val="auto"/>
                <w:sz w:val="21"/>
                <w:szCs w:val="21"/>
                <w:highlight w:val="none"/>
              </w:rPr>
              <w:t>等）进行</w:t>
            </w:r>
            <w:r>
              <w:rPr>
                <w:rFonts w:hint="eastAsia" w:ascii="宋体" w:hAnsi="宋体" w:eastAsia="宋体" w:cs="宋体"/>
                <w:color w:val="auto"/>
                <w:sz w:val="21"/>
                <w:szCs w:val="21"/>
                <w:highlight w:val="none"/>
                <w:lang w:eastAsia="zh-CN"/>
              </w:rPr>
              <w:t>评审</w:t>
            </w:r>
            <w:r>
              <w:rPr>
                <w:rFonts w:hint="eastAsia" w:ascii="宋体" w:hAnsi="宋体" w:eastAsia="宋体" w:cs="宋体"/>
                <w:color w:val="auto"/>
                <w:sz w:val="21"/>
                <w:szCs w:val="21"/>
                <w:highlight w:val="none"/>
              </w:rPr>
              <w:t>：</w:t>
            </w:r>
          </w:p>
          <w:p w14:paraId="20CD0936">
            <w:pPr>
              <w:keepNext w:val="0"/>
              <w:keepLines w:val="0"/>
              <w:numPr>
                <w:ilvl w:val="0"/>
                <w:numId w:val="0"/>
              </w:numPr>
              <w:suppressLineNumbers w:val="0"/>
              <w:autoSpaceDE/>
              <w:autoSpaceDN/>
              <w:spacing w:before="0" w:beforeAutospacing="0" w:after="0" w:afterAutospacing="0" w:line="400" w:lineRule="exact"/>
              <w:ind w:left="0" w:right="0"/>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项目衔接方案内容包括但不限于：</w:t>
            </w:r>
          </w:p>
          <w:p w14:paraId="3BA16FF6">
            <w:pPr>
              <w:keepNext w:val="0"/>
              <w:keepLines w:val="0"/>
              <w:numPr>
                <w:ilvl w:val="0"/>
                <w:numId w:val="0"/>
              </w:numPr>
              <w:suppressLineNumbers w:val="0"/>
              <w:autoSpaceDE/>
              <w:autoSpaceDN/>
              <w:spacing w:before="0" w:beforeAutospacing="0" w:after="0" w:afterAutospacing="0" w:line="400" w:lineRule="exact"/>
              <w:ind w:left="0" w:right="0"/>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eastAsia="zh-CN"/>
              </w:rPr>
              <w:t>）临时设施设备保障内容（如有）包括但不限于：临时储存、处理、输送设备等的规格、数量和技术参数；临时设施设备的安装地点、进度计划等；</w:t>
            </w:r>
          </w:p>
          <w:p w14:paraId="5BC64653">
            <w:pPr>
              <w:keepNext w:val="0"/>
              <w:keepLines w:val="0"/>
              <w:numPr>
                <w:ilvl w:val="0"/>
                <w:numId w:val="0"/>
              </w:numPr>
              <w:suppressLineNumbers w:val="0"/>
              <w:autoSpaceDE/>
              <w:autoSpaceDN/>
              <w:spacing w:before="0" w:beforeAutospacing="0" w:after="0" w:afterAutospacing="0" w:line="400" w:lineRule="exact"/>
              <w:ind w:left="0" w:right="0"/>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eastAsia="zh-CN"/>
              </w:rPr>
              <w:t>）衔接保障措施内容包括但不限于：项目衔接过程中可能出现的各类突发情况，明确应对各类突发情况（如原服务单位无法按时拆除原有设备移交污泥脱水机房的情况下如何正常处置樟村水质净化厂产生的污泥，保证樟村水质净化厂的正常生产运营等）的措施、应急处理流程。</w:t>
            </w:r>
          </w:p>
          <w:p w14:paraId="25343369">
            <w:pPr>
              <w:keepNext w:val="0"/>
              <w:keepLines w:val="0"/>
              <w:numPr>
                <w:ilvl w:val="0"/>
                <w:numId w:val="0"/>
              </w:numPr>
              <w:suppressLineNumbers w:val="0"/>
              <w:autoSpaceDE/>
              <w:autoSpaceDN/>
              <w:spacing w:before="0" w:beforeAutospacing="0" w:after="0" w:afterAutospacing="0" w:line="400" w:lineRule="exact"/>
              <w:ind w:left="0" w:right="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优：</w:t>
            </w:r>
            <w:r>
              <w:rPr>
                <w:rFonts w:hint="eastAsia" w:ascii="宋体" w:hAnsi="宋体" w:eastAsia="宋体" w:cs="宋体"/>
                <w:color w:val="auto"/>
                <w:kern w:val="0"/>
                <w:szCs w:val="21"/>
                <w:highlight w:val="none"/>
                <w:lang w:val="en-US" w:eastAsia="zh-CN"/>
              </w:rPr>
              <w:t>投标人完整提供项目衔接方案（1）、（2）全部内容，方案总体合理，无重大缺陷的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1212D517">
            <w:pPr>
              <w:keepNext w:val="0"/>
              <w:keepLines w:val="0"/>
              <w:numPr>
                <w:ilvl w:val="0"/>
                <w:numId w:val="0"/>
              </w:numPr>
              <w:suppressLineNumbers w:val="0"/>
              <w:autoSpaceDE/>
              <w:autoSpaceDN/>
              <w:spacing w:before="0" w:beforeAutospacing="0" w:after="0" w:afterAutospacing="0" w:line="400" w:lineRule="exact"/>
              <w:ind w:left="0" w:right="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中：</w:t>
            </w:r>
            <w:r>
              <w:rPr>
                <w:rFonts w:hint="eastAsia" w:ascii="宋体" w:hAnsi="宋体" w:eastAsia="宋体" w:cs="宋体"/>
                <w:color w:val="auto"/>
                <w:kern w:val="0"/>
                <w:szCs w:val="21"/>
                <w:highlight w:val="none"/>
                <w:lang w:val="en-US" w:eastAsia="zh-CN"/>
              </w:rPr>
              <w:t>投标人提供的项目衔接方案有（1）、（2）项内容，但上述2项内容存在某项内容中的子内容缺漏的【如缺少（1）项内容中的“临时储存、处理、输送设备等的规格、数量和技术参数”】，方案总体合理，无重大缺陷的</w:t>
            </w:r>
            <w:r>
              <w:rPr>
                <w:rFonts w:hint="eastAsia" w:ascii="宋体" w:hAnsi="宋体" w:eastAsia="宋体" w:cs="宋体"/>
                <w:color w:val="auto"/>
                <w:sz w:val="21"/>
                <w:szCs w:val="21"/>
                <w:highlight w:val="none"/>
                <w:lang w:eastAsia="zh-CN"/>
              </w:rPr>
              <w:t>，得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分。</w:t>
            </w:r>
          </w:p>
          <w:p w14:paraId="4D2FA2F5">
            <w:pPr>
              <w:keepNext w:val="0"/>
              <w:keepLines w:val="0"/>
              <w:numPr>
                <w:ilvl w:val="0"/>
                <w:numId w:val="0"/>
              </w:numPr>
              <w:suppressLineNumbers w:val="0"/>
              <w:autoSpaceDE/>
              <w:autoSpaceDN/>
              <w:spacing w:before="0" w:beforeAutospacing="0" w:after="0" w:afterAutospacing="0" w:line="400" w:lineRule="exact"/>
              <w:ind w:left="0" w:right="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差：</w:t>
            </w:r>
            <w:r>
              <w:rPr>
                <w:rFonts w:hint="eastAsia" w:ascii="宋体" w:hAnsi="宋体" w:eastAsia="宋体" w:cs="宋体"/>
                <w:color w:val="auto"/>
                <w:kern w:val="0"/>
                <w:szCs w:val="21"/>
                <w:highlight w:val="none"/>
                <w:lang w:val="en-US" w:eastAsia="zh-CN"/>
              </w:rPr>
              <w:t>投标人提供的项目衔接方案存在缺项的【如缺少（1）项全部内容的】，方案总体合理，无重大缺陷的，得4分</w:t>
            </w:r>
            <w:r>
              <w:rPr>
                <w:rFonts w:hint="eastAsia" w:ascii="宋体" w:hAnsi="宋体" w:eastAsia="宋体" w:cs="宋体"/>
                <w:color w:val="auto"/>
                <w:sz w:val="21"/>
                <w:szCs w:val="21"/>
                <w:highlight w:val="none"/>
                <w:lang w:eastAsia="zh-CN"/>
              </w:rPr>
              <w:t>。</w:t>
            </w:r>
          </w:p>
          <w:p w14:paraId="0639DF49">
            <w:pPr>
              <w:keepNext w:val="0"/>
              <w:keepLines w:val="0"/>
              <w:numPr>
                <w:ilvl w:val="0"/>
                <w:numId w:val="0"/>
              </w:numPr>
              <w:suppressLineNumbers w:val="0"/>
              <w:autoSpaceDE/>
              <w:autoSpaceDN/>
              <w:spacing w:before="0" w:beforeAutospacing="0" w:after="0" w:afterAutospacing="0" w:line="400" w:lineRule="exact"/>
              <w:ind w:left="0" w:right="0"/>
              <w:outlineLvl w:val="9"/>
              <w:rPr>
                <w:rFonts w:hint="eastAsia"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lang w:val="en-US" w:eastAsia="zh-CN"/>
              </w:rPr>
              <w:t>未提供项目衔接方案的不得分。</w:t>
            </w:r>
          </w:p>
          <w:p w14:paraId="374547EA">
            <w:pPr>
              <w:keepNext w:val="0"/>
              <w:keepLines w:val="0"/>
              <w:numPr>
                <w:ilvl w:val="0"/>
                <w:numId w:val="0"/>
              </w:numPr>
              <w:suppressLineNumbers w:val="0"/>
              <w:autoSpaceDE/>
              <w:autoSpaceDN/>
              <w:spacing w:before="0" w:beforeAutospacing="0" w:after="0" w:afterAutospacing="0" w:line="400" w:lineRule="exact"/>
              <w:ind w:left="0" w:right="0"/>
              <w:outlineLvl w:val="9"/>
              <w:rPr>
                <w:rFonts w:hint="eastAsia"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lang w:val="en-US" w:eastAsia="zh-CN"/>
              </w:rPr>
              <w:t>备注：若投标人提供的方案不合理或存在重大缺陷的，在原得分基础上扣1分。</w:t>
            </w:r>
          </w:p>
        </w:tc>
        <w:tc>
          <w:tcPr>
            <w:tcW w:w="437" w:type="pct"/>
            <w:tcBorders>
              <w:top w:val="single" w:color="auto" w:sz="4" w:space="0"/>
              <w:left w:val="single" w:color="auto" w:sz="4" w:space="0"/>
              <w:bottom w:val="single" w:color="auto" w:sz="4" w:space="0"/>
              <w:right w:val="single" w:color="auto" w:sz="4" w:space="0"/>
            </w:tcBorders>
            <w:vAlign w:val="center"/>
          </w:tcPr>
          <w:p w14:paraId="5B8EDD60">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6分</w:t>
            </w:r>
          </w:p>
        </w:tc>
      </w:tr>
      <w:tr w14:paraId="5F785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7" w:hRule="atLeast"/>
          <w:jc w:val="center"/>
        </w:trPr>
        <w:tc>
          <w:tcPr>
            <w:tcW w:w="321" w:type="pct"/>
            <w:tcBorders>
              <w:top w:val="single" w:color="auto" w:sz="4" w:space="0"/>
              <w:left w:val="single" w:color="auto" w:sz="4" w:space="0"/>
              <w:bottom w:val="single" w:color="auto" w:sz="4" w:space="0"/>
              <w:right w:val="single" w:color="auto" w:sz="4" w:space="0"/>
            </w:tcBorders>
            <w:vAlign w:val="center"/>
          </w:tcPr>
          <w:p w14:paraId="07696C60">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w:t>
            </w:r>
          </w:p>
        </w:tc>
        <w:tc>
          <w:tcPr>
            <w:tcW w:w="546" w:type="pct"/>
            <w:tcBorders>
              <w:top w:val="single" w:color="auto" w:sz="4" w:space="0"/>
              <w:left w:val="single" w:color="auto" w:sz="4" w:space="0"/>
              <w:bottom w:val="single" w:color="auto" w:sz="4" w:space="0"/>
              <w:right w:val="single" w:color="auto" w:sz="4" w:space="0"/>
            </w:tcBorders>
            <w:vAlign w:val="center"/>
          </w:tcPr>
          <w:p w14:paraId="36107C8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污泥减量化（脱水至含水率</w:t>
            </w:r>
            <w:r>
              <w:rPr>
                <w:rFonts w:hint="default" w:ascii="宋体" w:hAnsi="宋体" w:eastAsia="宋体" w:cs="宋体"/>
                <w:color w:val="auto"/>
                <w:kern w:val="0"/>
                <w:szCs w:val="21"/>
                <w:highlight w:val="none"/>
                <w:lang w:val="en-US" w:eastAsia="zh-CN"/>
              </w:rPr>
              <w:t>≤50%</w:t>
            </w:r>
            <w:r>
              <w:rPr>
                <w:rFonts w:hint="eastAsia" w:ascii="宋体" w:hAnsi="宋体" w:eastAsia="宋体" w:cs="宋体"/>
                <w:color w:val="auto"/>
                <w:kern w:val="0"/>
                <w:szCs w:val="21"/>
                <w:highlight w:val="none"/>
                <w:lang w:val="en-US" w:eastAsia="zh-CN"/>
              </w:rPr>
              <w:t>）方案</w:t>
            </w:r>
          </w:p>
        </w:tc>
        <w:tc>
          <w:tcPr>
            <w:tcW w:w="3694" w:type="pct"/>
            <w:tcBorders>
              <w:top w:val="single" w:color="auto" w:sz="4" w:space="0"/>
              <w:left w:val="single" w:color="auto" w:sz="4" w:space="0"/>
              <w:bottom w:val="single" w:color="auto" w:sz="4" w:space="0"/>
              <w:right w:val="single" w:color="auto" w:sz="4" w:space="0"/>
            </w:tcBorders>
            <w:vAlign w:val="center"/>
          </w:tcPr>
          <w:p w14:paraId="5EF38D34">
            <w:pPr>
              <w:keepNext w:val="0"/>
              <w:keepLines w:val="0"/>
              <w:suppressLineNumbers w:val="0"/>
              <w:autoSpaceDE w:val="0"/>
              <w:autoSpaceDN w:val="0"/>
              <w:spacing w:before="0" w:beforeAutospacing="0" w:after="0" w:afterAutospacing="0" w:line="400" w:lineRule="exact"/>
              <w:ind w:left="0" w:right="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根据投标人提供的污泥脱水减量化处理服务技术方案，包括污泥脱水减量化处理工艺技术、污泥脱水减量化处理设备、设施及处理能力等方面进行评审：</w:t>
            </w:r>
          </w:p>
          <w:p w14:paraId="2491CF40">
            <w:pPr>
              <w:keepNext w:val="0"/>
              <w:keepLines w:val="0"/>
              <w:suppressLineNumbers w:val="0"/>
              <w:autoSpaceDE w:val="0"/>
              <w:autoSpaceDN w:val="0"/>
              <w:spacing w:before="0" w:beforeAutospacing="0" w:after="0" w:afterAutospacing="0" w:line="400" w:lineRule="exact"/>
              <w:ind w:left="0" w:right="0"/>
              <w:rPr>
                <w:rFonts w:hint="eastAsia"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lang w:val="en-US" w:eastAsia="zh-CN"/>
              </w:rPr>
              <w:t>污泥脱水减量化处理服务技术方案内容包括但不限于：</w:t>
            </w:r>
          </w:p>
          <w:p w14:paraId="6C0024C8">
            <w:pPr>
              <w:keepNext w:val="0"/>
              <w:keepLines w:val="0"/>
              <w:suppressLineNumbers w:val="0"/>
              <w:autoSpaceDE w:val="0"/>
              <w:autoSpaceDN w:val="0"/>
              <w:spacing w:before="0" w:beforeAutospacing="0" w:after="0" w:afterAutospacing="0" w:line="400" w:lineRule="exact"/>
              <w:ind w:left="0" w:right="0"/>
              <w:rPr>
                <w:rFonts w:hint="eastAsia"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lang w:val="en-US" w:eastAsia="zh-CN"/>
              </w:rPr>
              <w:t>（1）工艺技术内容包括但不限于：污泥脱水减量化处理工艺、处理流程、调理药剂类型等；</w:t>
            </w:r>
          </w:p>
          <w:p w14:paraId="7D5D9884">
            <w:pPr>
              <w:keepNext w:val="0"/>
              <w:keepLines w:val="0"/>
              <w:suppressLineNumbers w:val="0"/>
              <w:autoSpaceDE w:val="0"/>
              <w:autoSpaceDN w:val="0"/>
              <w:spacing w:before="0" w:beforeAutospacing="0" w:after="0" w:afterAutospacing="0" w:line="400" w:lineRule="exact"/>
              <w:ind w:left="0" w:right="0"/>
              <w:rPr>
                <w:rFonts w:hint="eastAsia"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lang w:val="en-US" w:eastAsia="zh-CN"/>
              </w:rPr>
              <w:t>（2）设备、设施内容包括但不限于：脱水减量化处理设备、配套处理设施；</w:t>
            </w:r>
          </w:p>
          <w:p w14:paraId="13BF9004">
            <w:pPr>
              <w:keepNext w:val="0"/>
              <w:keepLines w:val="0"/>
              <w:suppressLineNumbers w:val="0"/>
              <w:autoSpaceDE w:val="0"/>
              <w:autoSpaceDN w:val="0"/>
              <w:spacing w:before="0" w:beforeAutospacing="0" w:after="0" w:afterAutospacing="0" w:line="400" w:lineRule="exact"/>
              <w:ind w:left="0" w:right="0"/>
              <w:rPr>
                <w:rFonts w:hint="eastAsia"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lang w:val="en-US" w:eastAsia="zh-CN"/>
              </w:rPr>
              <w:t>（3）处理能力内容包括但不限于：处理能力计算过程说明、不同工况下的处理量核算依据、设备处理能力冗余性。</w:t>
            </w:r>
          </w:p>
          <w:p w14:paraId="51377686">
            <w:pPr>
              <w:keepNext w:val="0"/>
              <w:keepLines w:val="0"/>
              <w:suppressLineNumbers w:val="0"/>
              <w:autoSpaceDE w:val="0"/>
              <w:autoSpaceDN w:val="0"/>
              <w:spacing w:before="0" w:beforeAutospacing="0" w:after="0" w:afterAutospacing="0" w:line="400" w:lineRule="exact"/>
              <w:ind w:left="0" w:right="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优：投标人完整提供污泥脱水减量化处理服务技术方案（1）、（2）、（3）全部内容，方案总体合理，无重大缺陷的，得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r>
              <w:rPr>
                <w:rFonts w:hint="eastAsia" w:ascii="宋体" w:hAnsi="宋体" w:eastAsia="宋体" w:cs="宋体"/>
                <w:color w:val="auto"/>
                <w:kern w:val="0"/>
                <w:szCs w:val="21"/>
                <w:highlight w:val="none"/>
                <w:lang w:val="en-US" w:eastAsia="zh-CN"/>
              </w:rPr>
              <w:t>。</w:t>
            </w:r>
          </w:p>
          <w:p w14:paraId="4F74194A">
            <w:pPr>
              <w:keepNext w:val="0"/>
              <w:keepLines w:val="0"/>
              <w:suppressLineNumbers w:val="0"/>
              <w:autoSpaceDE w:val="0"/>
              <w:autoSpaceDN w:val="0"/>
              <w:spacing w:before="0" w:beforeAutospacing="0" w:after="0" w:afterAutospacing="0" w:line="400" w:lineRule="exact"/>
              <w:ind w:left="0" w:right="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中：投标人提供的污泥脱水减量化处理服务技术方案有（1）、（2）、（3）项内容，但上述3项内容存在某项内容中的子内容缺漏的【如缺少（1）项内容中的“污泥脱水减量化处理工艺”】，方案总体合理，无重大缺陷的，得3分。</w:t>
            </w:r>
          </w:p>
          <w:p w14:paraId="779E5F07">
            <w:pPr>
              <w:keepNext w:val="0"/>
              <w:keepLines w:val="0"/>
              <w:suppressLineNumbers w:val="0"/>
              <w:autoSpaceDE w:val="0"/>
              <w:autoSpaceDN w:val="0"/>
              <w:spacing w:before="0" w:beforeAutospacing="0" w:after="0" w:afterAutospacing="0" w:line="400" w:lineRule="exact"/>
              <w:ind w:left="0" w:right="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差：投标人提供的污泥脱水减量化处理服务技术方案存在缺项的【如缺少（1）项全部内容的】，方案总体合理，无重大缺陷的，得2分。</w:t>
            </w:r>
          </w:p>
          <w:p w14:paraId="6846D7A3">
            <w:pPr>
              <w:keepNext w:val="0"/>
              <w:keepLines w:val="0"/>
              <w:suppressLineNumbers w:val="0"/>
              <w:autoSpaceDE w:val="0"/>
              <w:autoSpaceDN w:val="0"/>
              <w:spacing w:before="0" w:beforeAutospacing="0" w:after="0" w:afterAutospacing="0" w:line="400" w:lineRule="exact"/>
              <w:ind w:left="0" w:right="0"/>
              <w:rPr>
                <w:rFonts w:hint="eastAsia"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lang w:val="en-US" w:eastAsia="zh-CN"/>
              </w:rPr>
              <w:t>未提供污泥脱水减量化处理服务技术方案的不得分。</w:t>
            </w:r>
          </w:p>
          <w:p w14:paraId="1E52A490">
            <w:pPr>
              <w:keepNext w:val="0"/>
              <w:keepLines w:val="0"/>
              <w:suppressLineNumbers w:val="0"/>
              <w:autoSpaceDE w:val="0"/>
              <w:autoSpaceDN w:val="0"/>
              <w:spacing w:before="0" w:beforeAutospacing="0" w:after="0" w:afterAutospacing="0" w:line="400" w:lineRule="exact"/>
              <w:ind w:left="0" w:right="0"/>
              <w:rPr>
                <w:rFonts w:hint="default"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lang w:val="en-US" w:eastAsia="zh-CN"/>
              </w:rPr>
              <w:t>备注：若投标人提供的方案不合理或存在重大缺陷的，在原得分基础上扣1分。</w:t>
            </w:r>
          </w:p>
        </w:tc>
        <w:tc>
          <w:tcPr>
            <w:tcW w:w="437" w:type="pct"/>
            <w:tcBorders>
              <w:top w:val="single" w:color="auto" w:sz="4" w:space="0"/>
              <w:left w:val="single" w:color="auto" w:sz="4" w:space="0"/>
              <w:bottom w:val="single" w:color="auto" w:sz="4" w:space="0"/>
              <w:right w:val="single" w:color="auto" w:sz="4" w:space="0"/>
            </w:tcBorders>
            <w:vAlign w:val="center"/>
          </w:tcPr>
          <w:p w14:paraId="5D0D8E2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4分</w:t>
            </w:r>
          </w:p>
        </w:tc>
      </w:tr>
      <w:tr w14:paraId="7BBFA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8" w:hRule="atLeast"/>
          <w:jc w:val="center"/>
        </w:trPr>
        <w:tc>
          <w:tcPr>
            <w:tcW w:w="321" w:type="pct"/>
            <w:vMerge w:val="restart"/>
            <w:tcBorders>
              <w:top w:val="single" w:color="auto" w:sz="4" w:space="0"/>
              <w:left w:val="single" w:color="auto" w:sz="4" w:space="0"/>
              <w:right w:val="single" w:color="auto" w:sz="4" w:space="0"/>
            </w:tcBorders>
            <w:vAlign w:val="center"/>
          </w:tcPr>
          <w:p w14:paraId="37D4FCD7">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w:t>
            </w:r>
          </w:p>
        </w:tc>
        <w:tc>
          <w:tcPr>
            <w:tcW w:w="546" w:type="pct"/>
            <w:vMerge w:val="restart"/>
            <w:tcBorders>
              <w:top w:val="single" w:color="auto" w:sz="4" w:space="0"/>
              <w:left w:val="single" w:color="auto" w:sz="4" w:space="0"/>
              <w:right w:val="single" w:color="auto" w:sz="4" w:space="0"/>
            </w:tcBorders>
            <w:vAlign w:val="center"/>
          </w:tcPr>
          <w:p w14:paraId="46F4E43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泥块外运及最终处置方案</w:t>
            </w:r>
          </w:p>
        </w:tc>
        <w:tc>
          <w:tcPr>
            <w:tcW w:w="3694" w:type="pct"/>
            <w:tcBorders>
              <w:top w:val="single" w:color="auto" w:sz="4" w:space="0"/>
              <w:left w:val="single" w:color="auto" w:sz="4" w:space="0"/>
              <w:bottom w:val="single" w:color="auto" w:sz="4" w:space="0"/>
              <w:right w:val="single" w:color="auto" w:sz="4" w:space="0"/>
            </w:tcBorders>
            <w:vAlign w:val="center"/>
          </w:tcPr>
          <w:p w14:paraId="4335313B">
            <w:pPr>
              <w:keepNext w:val="0"/>
              <w:keepLines w:val="0"/>
              <w:numPr>
                <w:ilvl w:val="-1"/>
                <w:numId w:val="0"/>
              </w:numPr>
              <w:suppressLineNumbers w:val="0"/>
              <w:autoSpaceDE w:val="0"/>
              <w:autoSpaceDN w:val="0"/>
              <w:spacing w:before="0" w:beforeAutospacing="0" w:after="0" w:afterAutospacing="0" w:line="400" w:lineRule="exact"/>
              <w:ind w:left="0" w:right="0" w:firstLine="0" w:firstLineChars="0"/>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1.根据投标人提供的泥块外运及最终处置方案，包括</w:t>
            </w:r>
            <w:r>
              <w:rPr>
                <w:rFonts w:hint="eastAsia" w:ascii="宋体" w:hAnsi="宋体" w:eastAsia="宋体" w:cs="宋体"/>
                <w:color w:val="auto"/>
                <w:highlight w:val="none"/>
              </w:rPr>
              <w:t>运输能力</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运输管理</w:t>
            </w:r>
            <w:r>
              <w:rPr>
                <w:rFonts w:hint="eastAsia" w:ascii="宋体" w:hAnsi="宋体" w:eastAsia="宋体" w:cs="宋体"/>
                <w:color w:val="auto"/>
                <w:kern w:val="0"/>
                <w:szCs w:val="21"/>
                <w:highlight w:val="none"/>
                <w:lang w:val="en-US" w:eastAsia="zh-CN"/>
              </w:rPr>
              <w:t>、保障樟村水质净化厂正常运营的具体措施</w:t>
            </w:r>
            <w:r>
              <w:rPr>
                <w:rFonts w:hint="eastAsia" w:ascii="宋体" w:hAnsi="宋体" w:eastAsia="宋体" w:cs="宋体"/>
                <w:color w:val="auto"/>
                <w:sz w:val="21"/>
                <w:szCs w:val="21"/>
                <w:highlight w:val="none"/>
              </w:rPr>
              <w:t>等方面</w:t>
            </w:r>
            <w:r>
              <w:rPr>
                <w:rFonts w:hint="eastAsia" w:ascii="宋体" w:hAnsi="宋体" w:eastAsia="宋体" w:cs="宋体"/>
                <w:color w:val="auto"/>
                <w:kern w:val="0"/>
                <w:szCs w:val="21"/>
                <w:highlight w:val="none"/>
                <w:lang w:val="en-US" w:eastAsia="zh-CN"/>
              </w:rPr>
              <w:t>进行评审：</w:t>
            </w:r>
          </w:p>
          <w:p w14:paraId="0C94F4B0">
            <w:pPr>
              <w:keepNext w:val="0"/>
              <w:keepLines w:val="0"/>
              <w:suppressLineNumbers w:val="0"/>
              <w:autoSpaceDE w:val="0"/>
              <w:autoSpaceDN w:val="0"/>
              <w:spacing w:before="0" w:beforeAutospacing="0" w:after="0" w:afterAutospacing="0" w:line="400" w:lineRule="exact"/>
              <w:ind w:left="0" w:right="0"/>
              <w:rPr>
                <w:rFonts w:hint="eastAsia"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lang w:val="en-US" w:eastAsia="zh-CN"/>
              </w:rPr>
              <w:t>泥块外运及最终处置方案包括但不限于：</w:t>
            </w:r>
          </w:p>
          <w:p w14:paraId="00D5A60F">
            <w:pPr>
              <w:keepNext w:val="0"/>
              <w:keepLines w:val="0"/>
              <w:suppressLineNumbers w:val="0"/>
              <w:autoSpaceDE w:val="0"/>
              <w:autoSpaceDN w:val="0"/>
              <w:spacing w:before="0" w:beforeAutospacing="0" w:after="0" w:afterAutospacing="0" w:line="400" w:lineRule="exact"/>
              <w:ind w:left="0" w:right="0"/>
              <w:rPr>
                <w:rFonts w:hint="eastAsia"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lang w:val="en-US" w:eastAsia="zh-CN"/>
              </w:rPr>
              <w:t>（1）运输能力内容包括但不限于：运输车辆数量、运输路线规划、运输频次；</w:t>
            </w:r>
          </w:p>
          <w:p w14:paraId="65B889F5">
            <w:pPr>
              <w:keepNext w:val="0"/>
              <w:keepLines w:val="0"/>
              <w:suppressLineNumbers w:val="0"/>
              <w:autoSpaceDE w:val="0"/>
              <w:autoSpaceDN w:val="0"/>
              <w:spacing w:before="0" w:beforeAutospacing="0" w:after="0" w:afterAutospacing="0" w:line="400" w:lineRule="exact"/>
              <w:ind w:left="0" w:right="0"/>
              <w:rPr>
                <w:rFonts w:hint="eastAsia"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lang w:val="en-US" w:eastAsia="zh-CN"/>
              </w:rPr>
              <w:t>（2）运输管理内容包括但不限于：调度机制、监控机制、应急处理机制；</w:t>
            </w:r>
          </w:p>
          <w:p w14:paraId="743417FF">
            <w:pPr>
              <w:keepNext w:val="0"/>
              <w:keepLines w:val="0"/>
              <w:numPr>
                <w:ilvl w:val="-1"/>
                <w:numId w:val="0"/>
              </w:numPr>
              <w:suppressLineNumbers w:val="0"/>
              <w:autoSpaceDE w:val="0"/>
              <w:autoSpaceDN w:val="0"/>
              <w:spacing w:before="0" w:beforeAutospacing="0" w:after="0" w:afterAutospacing="0" w:line="400" w:lineRule="exact"/>
              <w:ind w:left="0" w:right="0" w:firstLine="0" w:firstLineChars="0"/>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b/>
                <w:bCs/>
                <w:color w:val="auto"/>
                <w:kern w:val="0"/>
                <w:szCs w:val="21"/>
                <w:highlight w:val="none"/>
                <w:lang w:val="en-US" w:eastAsia="zh-CN"/>
              </w:rPr>
              <w:t>（3）保障樟村水质净化厂正常运营的具体措施。</w:t>
            </w:r>
          </w:p>
          <w:p w14:paraId="26E30D18">
            <w:pPr>
              <w:keepNext w:val="0"/>
              <w:keepLines w:val="0"/>
              <w:suppressLineNumbers w:val="0"/>
              <w:autoSpaceDE w:val="0"/>
              <w:autoSpaceDN w:val="0"/>
              <w:spacing w:before="0" w:beforeAutospacing="0" w:after="0" w:afterAutospacing="0" w:line="400" w:lineRule="exact"/>
              <w:ind w:left="0" w:right="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优：投标人完整提供泥块外运及最终处置方案（1）、（2）、（3）全部内容，方案总体合理，无重大缺陷的，得4</w:t>
            </w:r>
            <w:r>
              <w:rPr>
                <w:rFonts w:hint="eastAsia" w:ascii="宋体" w:hAnsi="宋体" w:eastAsia="宋体" w:cs="宋体"/>
                <w:color w:val="auto"/>
                <w:sz w:val="21"/>
                <w:szCs w:val="21"/>
                <w:highlight w:val="none"/>
              </w:rPr>
              <w:t>分</w:t>
            </w:r>
            <w:r>
              <w:rPr>
                <w:rFonts w:hint="eastAsia" w:ascii="宋体" w:hAnsi="宋体" w:eastAsia="宋体" w:cs="宋体"/>
                <w:color w:val="auto"/>
                <w:kern w:val="0"/>
                <w:szCs w:val="21"/>
                <w:highlight w:val="none"/>
                <w:lang w:val="en-US" w:eastAsia="zh-CN"/>
              </w:rPr>
              <w:t>。</w:t>
            </w:r>
          </w:p>
          <w:p w14:paraId="52260FD6">
            <w:pPr>
              <w:keepNext w:val="0"/>
              <w:keepLines w:val="0"/>
              <w:suppressLineNumbers w:val="0"/>
              <w:autoSpaceDE w:val="0"/>
              <w:autoSpaceDN w:val="0"/>
              <w:spacing w:before="0" w:beforeAutospacing="0" w:after="0" w:afterAutospacing="0" w:line="400" w:lineRule="exact"/>
              <w:ind w:left="0" w:right="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中：投标人提供的泥块外运及最终处置方案有（1）、（2）、（3）项内容，但上述3项内容存在某项内容中的子内容缺漏的【如缺少（1）项内容中的“运输车辆数量”】，方案总体合理，无重大缺陷的，得3分。</w:t>
            </w:r>
          </w:p>
          <w:p w14:paraId="4CA80E97">
            <w:pPr>
              <w:keepNext w:val="0"/>
              <w:keepLines w:val="0"/>
              <w:suppressLineNumbers w:val="0"/>
              <w:autoSpaceDE w:val="0"/>
              <w:autoSpaceDN w:val="0"/>
              <w:spacing w:before="0" w:beforeAutospacing="0" w:after="0" w:afterAutospacing="0" w:line="400" w:lineRule="exact"/>
              <w:ind w:left="0" w:right="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差：投标人提供的泥块外运及最终处置方案存在缺项的【如缺少（1）项全部内容的】，方案总体合理，无重大缺陷的，得2分。</w:t>
            </w:r>
          </w:p>
          <w:p w14:paraId="4BF9AF8F">
            <w:pPr>
              <w:keepNext w:val="0"/>
              <w:keepLines w:val="0"/>
              <w:suppressLineNumbers w:val="0"/>
              <w:autoSpaceDE w:val="0"/>
              <w:autoSpaceDN w:val="0"/>
              <w:adjustRightInd w:val="0"/>
              <w:spacing w:before="0" w:beforeAutospacing="0" w:after="0" w:afterAutospacing="0" w:line="400" w:lineRule="exact"/>
              <w:ind w:left="0" w:right="0"/>
              <w:rPr>
                <w:rFonts w:hint="eastAsia"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lang w:val="en-US" w:eastAsia="zh-CN"/>
              </w:rPr>
              <w:t>未提供泥块外运及最终处置方案的不得分。</w:t>
            </w:r>
          </w:p>
          <w:p w14:paraId="04045E3B">
            <w:pPr>
              <w:keepNext w:val="0"/>
              <w:keepLines w:val="0"/>
              <w:suppressLineNumbers w:val="0"/>
              <w:autoSpaceDE w:val="0"/>
              <w:autoSpaceDN w:val="0"/>
              <w:adjustRightInd w:val="0"/>
              <w:spacing w:before="0" w:beforeAutospacing="0" w:after="0" w:afterAutospacing="0" w:line="400" w:lineRule="exact"/>
              <w:ind w:left="0" w:right="0"/>
              <w:rPr>
                <w:rFonts w:hint="default"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lang w:val="en-US" w:eastAsia="zh-CN"/>
              </w:rPr>
              <w:t>备注：若投标人提供的方案不合理或存在重大缺陷的，在原得分基础上扣1分。</w:t>
            </w:r>
          </w:p>
        </w:tc>
        <w:tc>
          <w:tcPr>
            <w:tcW w:w="437" w:type="pct"/>
            <w:tcBorders>
              <w:top w:val="single" w:color="auto" w:sz="4" w:space="0"/>
              <w:left w:val="single" w:color="auto" w:sz="4" w:space="0"/>
              <w:bottom w:val="single" w:color="auto" w:sz="4" w:space="0"/>
              <w:right w:val="single" w:color="auto" w:sz="4" w:space="0"/>
            </w:tcBorders>
            <w:vAlign w:val="center"/>
          </w:tcPr>
          <w:p w14:paraId="1962B371">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4分</w:t>
            </w:r>
          </w:p>
        </w:tc>
      </w:tr>
      <w:tr w14:paraId="60B2A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7" w:hRule="atLeast"/>
          <w:jc w:val="center"/>
        </w:trPr>
        <w:tc>
          <w:tcPr>
            <w:tcW w:w="321" w:type="pct"/>
            <w:vMerge w:val="continue"/>
            <w:tcBorders>
              <w:left w:val="single" w:color="auto" w:sz="4" w:space="0"/>
              <w:bottom w:val="single" w:color="auto" w:sz="4" w:space="0"/>
              <w:right w:val="single" w:color="auto" w:sz="4" w:space="0"/>
            </w:tcBorders>
            <w:vAlign w:val="center"/>
          </w:tcPr>
          <w:p w14:paraId="094C479C">
            <w:pPr>
              <w:keepNext w:val="0"/>
              <w:keepLines w:val="0"/>
              <w:suppressLineNumbers w:val="0"/>
              <w:autoSpaceDE w:val="0"/>
              <w:autoSpaceDN w:val="0"/>
              <w:adjustRightInd w:val="0"/>
              <w:spacing w:before="0" w:beforeAutospacing="0" w:after="0" w:afterAutospacing="0" w:line="400" w:lineRule="exact"/>
              <w:ind w:left="0" w:right="0"/>
              <w:jc w:val="center"/>
              <w:rPr>
                <w:rFonts w:hint="eastAsia" w:ascii="宋体" w:hAnsi="宋体" w:eastAsia="宋体" w:cs="宋体"/>
                <w:color w:val="auto"/>
                <w:kern w:val="0"/>
                <w:szCs w:val="21"/>
                <w:highlight w:val="none"/>
                <w:lang w:val="en-US" w:eastAsia="zh-CN"/>
              </w:rPr>
            </w:pPr>
          </w:p>
        </w:tc>
        <w:tc>
          <w:tcPr>
            <w:tcW w:w="546" w:type="pct"/>
            <w:vMerge w:val="continue"/>
            <w:tcBorders>
              <w:left w:val="single" w:color="auto" w:sz="4" w:space="0"/>
              <w:bottom w:val="single" w:color="auto" w:sz="4" w:space="0"/>
              <w:right w:val="single" w:color="auto" w:sz="4" w:space="0"/>
            </w:tcBorders>
            <w:vAlign w:val="center"/>
          </w:tcPr>
          <w:p w14:paraId="2436844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694" w:type="pct"/>
            <w:tcBorders>
              <w:top w:val="single" w:color="auto" w:sz="4" w:space="0"/>
              <w:left w:val="single" w:color="auto" w:sz="4" w:space="0"/>
              <w:bottom w:val="single" w:color="auto" w:sz="4" w:space="0"/>
              <w:right w:val="single" w:color="auto" w:sz="4" w:space="0"/>
            </w:tcBorders>
            <w:vAlign w:val="center"/>
          </w:tcPr>
          <w:p w14:paraId="57BCFCA6">
            <w:pPr>
              <w:keepNext w:val="0"/>
              <w:keepLines w:val="0"/>
              <w:suppressLineNumbers w:val="0"/>
              <w:adjustRightInd/>
              <w:spacing w:before="0" w:beforeAutospacing="0" w:after="0" w:afterAutospacing="0" w:line="360" w:lineRule="auto"/>
              <w:ind w:left="0" w:right="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污泥(脱水泥块)处置场所（满分10分）：</w:t>
            </w:r>
          </w:p>
          <w:p w14:paraId="19CC8FD7">
            <w:pPr>
              <w:keepNext w:val="0"/>
              <w:keepLines w:val="0"/>
              <w:suppressLineNumbers w:val="0"/>
              <w:adjustRightInd/>
              <w:spacing w:before="0" w:beforeAutospacing="0" w:after="0" w:afterAutospacing="0" w:line="360" w:lineRule="auto"/>
              <w:ind w:left="0" w:right="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①污泥(脱水泥块)处置场所为东莞市行政区域内，得5分；污泥(脱水泥块)处置场所为东莞市行政区域外，得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分。</w:t>
            </w:r>
          </w:p>
          <w:p w14:paraId="2245F6A8">
            <w:pPr>
              <w:keepNext w:val="0"/>
              <w:keepLines w:val="0"/>
              <w:suppressLineNumbers w:val="0"/>
              <w:adjustRightInd/>
              <w:spacing w:before="0" w:beforeAutospacing="0" w:after="0" w:afterAutospacing="0" w:line="360" w:lineRule="auto"/>
              <w:ind w:left="0" w:right="0"/>
              <w:jc w:val="lef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②污泥(脱水泥块)处置工艺为焚烧工艺或建材资源化利用工艺的，得5分，其他处置工艺，得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分。</w:t>
            </w:r>
          </w:p>
          <w:p w14:paraId="0555F49B">
            <w:pPr>
              <w:keepNext w:val="0"/>
              <w:keepLines w:val="0"/>
              <w:suppressLineNumbers w:val="0"/>
              <w:adjustRightInd/>
              <w:spacing w:before="0" w:beforeAutospacing="0" w:after="0" w:afterAutospacing="0" w:line="360" w:lineRule="auto"/>
              <w:ind w:left="0" w:right="0"/>
              <w:jc w:val="left"/>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备注:</w:t>
            </w:r>
          </w:p>
          <w:p w14:paraId="5A6EAFA0">
            <w:pPr>
              <w:keepNext w:val="0"/>
              <w:keepLines w:val="0"/>
              <w:suppressLineNumbers w:val="0"/>
              <w:adjustRightInd/>
              <w:spacing w:before="0" w:beforeAutospacing="0" w:after="0" w:afterAutospacing="0" w:line="360" w:lineRule="auto"/>
              <w:ind w:left="0" w:right="0"/>
              <w:jc w:val="left"/>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(1)污泥(脱水泥块)处置</w:t>
            </w:r>
            <w:r>
              <w:rPr>
                <w:rFonts w:hint="eastAsia" w:ascii="宋体" w:hAnsi="宋体" w:eastAsia="宋体" w:cs="宋体"/>
                <w:b/>
                <w:bCs/>
                <w:color w:val="auto"/>
                <w:kern w:val="2"/>
                <w:sz w:val="21"/>
                <w:szCs w:val="21"/>
                <w:highlight w:val="none"/>
                <w:lang w:val="en-US" w:eastAsia="zh-CN" w:bidi="ar-SA"/>
              </w:rPr>
              <w:t>场所</w:t>
            </w:r>
            <w:r>
              <w:rPr>
                <w:rFonts w:hint="eastAsia" w:ascii="宋体" w:hAnsi="宋体" w:eastAsia="宋体" w:cs="宋体"/>
                <w:b/>
                <w:bCs/>
                <w:color w:val="auto"/>
                <w:sz w:val="21"/>
                <w:szCs w:val="21"/>
                <w:highlight w:val="none"/>
                <w:lang w:val="zh-CN"/>
              </w:rPr>
              <w:t>、工艺等条件投标人需提供对应佐证材料：需提供污泥(脱水泥块)处置单位的环境影响报告及环评批复复印件，环境影响报告</w:t>
            </w:r>
            <w:r>
              <w:rPr>
                <w:rFonts w:hint="eastAsia" w:ascii="宋体" w:hAnsi="宋体" w:eastAsia="宋体" w:cs="宋体"/>
                <w:b/>
                <w:bCs/>
                <w:color w:val="auto"/>
                <w:sz w:val="21"/>
                <w:szCs w:val="21"/>
                <w:highlight w:val="none"/>
                <w:lang w:val="en-US" w:eastAsia="zh-CN"/>
              </w:rPr>
              <w:t>或</w:t>
            </w:r>
            <w:r>
              <w:rPr>
                <w:rFonts w:hint="eastAsia" w:ascii="宋体" w:hAnsi="宋体" w:eastAsia="宋体" w:cs="宋体"/>
                <w:b/>
                <w:bCs/>
                <w:color w:val="auto"/>
                <w:sz w:val="21"/>
                <w:szCs w:val="21"/>
                <w:highlight w:val="none"/>
                <w:lang w:val="zh-CN"/>
              </w:rPr>
              <w:t>环评批复需体现污泥(脱水泥块)处置</w:t>
            </w:r>
            <w:r>
              <w:rPr>
                <w:rFonts w:hint="eastAsia" w:ascii="宋体" w:hAnsi="宋体" w:eastAsia="宋体" w:cs="宋体"/>
                <w:b/>
                <w:bCs/>
                <w:color w:val="auto"/>
                <w:sz w:val="21"/>
                <w:szCs w:val="21"/>
                <w:highlight w:val="none"/>
                <w:lang w:val="zh-CN" w:eastAsia="zh-CN"/>
              </w:rPr>
              <w:t>场所</w:t>
            </w:r>
            <w:r>
              <w:rPr>
                <w:rFonts w:hint="eastAsia" w:ascii="宋体" w:hAnsi="宋体" w:eastAsia="宋体" w:cs="宋体"/>
                <w:b/>
                <w:bCs/>
                <w:color w:val="auto"/>
                <w:sz w:val="21"/>
                <w:szCs w:val="21"/>
                <w:highlight w:val="none"/>
                <w:lang w:val="zh-CN"/>
              </w:rPr>
              <w:t>和处置工艺，污泥(脱水泥块)处置单位可为投标人，亦可为投标人合作单位，若污泥(脱水泥块)处置单位为投标人合作单位，需提供污泥(脱水泥块)处置合作协议复印件。</w:t>
            </w:r>
          </w:p>
          <w:p w14:paraId="700C2FD2">
            <w:pPr>
              <w:keepNext w:val="0"/>
              <w:keepLines w:val="0"/>
              <w:suppressLineNumbers w:val="0"/>
              <w:adjustRightInd/>
              <w:spacing w:before="0" w:beforeAutospacing="0" w:after="0" w:afterAutospacing="0" w:line="360" w:lineRule="auto"/>
              <w:ind w:left="0" w:right="0"/>
              <w:jc w:val="left"/>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(2)若污泥(脱水泥块)处置场所为</w:t>
            </w:r>
            <w:r>
              <w:rPr>
                <w:rFonts w:hint="eastAsia" w:ascii="宋体" w:hAnsi="宋体" w:eastAsia="宋体" w:cs="宋体"/>
                <w:b/>
                <w:bCs/>
                <w:color w:val="auto"/>
                <w:sz w:val="21"/>
                <w:szCs w:val="21"/>
                <w:highlight w:val="none"/>
                <w:lang w:val="zh-CN" w:eastAsia="zh-CN"/>
              </w:rPr>
              <w:t>广东省行政区域外</w:t>
            </w:r>
            <w:r>
              <w:rPr>
                <w:rFonts w:hint="eastAsia" w:ascii="宋体" w:hAnsi="宋体" w:eastAsia="宋体" w:cs="宋体"/>
                <w:b/>
                <w:bCs/>
                <w:color w:val="auto"/>
                <w:sz w:val="21"/>
                <w:szCs w:val="21"/>
                <w:highlight w:val="none"/>
                <w:lang w:val="zh-CN"/>
              </w:rPr>
              <w:t>，投标人需提供取得污泥处置地</w:t>
            </w:r>
            <w:r>
              <w:rPr>
                <w:rFonts w:hint="eastAsia" w:ascii="宋体" w:hAnsi="宋体" w:eastAsia="宋体" w:cs="宋体"/>
                <w:b/>
                <w:bCs/>
                <w:color w:val="auto"/>
                <w:sz w:val="21"/>
                <w:szCs w:val="21"/>
                <w:highlight w:val="none"/>
                <w:lang w:val="zh-CN" w:eastAsia="zh-CN"/>
              </w:rPr>
              <w:t>省、自治区、直辖市人民政府生态环境主管部门同意接受外地(包含广东省)</w:t>
            </w:r>
            <w:r>
              <w:rPr>
                <w:rFonts w:hint="eastAsia" w:ascii="宋体" w:hAnsi="宋体" w:eastAsia="宋体" w:cs="宋体"/>
                <w:b/>
                <w:bCs/>
                <w:color w:val="auto"/>
                <w:sz w:val="21"/>
                <w:szCs w:val="21"/>
                <w:highlight w:val="none"/>
                <w:lang w:val="zh-CN"/>
              </w:rPr>
              <w:t>污泥处置证明文件复印件。</w:t>
            </w:r>
          </w:p>
          <w:p w14:paraId="7CE313DA">
            <w:pPr>
              <w:keepNext w:val="0"/>
              <w:keepLines w:val="0"/>
              <w:suppressLineNumbers w:val="0"/>
              <w:adjustRightInd/>
              <w:spacing w:before="0" w:beforeAutospacing="0" w:after="0" w:afterAutospacing="0" w:line="360" w:lineRule="auto"/>
              <w:ind w:left="0" w:right="0"/>
              <w:jc w:val="left"/>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eastAsia="zh-CN"/>
              </w:rPr>
              <w:t>(3)未按上述要求提供证明材料的，在评标时将不予考虑。</w:t>
            </w:r>
          </w:p>
        </w:tc>
        <w:tc>
          <w:tcPr>
            <w:tcW w:w="437" w:type="pct"/>
            <w:tcBorders>
              <w:top w:val="single" w:color="auto" w:sz="4" w:space="0"/>
              <w:left w:val="single" w:color="auto" w:sz="4" w:space="0"/>
              <w:bottom w:val="single" w:color="auto" w:sz="4" w:space="0"/>
              <w:right w:val="single" w:color="auto" w:sz="4" w:space="0"/>
            </w:tcBorders>
            <w:vAlign w:val="center"/>
          </w:tcPr>
          <w:p w14:paraId="63C24CD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10分</w:t>
            </w:r>
          </w:p>
        </w:tc>
      </w:tr>
      <w:bookmarkEnd w:id="1220"/>
    </w:tbl>
    <w:p w14:paraId="3FF69296">
      <w:pPr>
        <w:keepNext w:val="0"/>
        <w:keepLines w:val="0"/>
        <w:pageBreakBefore w:val="0"/>
        <w:widowControl w:val="0"/>
        <w:kinsoku/>
        <w:wordWrap/>
        <w:overflowPunct/>
        <w:topLinePunct w:val="0"/>
        <w:autoSpaceDE w:val="0"/>
        <w:autoSpaceDN w:val="0"/>
        <w:bidi w:val="0"/>
        <w:adjustRightInd w:val="0"/>
        <w:snapToGrid/>
        <w:spacing w:before="327" w:beforeLines="100" w:line="360" w:lineRule="auto"/>
        <w:ind w:left="420" w:leftChars="200" w:firstLine="420" w:firstLineChars="200"/>
        <w:textAlignment w:val="auto"/>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备注：</w:t>
      </w:r>
    </w:p>
    <w:p w14:paraId="17DEDD6A">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①表中“</w:t>
      </w:r>
      <w:r>
        <w:rPr>
          <w:rFonts w:ascii="宋体" w:hAnsi="宋体" w:eastAsia="宋体" w:cs="宋体"/>
          <w:color w:val="auto"/>
          <w:szCs w:val="24"/>
          <w:highlight w:val="none"/>
          <w:lang w:val="zh-CN"/>
        </w:rPr>
        <w:t>[”代表闭区间，“]”代表闭区间，如[0，1]代表该分数段范围为大于等</w:t>
      </w:r>
      <w:r>
        <w:rPr>
          <w:rFonts w:hint="eastAsia" w:ascii="宋体" w:hAnsi="宋体" w:eastAsia="宋体" w:cs="宋体"/>
          <w:color w:val="auto"/>
          <w:szCs w:val="24"/>
          <w:highlight w:val="none"/>
          <w:lang w:val="zh-CN"/>
        </w:rPr>
        <w:t>于</w:t>
      </w:r>
      <w:r>
        <w:rPr>
          <w:rFonts w:ascii="宋体" w:hAnsi="宋体" w:eastAsia="宋体" w:cs="宋体"/>
          <w:color w:val="auto"/>
          <w:szCs w:val="24"/>
          <w:highlight w:val="none"/>
          <w:lang w:val="zh-CN"/>
        </w:rPr>
        <w:t>0且小于等于1。表中“（”代表开区间，“]”代表闭区间，如（1，2]代表该分数段范</w:t>
      </w:r>
      <w:r>
        <w:rPr>
          <w:rFonts w:hint="eastAsia" w:ascii="宋体" w:hAnsi="宋体" w:eastAsia="宋体" w:cs="宋体"/>
          <w:color w:val="auto"/>
          <w:szCs w:val="24"/>
          <w:highlight w:val="none"/>
          <w:lang w:val="zh-CN"/>
        </w:rPr>
        <w:t>围为大于</w:t>
      </w:r>
      <w:r>
        <w:rPr>
          <w:rFonts w:ascii="宋体" w:hAnsi="宋体" w:eastAsia="宋体" w:cs="宋体"/>
          <w:color w:val="auto"/>
          <w:szCs w:val="24"/>
          <w:highlight w:val="none"/>
          <w:lang w:val="zh-CN"/>
        </w:rPr>
        <w:t>1且小于等于2。</w:t>
      </w:r>
    </w:p>
    <w:p w14:paraId="37CB3CA5">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ascii="宋体" w:hAnsi="宋体" w:eastAsia="宋体" w:cs="宋体"/>
          <w:color w:val="auto"/>
          <w:szCs w:val="24"/>
          <w:highlight w:val="none"/>
          <w:lang w:val="zh-CN"/>
        </w:rPr>
        <w:t>②分数出现小数点，保留小数点后2位，从小数点后第3位四</w:t>
      </w:r>
      <w:r>
        <w:rPr>
          <w:rFonts w:hint="eastAsia" w:ascii="宋体" w:hAnsi="宋体" w:eastAsia="宋体" w:cs="宋体"/>
          <w:color w:val="auto"/>
          <w:szCs w:val="24"/>
          <w:highlight w:val="none"/>
          <w:lang w:val="zh-CN"/>
        </w:rPr>
        <w:t>舍五入。</w:t>
      </w:r>
    </w:p>
    <w:p w14:paraId="23147E18">
      <w:pPr>
        <w:autoSpaceDE w:val="0"/>
        <w:autoSpaceDN w:val="0"/>
        <w:adjustRightInd w:val="0"/>
        <w:spacing w:line="360" w:lineRule="auto"/>
        <w:ind w:left="420" w:leftChars="200" w:firstLine="422" w:firstLineChars="200"/>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③上述“评分项目”中按“优、中、差”评审的，若低于该项满分分值</w:t>
      </w:r>
      <w:r>
        <w:rPr>
          <w:rFonts w:ascii="宋体" w:hAnsi="宋体" w:eastAsia="宋体" w:cs="宋体"/>
          <w:b/>
          <w:color w:val="auto"/>
          <w:szCs w:val="24"/>
          <w:highlight w:val="none"/>
          <w:lang w:val="zh-CN"/>
        </w:rPr>
        <w:t>60%时，评标专家需详细填写该项低分的充分理由，例如：该项目内容存在违反国家有关标</w:t>
      </w:r>
      <w:r>
        <w:rPr>
          <w:rFonts w:hint="eastAsia" w:ascii="宋体" w:hAnsi="宋体" w:eastAsia="宋体" w:cs="宋体"/>
          <w:b/>
          <w:color w:val="auto"/>
          <w:szCs w:val="24"/>
          <w:highlight w:val="none"/>
          <w:lang w:val="zh-CN"/>
        </w:rPr>
        <w:t>准和规范或与项目实际不符等原则性问题。</w:t>
      </w:r>
    </w:p>
    <w:p w14:paraId="6FAAD328">
      <w:pPr>
        <w:autoSpaceDE w:val="0"/>
        <w:autoSpaceDN w:val="0"/>
        <w:adjustRightInd w:val="0"/>
        <w:spacing w:line="360" w:lineRule="auto"/>
        <w:ind w:left="420" w:leftChars="200" w:firstLine="422" w:firstLineChars="200"/>
        <w:rPr>
          <w:rFonts w:ascii="宋体" w:hAnsi="宋体" w:eastAsia="宋体" w:cs="宋体"/>
          <w:color w:val="auto"/>
          <w:kern w:val="0"/>
          <w:szCs w:val="21"/>
          <w:highlight w:val="none"/>
        </w:rPr>
      </w:pPr>
      <w:r>
        <w:rPr>
          <w:rFonts w:hint="eastAsia" w:ascii="宋体" w:hAnsi="宋体" w:eastAsia="宋体" w:cs="宋体"/>
          <w:b/>
          <w:color w:val="auto"/>
          <w:szCs w:val="24"/>
          <w:highlight w:val="none"/>
          <w:lang w:val="en-US" w:eastAsia="zh-CN"/>
        </w:rPr>
        <w:t>④</w:t>
      </w:r>
      <w:r>
        <w:rPr>
          <w:rFonts w:hint="eastAsia" w:ascii="宋体" w:hAnsi="宋体" w:eastAsia="宋体" w:cs="宋体"/>
          <w:b/>
          <w:color w:val="auto"/>
          <w:kern w:val="0"/>
          <w:szCs w:val="21"/>
          <w:highlight w:val="none"/>
          <w:lang w:val="zh-CN"/>
        </w:rPr>
        <w:t>对</w:t>
      </w:r>
      <w:r>
        <w:rPr>
          <w:rFonts w:hint="eastAsia" w:ascii="宋体" w:hAnsi="宋体" w:eastAsia="宋体" w:cs="宋体"/>
          <w:b/>
          <w:color w:val="auto"/>
          <w:kern w:val="0"/>
          <w:szCs w:val="21"/>
          <w:highlight w:val="none"/>
          <w:lang w:val="en-US" w:eastAsia="zh-CN"/>
        </w:rPr>
        <w:t>于各</w:t>
      </w:r>
      <w:r>
        <w:rPr>
          <w:rFonts w:hint="eastAsia" w:ascii="宋体" w:hAnsi="宋体" w:eastAsia="宋体" w:cs="宋体"/>
          <w:b/>
          <w:color w:val="auto"/>
          <w:kern w:val="0"/>
          <w:szCs w:val="21"/>
          <w:highlight w:val="none"/>
          <w:lang w:val="zh-CN"/>
        </w:rPr>
        <w:t>评标委员会成员</w:t>
      </w:r>
      <w:r>
        <w:rPr>
          <w:rFonts w:hint="eastAsia" w:ascii="宋体" w:hAnsi="宋体" w:eastAsia="宋体" w:cs="宋体"/>
          <w:b/>
          <w:color w:val="auto"/>
          <w:kern w:val="0"/>
          <w:szCs w:val="21"/>
          <w:highlight w:val="none"/>
          <w:lang w:val="en-US" w:eastAsia="zh-CN"/>
        </w:rPr>
        <w:t>存在客观分打分不一致时</w:t>
      </w:r>
      <w:r>
        <w:rPr>
          <w:rFonts w:hint="eastAsia" w:ascii="宋体" w:hAnsi="宋体" w:eastAsia="宋体" w:cs="宋体"/>
          <w:b/>
          <w:color w:val="auto"/>
          <w:kern w:val="0"/>
          <w:szCs w:val="21"/>
          <w:highlight w:val="none"/>
          <w:lang w:val="zh-CN"/>
        </w:rPr>
        <w:t>,根据少数服</w:t>
      </w:r>
      <w:r>
        <w:rPr>
          <w:rFonts w:hint="eastAsia" w:ascii="宋体" w:hAnsi="宋体" w:eastAsia="宋体" w:cs="宋体"/>
          <w:b/>
          <w:color w:val="auto"/>
          <w:kern w:val="0"/>
          <w:szCs w:val="21"/>
          <w:highlight w:val="none"/>
          <w:lang w:val="en-US" w:eastAsia="zh-CN"/>
        </w:rPr>
        <w:t>从</w:t>
      </w:r>
      <w:r>
        <w:rPr>
          <w:rFonts w:hint="eastAsia" w:ascii="宋体" w:hAnsi="宋体" w:eastAsia="宋体" w:cs="宋体"/>
          <w:b/>
          <w:color w:val="auto"/>
          <w:kern w:val="0"/>
          <w:szCs w:val="21"/>
          <w:highlight w:val="none"/>
          <w:lang w:val="zh-CN"/>
        </w:rPr>
        <w:t>多数的原则，以记名方式表决</w:t>
      </w:r>
      <w:r>
        <w:rPr>
          <w:rFonts w:hint="eastAsia" w:ascii="宋体" w:hAnsi="宋体" w:eastAsia="宋体" w:cs="宋体"/>
          <w:b/>
          <w:color w:val="auto"/>
          <w:kern w:val="0"/>
          <w:szCs w:val="21"/>
          <w:highlight w:val="none"/>
          <w:lang w:val="en-US" w:eastAsia="zh-CN"/>
        </w:rPr>
        <w:t>确定该项的评分。</w:t>
      </w:r>
    </w:p>
    <w:p w14:paraId="72B8EFA6">
      <w:pPr>
        <w:tabs>
          <w:tab w:val="left" w:pos="1701"/>
        </w:tabs>
        <w:autoSpaceDE w:val="0"/>
        <w:autoSpaceDN w:val="0"/>
        <w:adjustRightInd w:val="0"/>
        <w:spacing w:line="360" w:lineRule="auto"/>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（3）价格评分方法</w:t>
      </w:r>
    </w:p>
    <w:p w14:paraId="60F62A36">
      <w:pPr>
        <w:spacing w:line="360" w:lineRule="auto"/>
        <w:ind w:left="480" w:firstLine="211" w:firstLineChars="100"/>
        <w:rPr>
          <w:rFonts w:ascii="宋体" w:hAnsi="宋体" w:eastAsia="宋体" w:cs="宋体"/>
          <w:b/>
          <w:bCs/>
          <w:color w:val="auto"/>
          <w:kern w:val="0"/>
          <w:szCs w:val="21"/>
          <w:highlight w:val="none"/>
          <w:lang w:val="zh-CN"/>
        </w:rPr>
      </w:pPr>
      <w:r>
        <w:rPr>
          <w:rFonts w:hint="eastAsia" w:ascii="宋体" w:hAnsi="宋体" w:eastAsia="宋体" w:cs="宋体"/>
          <w:b/>
          <w:bCs/>
          <w:color w:val="auto"/>
          <w:kern w:val="0"/>
          <w:szCs w:val="28"/>
          <w:highlight w:val="none"/>
          <w:lang w:val="zh-CN"/>
        </w:rPr>
        <w:t xml:space="preserve">1）经济文件的符合性审查 </w:t>
      </w:r>
    </w:p>
    <w:p w14:paraId="2201C3BD">
      <w:pPr>
        <w:spacing w:line="360" w:lineRule="auto"/>
        <w:ind w:left="420" w:leftChars="200" w:firstLine="420" w:firstLineChars="20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评标委员会对合格的投标人的投标报价，进行详细分析、核准，检查其是否存在计算错误。评标委员会将按照本评标大纲的规定修正计算错误的投标报价，经投标人代表确认后，调整后的价格对投标人具有约束力。</w:t>
      </w:r>
      <w:r>
        <w:rPr>
          <w:rFonts w:hint="eastAsia" w:ascii="宋体" w:hAnsi="宋体" w:eastAsia="宋体" w:cs="宋体"/>
          <w:b/>
          <w:color w:val="auto"/>
          <w:kern w:val="0"/>
          <w:szCs w:val="21"/>
          <w:highlight w:val="none"/>
          <w:u w:val="single"/>
          <w:lang w:val="zh-CN"/>
        </w:rPr>
        <w:t>如果投标人不接受修正后的报价，则其投标将被拒绝，作为无效投标处理</w:t>
      </w:r>
      <w:r>
        <w:rPr>
          <w:rFonts w:hint="eastAsia" w:ascii="宋体" w:hAnsi="宋体" w:eastAsia="宋体" w:cs="宋体"/>
          <w:b/>
          <w:color w:val="auto"/>
          <w:kern w:val="0"/>
          <w:szCs w:val="21"/>
          <w:highlight w:val="none"/>
          <w:lang w:val="zh-CN"/>
        </w:rPr>
        <w:t>。</w:t>
      </w:r>
    </w:p>
    <w:p w14:paraId="36943458">
      <w:pPr>
        <w:autoSpaceDE w:val="0"/>
        <w:autoSpaceDN w:val="0"/>
        <w:adjustRightInd w:val="0"/>
        <w:spacing w:line="360" w:lineRule="auto"/>
        <w:ind w:left="420" w:leftChars="200" w:firstLine="420" w:firstLineChars="200"/>
        <w:rPr>
          <w:rFonts w:hint="eastAsia" w:ascii="宋体" w:hAnsi="宋体" w:eastAsia="宋体" w:cs="宋体"/>
          <w:b/>
          <w:color w:val="auto"/>
          <w:szCs w:val="24"/>
          <w:highlight w:val="none"/>
          <w:u w:val="single"/>
          <w:lang w:val="zh-CN"/>
        </w:rPr>
      </w:pPr>
      <w:r>
        <w:rPr>
          <w:rFonts w:hint="eastAsia" w:ascii="宋体" w:hAnsi="宋体" w:eastAsia="宋体" w:cs="宋体"/>
          <w:color w:val="auto"/>
          <w:szCs w:val="24"/>
          <w:highlight w:val="none"/>
          <w:lang w:val="zh-CN"/>
        </w:rPr>
        <w:t>若投标人出现超低报价，</w:t>
      </w:r>
      <w:r>
        <w:rPr>
          <w:rFonts w:hint="eastAsia" w:ascii="宋体" w:hAnsi="宋体" w:eastAsia="宋体" w:cs="宋体"/>
          <w:color w:val="auto"/>
          <w:kern w:val="0"/>
          <w:szCs w:val="21"/>
          <w:highlight w:val="none"/>
        </w:rPr>
        <w:t>有可能影响服务质量和不能诚信履约的，</w:t>
      </w:r>
      <w:r>
        <w:rPr>
          <w:rFonts w:hint="eastAsia" w:ascii="宋体" w:hAnsi="宋体" w:eastAsia="宋体" w:cs="宋体"/>
          <w:color w:val="auto"/>
          <w:szCs w:val="24"/>
          <w:highlight w:val="none"/>
          <w:lang w:val="zh-CN"/>
        </w:rPr>
        <w:t>评标委员会</w:t>
      </w:r>
      <w:r>
        <w:rPr>
          <w:rFonts w:hint="eastAsia" w:ascii="宋体" w:hAnsi="宋体" w:eastAsia="宋体" w:cs="宋体"/>
          <w:color w:val="auto"/>
          <w:kern w:val="0"/>
          <w:szCs w:val="21"/>
          <w:highlight w:val="none"/>
          <w:lang w:val="zh-CN"/>
        </w:rPr>
        <w:t>将要求该投标人作出书面说明并提供相关证明材料，</w:t>
      </w:r>
      <w:r>
        <w:rPr>
          <w:rFonts w:hint="eastAsia" w:ascii="宋体" w:hAnsi="宋体" w:eastAsia="宋体" w:cs="宋体"/>
          <w:color w:val="auto"/>
          <w:szCs w:val="24"/>
          <w:highlight w:val="none"/>
          <w:lang w:val="zh-CN"/>
        </w:rPr>
        <w:t>以确定投标人是否以低于企业成本价报价。</w:t>
      </w:r>
      <w:r>
        <w:rPr>
          <w:rFonts w:hint="eastAsia" w:ascii="宋体" w:hAnsi="宋体" w:eastAsia="宋体" w:cs="宋体"/>
          <w:b/>
          <w:color w:val="auto"/>
          <w:szCs w:val="24"/>
          <w:highlight w:val="none"/>
          <w:u w:val="single"/>
          <w:lang w:val="zh-CN"/>
        </w:rPr>
        <w:t>若投标人不能合理说明或不能提供相关证明材料的，评标委员会将认定其投标报价低于成本，同时否决其投标。</w:t>
      </w:r>
    </w:p>
    <w:p w14:paraId="7F77D8CF">
      <w:pPr>
        <w:spacing w:line="360" w:lineRule="auto"/>
        <w:ind w:left="420" w:leftChars="200" w:firstLine="422" w:firstLineChars="200"/>
        <w:rPr>
          <w:rFonts w:ascii="宋体" w:hAnsi="宋体" w:eastAsia="宋体" w:cs="宋体"/>
          <w:b/>
          <w:color w:val="auto"/>
          <w:kern w:val="0"/>
          <w:szCs w:val="21"/>
          <w:highlight w:val="none"/>
          <w:lang w:val="zh-CN"/>
        </w:rPr>
      </w:pPr>
      <w:r>
        <w:rPr>
          <w:rFonts w:hint="eastAsia" w:ascii="宋体" w:hAnsi="宋体" w:eastAsia="宋体" w:cs="宋体"/>
          <w:b/>
          <w:color w:val="auto"/>
          <w:kern w:val="0"/>
          <w:szCs w:val="21"/>
          <w:highlight w:val="none"/>
          <w:lang w:val="zh-CN"/>
        </w:rPr>
        <w:t>对是否低于企业成本价报价的事宜有争议的投标文件,评标委员会成员将以记名方式表决,根据少数服</w:t>
      </w:r>
      <w:r>
        <w:rPr>
          <w:rFonts w:hint="eastAsia" w:ascii="宋体" w:hAnsi="宋体" w:eastAsia="宋体" w:cs="宋体"/>
          <w:b/>
          <w:color w:val="auto"/>
          <w:kern w:val="0"/>
          <w:szCs w:val="21"/>
          <w:highlight w:val="none"/>
          <w:lang w:val="en-US" w:eastAsia="zh-CN"/>
        </w:rPr>
        <w:t>从</w:t>
      </w:r>
      <w:r>
        <w:rPr>
          <w:rFonts w:hint="eastAsia" w:ascii="宋体" w:hAnsi="宋体" w:eastAsia="宋体" w:cs="宋体"/>
          <w:b/>
          <w:color w:val="auto"/>
          <w:kern w:val="0"/>
          <w:szCs w:val="21"/>
          <w:highlight w:val="none"/>
          <w:lang w:val="zh-CN"/>
        </w:rPr>
        <w:t>多数的原则，获多数表决通过的投标人才有资格进入下一阶段的评审,否则将按无效投标处理。</w:t>
      </w:r>
    </w:p>
    <w:p w14:paraId="4501FF0F">
      <w:pPr>
        <w:spacing w:line="360" w:lineRule="auto"/>
        <w:ind w:left="420" w:leftChars="200" w:firstLine="420" w:firstLineChars="200"/>
        <w:rPr>
          <w:rFonts w:ascii="宋体" w:hAnsi="宋体" w:eastAsia="宋体" w:cs="宋体"/>
          <w:color w:val="auto"/>
          <w:kern w:val="0"/>
          <w:szCs w:val="21"/>
          <w:highlight w:val="none"/>
          <w:lang w:val="zh-CN"/>
        </w:rPr>
      </w:pPr>
    </w:p>
    <w:p w14:paraId="29ECFB03">
      <w:pPr>
        <w:spacing w:line="360" w:lineRule="auto"/>
        <w:ind w:left="480" w:firstLine="211" w:firstLineChars="100"/>
        <w:rPr>
          <w:rFonts w:ascii="宋体" w:hAnsi="宋体" w:eastAsia="宋体" w:cs="宋体"/>
          <w:b/>
          <w:bCs/>
          <w:color w:val="auto"/>
          <w:kern w:val="0"/>
          <w:szCs w:val="21"/>
          <w:highlight w:val="none"/>
        </w:rPr>
      </w:pPr>
      <w:r>
        <w:rPr>
          <w:rFonts w:ascii="宋体" w:hAnsi="宋体" w:eastAsia="宋体" w:cs="宋体"/>
          <w:b/>
          <w:bCs/>
          <w:color w:val="auto"/>
          <w:kern w:val="0"/>
          <w:szCs w:val="21"/>
          <w:highlight w:val="none"/>
          <w:lang w:val="zh-CN"/>
        </w:rPr>
        <w:t>2</w:t>
      </w:r>
      <w:r>
        <w:rPr>
          <w:rFonts w:hint="eastAsia" w:ascii="宋体" w:hAnsi="宋体" w:eastAsia="宋体" w:cs="宋体"/>
          <w:b/>
          <w:bCs/>
          <w:color w:val="auto"/>
          <w:kern w:val="0"/>
          <w:szCs w:val="21"/>
          <w:highlight w:val="none"/>
          <w:lang w:val="zh-CN"/>
        </w:rPr>
        <w:t>）</w:t>
      </w:r>
      <w:r>
        <w:rPr>
          <w:rFonts w:hint="eastAsia" w:ascii="宋体" w:hAnsi="宋体" w:eastAsia="宋体" w:cs="宋体"/>
          <w:b/>
          <w:bCs/>
          <w:color w:val="auto"/>
          <w:kern w:val="0"/>
          <w:szCs w:val="28"/>
          <w:highlight w:val="none"/>
          <w:lang w:val="zh-CN"/>
        </w:rPr>
        <w:t>价格评分</w:t>
      </w:r>
      <w:r>
        <w:rPr>
          <w:rFonts w:hint="eastAsia" w:ascii="宋体" w:hAnsi="宋体" w:eastAsia="宋体" w:cs="宋体"/>
          <w:b/>
          <w:bCs/>
          <w:color w:val="auto"/>
          <w:kern w:val="0"/>
          <w:szCs w:val="21"/>
          <w:highlight w:val="none"/>
        </w:rPr>
        <w:t>：</w:t>
      </w:r>
      <w:r>
        <w:rPr>
          <w:rFonts w:hint="eastAsia" w:ascii="宋体" w:hAnsi="宋体" w:eastAsia="宋体" w:cs="宋体"/>
          <w:b/>
          <w:bCs/>
          <w:color w:val="auto"/>
          <w:kern w:val="0"/>
          <w:szCs w:val="21"/>
          <w:highlight w:val="none"/>
          <w:lang w:val="zh-CN"/>
        </w:rPr>
        <w:t>总分</w:t>
      </w:r>
      <w:r>
        <w:rPr>
          <w:rFonts w:hint="eastAsia" w:ascii="宋体" w:hAnsi="宋体" w:eastAsia="宋体" w:cs="宋体"/>
          <w:b/>
          <w:bCs/>
          <w:color w:val="auto"/>
          <w:kern w:val="0"/>
          <w:szCs w:val="21"/>
          <w:highlight w:val="none"/>
          <w:lang w:val="en-US" w:eastAsia="zh-CN"/>
        </w:rPr>
        <w:t>50</w:t>
      </w:r>
      <w:r>
        <w:rPr>
          <w:rFonts w:hint="eastAsia" w:ascii="宋体" w:hAnsi="宋体" w:eastAsia="宋体" w:cs="宋体"/>
          <w:b/>
          <w:bCs/>
          <w:color w:val="auto"/>
          <w:kern w:val="0"/>
          <w:szCs w:val="21"/>
          <w:highlight w:val="none"/>
          <w:lang w:val="zh-CN"/>
        </w:rPr>
        <w:t>分</w:t>
      </w:r>
    </w:p>
    <w:p w14:paraId="4046F4AA">
      <w:pPr>
        <w:autoSpaceDN w:val="0"/>
        <w:adjustRightInd w:val="0"/>
        <w:snapToGrid w:val="0"/>
        <w:spacing w:line="360" w:lineRule="auto"/>
        <w:ind w:left="420" w:leftChars="100" w:hanging="210" w:hangingChars="100"/>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A、根据有效投标人的投标报价，最低价作为基准价（Y）。投标人报价（X）等于基准价的得满分</w:t>
      </w:r>
      <w:r>
        <w:rPr>
          <w:rFonts w:hint="eastAsia" w:ascii="宋体" w:hAnsi="宋体" w:eastAsia="宋体" w:cs="宋体"/>
          <w:color w:val="auto"/>
          <w:kern w:val="0"/>
          <w:szCs w:val="21"/>
          <w:highlight w:val="none"/>
          <w:lang w:val="en-US" w:eastAsia="zh-CN"/>
        </w:rPr>
        <w:t>50</w:t>
      </w:r>
      <w:r>
        <w:rPr>
          <w:rFonts w:hint="eastAsia" w:ascii="宋体" w:hAnsi="宋体" w:eastAsia="宋体" w:cs="宋体"/>
          <w:color w:val="auto"/>
          <w:kern w:val="0"/>
          <w:szCs w:val="21"/>
          <w:highlight w:val="none"/>
        </w:rPr>
        <w:t>分，其他投标人的价格得分统一按照下列公式计算：</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 xml:space="preserve">    价格得分=(基准价／投标报价)×</w:t>
      </w:r>
      <w:r>
        <w:rPr>
          <w:rFonts w:hint="eastAsia" w:ascii="宋体" w:hAnsi="宋体" w:eastAsia="宋体" w:cs="宋体"/>
          <w:color w:val="auto"/>
          <w:kern w:val="0"/>
          <w:szCs w:val="21"/>
          <w:highlight w:val="none"/>
          <w:lang w:val="en-US" w:eastAsia="zh-CN"/>
        </w:rPr>
        <w:t>50</w:t>
      </w:r>
    </w:p>
    <w:p w14:paraId="14593CE4">
      <w:pPr>
        <w:autoSpaceDN w:val="0"/>
        <w:adjustRightInd w:val="0"/>
        <w:snapToGrid w:val="0"/>
        <w:spacing w:line="360" w:lineRule="auto"/>
        <w:ind w:firstLine="210" w:firstLineChars="1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B、分数出现小数点，保留小数点后2位，从小数点后第3位四舍五入。</w:t>
      </w:r>
    </w:p>
    <w:p w14:paraId="093EA560">
      <w:pPr>
        <w:tabs>
          <w:tab w:val="left" w:pos="585"/>
        </w:tabs>
        <w:autoSpaceDE w:val="0"/>
        <w:autoSpaceDN w:val="0"/>
        <w:adjustRightInd w:val="0"/>
        <w:spacing w:line="400" w:lineRule="exact"/>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（4）综合得分</w:t>
      </w:r>
    </w:p>
    <w:p w14:paraId="4528EAFF">
      <w:pPr>
        <w:spacing w:line="400" w:lineRule="exact"/>
        <w:ind w:firstLine="848" w:firstLineChars="404"/>
        <w:rPr>
          <w:rFonts w:ascii="宋体" w:hAnsi="宋体" w:eastAsia="宋体" w:cs="宋体"/>
          <w:color w:val="auto"/>
          <w:kern w:val="0"/>
          <w:szCs w:val="28"/>
          <w:highlight w:val="none"/>
          <w:lang w:val="zh-CN"/>
        </w:rPr>
      </w:pPr>
      <w:bookmarkStart w:id="1221" w:name="_Toc31624_WPSOffice_Level2"/>
      <w:r>
        <w:rPr>
          <w:rFonts w:hint="eastAsia" w:ascii="宋体" w:hAnsi="宋体" w:eastAsia="宋体" w:cs="宋体"/>
          <w:color w:val="auto"/>
          <w:kern w:val="0"/>
          <w:szCs w:val="28"/>
          <w:highlight w:val="none"/>
          <w:lang w:val="zh-CN"/>
        </w:rPr>
        <w:t>评标总得分=F1＋F2＋……+Fn</w:t>
      </w:r>
      <w:bookmarkEnd w:id="1221"/>
    </w:p>
    <w:p w14:paraId="71A57F2E">
      <w:pPr>
        <w:widowControl/>
        <w:autoSpaceDE w:val="0"/>
        <w:autoSpaceDN w:val="0"/>
        <w:adjustRightInd w:val="0"/>
        <w:spacing w:line="400" w:lineRule="exact"/>
        <w:ind w:firstLine="840" w:firstLineChars="400"/>
        <w:jc w:val="left"/>
        <w:rPr>
          <w:rFonts w:ascii="宋体" w:hAnsi="宋体" w:eastAsia="宋体" w:cs="宋体"/>
          <w:color w:val="auto"/>
          <w:kern w:val="0"/>
          <w:szCs w:val="21"/>
          <w:highlight w:val="none"/>
        </w:rPr>
      </w:pPr>
      <w:bookmarkStart w:id="1222" w:name="_Toc13236_WPSOffice_Level2"/>
      <w:r>
        <w:rPr>
          <w:rFonts w:hint="eastAsia" w:ascii="宋体" w:hAnsi="宋体" w:eastAsia="宋体" w:cs="宋体"/>
          <w:color w:val="auto"/>
          <w:kern w:val="0"/>
          <w:szCs w:val="21"/>
          <w:highlight w:val="none"/>
        </w:rPr>
        <w:t>F1、F2、……Fn分别为各项评分因素的得分</w:t>
      </w:r>
      <w:bookmarkEnd w:id="1222"/>
      <w:r>
        <w:rPr>
          <w:rFonts w:hint="eastAsia" w:ascii="宋体" w:hAnsi="宋体" w:eastAsia="宋体" w:cs="宋体"/>
          <w:color w:val="auto"/>
          <w:kern w:val="0"/>
          <w:szCs w:val="21"/>
          <w:highlight w:val="none"/>
        </w:rPr>
        <w:t>。</w:t>
      </w:r>
    </w:p>
    <w:p w14:paraId="55672CB5">
      <w:pPr>
        <w:autoSpaceDE w:val="0"/>
        <w:autoSpaceDN w:val="0"/>
        <w:adjustRightInd w:val="0"/>
        <w:spacing w:line="360" w:lineRule="auto"/>
        <w:ind w:left="564" w:leftChars="1" w:hanging="562" w:hangingChars="200"/>
        <w:rPr>
          <w:rFonts w:ascii="宋体" w:hAnsi="宋体" w:eastAsia="宋体" w:cs="宋体"/>
          <w:b/>
          <w:bCs/>
          <w:color w:val="auto"/>
          <w:sz w:val="28"/>
          <w:szCs w:val="28"/>
          <w:highlight w:val="none"/>
        </w:rPr>
      </w:pPr>
    </w:p>
    <w:p w14:paraId="23110791">
      <w:pPr>
        <w:autoSpaceDE w:val="0"/>
        <w:autoSpaceDN w:val="0"/>
        <w:adjustRightInd w:val="0"/>
        <w:spacing w:line="360" w:lineRule="auto"/>
        <w:jc w:val="center"/>
        <w:rPr>
          <w:rFonts w:ascii="宋体" w:hAnsi="宋体" w:eastAsia="宋体" w:cs="宋体"/>
          <w:b/>
          <w:bCs/>
          <w:color w:val="auto"/>
          <w:sz w:val="28"/>
          <w:szCs w:val="28"/>
          <w:highlight w:val="none"/>
        </w:rPr>
      </w:pPr>
      <w:bookmarkStart w:id="1223" w:name="_Toc518_WPSOffice_Level1"/>
      <w:r>
        <w:rPr>
          <w:rFonts w:hint="eastAsia" w:ascii="宋体" w:hAnsi="宋体" w:eastAsia="宋体" w:cs="宋体"/>
          <w:b/>
          <w:bCs/>
          <w:color w:val="auto"/>
          <w:sz w:val="28"/>
          <w:szCs w:val="28"/>
          <w:highlight w:val="none"/>
          <w:lang w:val="zh-CN"/>
        </w:rPr>
        <w:t>五、推荐中标人</w:t>
      </w:r>
      <w:bookmarkEnd w:id="1223"/>
    </w:p>
    <w:p w14:paraId="6619981F">
      <w:pPr>
        <w:autoSpaceDE w:val="0"/>
        <w:autoSpaceDN w:val="0"/>
        <w:adjustRightInd w:val="0"/>
        <w:spacing w:line="360" w:lineRule="auto"/>
        <w:ind w:left="420" w:hanging="420" w:hangingChars="200"/>
        <w:jc w:val="left"/>
        <w:rPr>
          <w:rFonts w:ascii="宋体" w:hAnsi="宋体" w:eastAsia="宋体" w:cs="Times New Roman"/>
          <w:color w:val="auto"/>
          <w:kern w:val="0"/>
          <w:szCs w:val="21"/>
          <w:highlight w:val="none"/>
        </w:rPr>
      </w:pPr>
      <w:r>
        <w:rPr>
          <w:rFonts w:ascii="宋体" w:hAnsi="宋体" w:eastAsia="宋体" w:cs="宋体"/>
          <w:color w:val="auto"/>
          <w:kern w:val="0"/>
          <w:szCs w:val="21"/>
          <w:highlight w:val="none"/>
        </w:rPr>
        <w:t>13</w:t>
      </w:r>
      <w:r>
        <w:rPr>
          <w:rFonts w:hint="eastAsia" w:ascii="宋体" w:hAnsi="宋体" w:eastAsia="宋体" w:cs="宋体"/>
          <w:color w:val="auto"/>
          <w:kern w:val="0"/>
          <w:szCs w:val="21"/>
          <w:highlight w:val="none"/>
        </w:rPr>
        <w:t>、</w:t>
      </w:r>
      <w:r>
        <w:rPr>
          <w:rFonts w:hint="eastAsia" w:ascii="宋体" w:hAnsi="宋体" w:eastAsia="宋体" w:cs="Times New Roman"/>
          <w:color w:val="auto"/>
          <w:szCs w:val="24"/>
          <w:highlight w:val="none"/>
          <w:lang w:val="zh-CN"/>
        </w:rPr>
        <w:t>评标委员会按评审后得分由高到低顺序排列</w:t>
      </w:r>
      <w:r>
        <w:rPr>
          <w:rFonts w:hint="eastAsia" w:ascii="宋体" w:hAnsi="宋体" w:eastAsia="宋体" w:cs="Times New Roman"/>
          <w:color w:val="auto"/>
          <w:kern w:val="0"/>
          <w:szCs w:val="21"/>
          <w:highlight w:val="none"/>
        </w:rPr>
        <w:t>，并向招标人推荐最后综合得分最高的前二名投标人为中标候选人（最后综合得分排名第一、第二的投标人分别为第一、第二中标候选人），招标人将确定第一中标候选人为中标人。</w:t>
      </w:r>
    </w:p>
    <w:p w14:paraId="6594854E">
      <w:pPr>
        <w:autoSpaceDE w:val="0"/>
        <w:autoSpaceDN w:val="0"/>
        <w:adjustRightInd w:val="0"/>
        <w:spacing w:line="360" w:lineRule="auto"/>
        <w:ind w:left="420" w:leftChars="200" w:firstLine="420" w:firstLineChars="200"/>
        <w:jc w:val="left"/>
        <w:rPr>
          <w:rFonts w:ascii="宋体" w:hAnsi="宋体" w:eastAsia="宋体" w:cs="Times New Roman"/>
          <w:color w:val="auto"/>
          <w:kern w:val="0"/>
          <w:szCs w:val="24"/>
          <w:highlight w:val="none"/>
          <w:lang w:val="zh-CN"/>
        </w:rPr>
      </w:pPr>
      <w:r>
        <w:rPr>
          <w:rFonts w:hint="eastAsia" w:ascii="宋体" w:hAnsi="宋体" w:eastAsia="宋体" w:cs="Times New Roman"/>
          <w:color w:val="auto"/>
          <w:kern w:val="0"/>
          <w:szCs w:val="21"/>
          <w:highlight w:val="none"/>
        </w:rPr>
        <w:t>如果有两个或以上的投标人的最后综合得分相同，则在最后综合得分相同的投标人中按投标报价</w:t>
      </w:r>
      <w:r>
        <w:rPr>
          <w:rFonts w:hint="eastAsia" w:ascii="宋体" w:hAnsi="宋体" w:eastAsia="宋体" w:cs="Times New Roman"/>
          <w:color w:val="auto"/>
          <w:kern w:val="0"/>
          <w:szCs w:val="21"/>
          <w:highlight w:val="none"/>
          <w:lang w:val="zh-CN"/>
        </w:rPr>
        <w:t>由低到高顺序排出次序，报价低的排前，报价高的排后。</w:t>
      </w:r>
      <w:r>
        <w:rPr>
          <w:rFonts w:hint="eastAsia" w:ascii="宋体" w:hAnsi="宋体" w:eastAsia="宋体" w:cs="Times New Roman"/>
          <w:color w:val="auto"/>
          <w:kern w:val="0"/>
          <w:szCs w:val="21"/>
          <w:highlight w:val="none"/>
        </w:rPr>
        <w:t>如果出现投标人的最后综合得分及投标报价均相同时，则按技术标的评标得分高低排出次序，得分高的排前，得分低的排后。如果出现投标人的最后综合得分、投标报价及技术标得分均相同时，由评标委员会进行投票，得票多的排名在先。当第一轮投票结果为投标人得票数相同时，再次进行投票，如此类推，直到能确定排序次序为止。</w:t>
      </w:r>
    </w:p>
    <w:p w14:paraId="477F2F98">
      <w:pPr>
        <w:widowControl/>
        <w:spacing w:line="360" w:lineRule="auto"/>
        <w:jc w:val="left"/>
        <w:rPr>
          <w:rFonts w:ascii="宋体" w:hAnsi="宋体" w:eastAsia="宋体" w:cs="宋体"/>
          <w:color w:val="auto"/>
          <w:kern w:val="0"/>
          <w:szCs w:val="21"/>
          <w:highlight w:val="none"/>
        </w:rPr>
      </w:pPr>
    </w:p>
    <w:p w14:paraId="22B41A5F">
      <w:pPr>
        <w:autoSpaceDE w:val="0"/>
        <w:autoSpaceDN w:val="0"/>
        <w:adjustRightInd w:val="0"/>
        <w:spacing w:line="360" w:lineRule="auto"/>
        <w:ind w:left="185" w:leftChars="88" w:firstLine="3443" w:firstLineChars="1225"/>
        <w:rPr>
          <w:rFonts w:ascii="宋体" w:hAnsi="宋体" w:eastAsia="宋体" w:cs="宋体"/>
          <w:b/>
          <w:bCs/>
          <w:color w:val="auto"/>
          <w:sz w:val="28"/>
          <w:szCs w:val="28"/>
          <w:highlight w:val="none"/>
          <w:lang w:val="zh-CN"/>
        </w:rPr>
      </w:pPr>
      <w:bookmarkStart w:id="1224" w:name="_Toc22724_WPSOffice_Level1"/>
      <w:r>
        <w:rPr>
          <w:rFonts w:hint="eastAsia" w:ascii="宋体" w:hAnsi="宋体" w:eastAsia="宋体" w:cs="宋体"/>
          <w:b/>
          <w:bCs/>
          <w:color w:val="auto"/>
          <w:sz w:val="28"/>
          <w:szCs w:val="28"/>
          <w:highlight w:val="none"/>
          <w:lang w:val="zh-CN"/>
        </w:rPr>
        <w:t>六、编写评标报告</w:t>
      </w:r>
      <w:bookmarkEnd w:id="1224"/>
    </w:p>
    <w:p w14:paraId="6D27B20F">
      <w:pPr>
        <w:autoSpaceDE w:val="0"/>
        <w:autoSpaceDN w:val="0"/>
        <w:adjustRightInd w:val="0"/>
        <w:spacing w:line="360" w:lineRule="auto"/>
        <w:ind w:left="420" w:hanging="420" w:hangingChars="200"/>
        <w:jc w:val="left"/>
        <w:rPr>
          <w:rFonts w:ascii="宋体" w:hAnsi="宋体" w:eastAsia="宋体" w:cs="宋体"/>
          <w:b/>
          <w:bCs/>
          <w:color w:val="auto"/>
          <w:szCs w:val="32"/>
          <w:highlight w:val="none"/>
          <w:lang w:val="zh-CN"/>
        </w:rPr>
      </w:pPr>
      <w:r>
        <w:rPr>
          <w:rFonts w:hint="eastAsia" w:ascii="宋体" w:hAnsi="宋体" w:eastAsia="宋体" w:cs="宋体"/>
          <w:color w:val="auto"/>
          <w:szCs w:val="24"/>
          <w:highlight w:val="none"/>
          <w:lang w:val="zh-CN"/>
        </w:rPr>
        <w:t>1</w:t>
      </w:r>
      <w:r>
        <w:rPr>
          <w:rFonts w:ascii="宋体" w:hAnsi="宋体" w:eastAsia="宋体" w:cs="宋体"/>
          <w:color w:val="auto"/>
          <w:szCs w:val="24"/>
          <w:highlight w:val="none"/>
          <w:lang w:val="zh-CN"/>
        </w:rPr>
        <w:t>4</w:t>
      </w:r>
      <w:r>
        <w:rPr>
          <w:rFonts w:hint="eastAsia" w:ascii="宋体" w:hAnsi="宋体" w:eastAsia="宋体" w:cs="宋体"/>
          <w:color w:val="auto"/>
          <w:szCs w:val="24"/>
          <w:highlight w:val="none"/>
          <w:lang w:val="zh-CN"/>
        </w:rPr>
        <w:t>、评标委员会根据评审结果撰写评标报告。评标报告是评标委员会根据全体评标委员会成员签字的原始评审记录和评审结果编写的报告，其主要内容包括：</w:t>
      </w:r>
    </w:p>
    <w:p w14:paraId="49D2D24D">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（1）开标邀请时间、开标日期和地点；</w:t>
      </w:r>
    </w:p>
    <w:p w14:paraId="36083961">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（2）投标人名单和评标委员会成员名单；</w:t>
      </w:r>
    </w:p>
    <w:p w14:paraId="6288CE1D">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（3）开标评审方法和标准；</w:t>
      </w:r>
    </w:p>
    <w:p w14:paraId="143AACB0">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（4）开标评审记录和评审情况及说明，包括投标无效投标人名单及原因；</w:t>
      </w:r>
    </w:p>
    <w:p w14:paraId="03A5D301">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（5）评审结果和中标候选投标人排序表；</w:t>
      </w:r>
    </w:p>
    <w:p w14:paraId="22767834">
      <w:pPr>
        <w:autoSpaceDE w:val="0"/>
        <w:autoSpaceDN w:val="0"/>
        <w:adjustRightInd w:val="0"/>
        <w:spacing w:line="360" w:lineRule="auto"/>
        <w:jc w:val="left"/>
        <w:rPr>
          <w:rFonts w:ascii="宋体" w:hAnsi="宋体" w:eastAsia="宋体" w:cs="宋体"/>
          <w:color w:val="auto"/>
          <w:szCs w:val="24"/>
          <w:highlight w:val="none"/>
          <w:lang w:val="zh-CN"/>
        </w:rPr>
      </w:pPr>
      <w:r>
        <w:rPr>
          <w:rFonts w:hint="eastAsia" w:ascii="宋体" w:hAnsi="宋体" w:eastAsia="宋体" w:cs="宋体"/>
          <w:color w:val="auto"/>
          <w:kern w:val="0"/>
          <w:szCs w:val="24"/>
          <w:highlight w:val="none"/>
          <w:lang w:val="zh-CN"/>
        </w:rPr>
        <w:t>（6）评标委员会的推荐</w:t>
      </w:r>
      <w:r>
        <w:rPr>
          <w:rFonts w:hint="eastAsia" w:ascii="宋体" w:hAnsi="宋体" w:eastAsia="宋体" w:cs="宋体"/>
          <w:color w:val="auto"/>
          <w:szCs w:val="24"/>
          <w:highlight w:val="none"/>
          <w:lang w:val="zh-CN"/>
        </w:rPr>
        <w:t>建议。</w:t>
      </w:r>
    </w:p>
    <w:p w14:paraId="2A4D4226">
      <w:pPr>
        <w:autoSpaceDE w:val="0"/>
        <w:autoSpaceDN w:val="0"/>
        <w:adjustRightInd w:val="0"/>
        <w:spacing w:line="360" w:lineRule="auto"/>
        <w:jc w:val="center"/>
        <w:rPr>
          <w:rFonts w:ascii="宋体" w:hAnsi="宋体" w:eastAsia="宋体" w:cs="宋体"/>
          <w:b/>
          <w:bCs/>
          <w:color w:val="auto"/>
          <w:sz w:val="28"/>
          <w:szCs w:val="28"/>
          <w:highlight w:val="none"/>
          <w:lang w:val="zh-CN"/>
        </w:rPr>
      </w:pPr>
    </w:p>
    <w:p w14:paraId="4578ED4E">
      <w:pPr>
        <w:autoSpaceDE w:val="0"/>
        <w:autoSpaceDN w:val="0"/>
        <w:adjustRightInd w:val="0"/>
        <w:spacing w:line="360" w:lineRule="auto"/>
        <w:jc w:val="center"/>
        <w:rPr>
          <w:rFonts w:ascii="宋体" w:hAnsi="宋体" w:eastAsia="宋体" w:cs="宋体"/>
          <w:b/>
          <w:bCs/>
          <w:color w:val="auto"/>
          <w:sz w:val="30"/>
          <w:szCs w:val="30"/>
          <w:highlight w:val="none"/>
          <w:lang w:val="zh-CN"/>
        </w:rPr>
      </w:pPr>
      <w:bookmarkStart w:id="1225" w:name="_Toc23773_WPSOffice_Level1"/>
      <w:r>
        <w:rPr>
          <w:rFonts w:hint="eastAsia" w:ascii="宋体" w:hAnsi="宋体" w:eastAsia="宋体" w:cs="宋体"/>
          <w:b/>
          <w:bCs/>
          <w:color w:val="auto"/>
          <w:sz w:val="28"/>
          <w:szCs w:val="28"/>
          <w:highlight w:val="none"/>
          <w:lang w:val="zh-CN"/>
        </w:rPr>
        <w:t>七、注意事项</w:t>
      </w:r>
      <w:bookmarkEnd w:id="1225"/>
    </w:p>
    <w:p w14:paraId="5088D99D">
      <w:pPr>
        <w:autoSpaceDE w:val="0"/>
        <w:autoSpaceDN w:val="0"/>
        <w:adjustRightInd w:val="0"/>
        <w:spacing w:line="360" w:lineRule="auto"/>
        <w:ind w:left="420" w:hanging="420" w:hanging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w:t>
      </w:r>
      <w:r>
        <w:rPr>
          <w:rFonts w:ascii="宋体" w:hAnsi="宋体" w:eastAsia="宋体" w:cs="宋体"/>
          <w:color w:val="auto"/>
          <w:szCs w:val="24"/>
          <w:highlight w:val="none"/>
          <w:lang w:val="zh-CN"/>
        </w:rPr>
        <w:t>5</w:t>
      </w:r>
      <w:r>
        <w:rPr>
          <w:rFonts w:hint="eastAsia" w:ascii="宋体" w:hAnsi="宋体" w:eastAsia="宋体" w:cs="宋体"/>
          <w:color w:val="auto"/>
          <w:szCs w:val="24"/>
          <w:highlight w:val="none"/>
          <w:lang w:val="zh-CN"/>
        </w:rPr>
        <w:t>、为确保评审工作的顺利进行，防止因泄密或其它意外而造成的不良后果及影响，凡参加评审工作的人员都必须认真执行本规定：</w:t>
      </w:r>
    </w:p>
    <w:p w14:paraId="7684031D">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（1）在评审工作期间，所有分发的投标文件、资料等仅限于在评审场所中使用，不得带往其它地方，所有的招标文件、投标文件、资料等一律编号登记；</w:t>
      </w:r>
    </w:p>
    <w:p w14:paraId="71DDF0DF">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（2）评审人员及工作人员不得在公共场合谈论有关评审内容；</w:t>
      </w:r>
    </w:p>
    <w:p w14:paraId="1F340CF4">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评审人员及工作人员不得以书信、电讯、口述等方式将有关评审内容（如资料、投标文件、投标报价、评审方式、评标委员会的决定、评审组织机构、评审人员名单等）披露给未参加评审的任何无关人员，包括上级领导、同级和下级人员，任何与评审无关的人员（包括亲朋好友和同事）不得进入评审场所；</w:t>
      </w:r>
    </w:p>
    <w:p w14:paraId="24B57211">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（4）</w:t>
      </w:r>
      <w:r>
        <w:rPr>
          <w:rFonts w:hint="eastAsia" w:ascii="宋体" w:hAnsi="宋体" w:eastAsia="宋体" w:cs="宋体"/>
          <w:color w:val="auto"/>
          <w:szCs w:val="24"/>
          <w:highlight w:val="none"/>
          <w:lang w:val="en-US" w:eastAsia="zh-CN"/>
        </w:rPr>
        <w:t>如有需要举行</w:t>
      </w:r>
      <w:r>
        <w:rPr>
          <w:rFonts w:hint="eastAsia" w:ascii="宋体" w:hAnsi="宋体" w:eastAsia="宋体" w:cs="宋体"/>
          <w:color w:val="auto"/>
          <w:szCs w:val="24"/>
          <w:highlight w:val="none"/>
          <w:lang w:val="zh-CN"/>
        </w:rPr>
        <w:t>澄清会，在举行与各投标人的澄清会之前评标委员会应明确参加会议的人员及主谈人。任何需要投标人在澄清会上澄清的问题必须经评标委员会成员签字并由主谈人提出。在澄清期间，对于涉及本规定保密范畴的所有内容，主谈人不得向投标人透露；</w:t>
      </w:r>
    </w:p>
    <w:p w14:paraId="27FAA97B">
      <w:pPr>
        <w:widowControl/>
        <w:jc w:val="left"/>
        <w:rPr>
          <w:rFonts w:ascii="宋体" w:hAnsi="宋体" w:eastAsia="宋体" w:cs="Times New Roman"/>
          <w:b/>
          <w:bCs/>
          <w:color w:val="auto"/>
          <w:kern w:val="0"/>
          <w:szCs w:val="21"/>
          <w:highlight w:val="none"/>
        </w:rPr>
      </w:pPr>
      <w:r>
        <w:rPr>
          <w:rFonts w:hint="eastAsia" w:ascii="宋体" w:hAnsi="宋体" w:eastAsia="宋体" w:cs="宋体"/>
          <w:color w:val="auto"/>
          <w:szCs w:val="24"/>
          <w:highlight w:val="none"/>
          <w:lang w:val="zh-CN"/>
        </w:rPr>
        <w:t>（5）任何评审人员和工作人员不得对外公布评审的一切内容。</w:t>
      </w:r>
    </w:p>
    <w:bookmarkEnd w:id="1163"/>
    <w:bookmarkEnd w:id="1201"/>
    <w:bookmarkEnd w:id="1202"/>
    <w:bookmarkEnd w:id="1203"/>
    <w:p w14:paraId="5B711C20">
      <w:pPr>
        <w:widowControl/>
        <w:jc w:val="left"/>
        <w:rPr>
          <w:rFonts w:ascii="宋体" w:hAnsi="宋体" w:eastAsia="宋体" w:cs="宋体"/>
          <w:color w:val="auto"/>
          <w:szCs w:val="24"/>
          <w:highlight w:val="none"/>
          <w:lang w:val="zh-CN"/>
        </w:rPr>
      </w:pPr>
    </w:p>
    <w:sectPr>
      <w:pgSz w:w="12240" w:h="15840"/>
      <w:pgMar w:top="1191" w:right="1043" w:bottom="1191" w:left="1043" w:header="720" w:footer="720" w:gutter="0"/>
      <w:cols w:space="720"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D5843DFD-50E1-4B9A-8466-BD6982A6C7ED}"/>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embedRegular r:id="rId2" w:fontKey="{FA1A1957-2591-47BA-BDF3-40EEB2FAD107}"/>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embedRegular r:id="rId3" w:fontKey="{5E308189-F4D1-4022-AC11-E0B6B83BE438}"/>
  </w:font>
  <w:font w:name="仿宋">
    <w:panose1 w:val="02010609060101010101"/>
    <w:charset w:val="86"/>
    <w:family w:val="modern"/>
    <w:pitch w:val="default"/>
    <w:sig w:usb0="800002BF" w:usb1="38CF7CFA" w:usb2="00000016" w:usb3="00000000" w:csb0="00040001" w:csb1="00000000"/>
    <w:embedRegular r:id="rId4" w:fontKey="{D68D9B79-477C-4CEF-94E7-06434E4C7AB8}"/>
  </w:font>
  <w:font w:name="等线 Light">
    <w:altName w:val="宋体"/>
    <w:panose1 w:val="02010600030101010101"/>
    <w:charset w:val="86"/>
    <w:family w:val="auto"/>
    <w:pitch w:val="default"/>
    <w:sig w:usb0="00000000" w:usb1="00000000" w:usb2="00000016" w:usb3="00000000" w:csb0="0004000F" w:csb1="00000000"/>
  </w:font>
  <w:font w:name="Microsoft YaHei UI">
    <w:altName w:val="宋体"/>
    <w:panose1 w:val="020B0503020204020204"/>
    <w:charset w:val="86"/>
    <w:family w:val="swiss"/>
    <w:pitch w:val="default"/>
    <w:sig w:usb0="00000000" w:usb1="0000000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ˎ̥">
    <w:altName w:val="Times New Roman"/>
    <w:panose1 w:val="00000000000000000000"/>
    <w:charset w:val="01"/>
    <w:family w:val="roman"/>
    <w:pitch w:val="default"/>
    <w:sig w:usb0="00000000" w:usb1="00000000" w:usb2="00000000" w:usb3="00000000" w:csb0="00040001"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FrutigerNext LT Light">
    <w:altName w:val="宋体"/>
    <w:panose1 w:val="00000000000000000000"/>
    <w:charset w:val="86"/>
    <w:family w:val="swiss"/>
    <w:pitch w:val="default"/>
    <w:sig w:usb0="00000000" w:usb1="00000000" w:usb2="00000010" w:usb3="00000000" w:csb0="00040001" w:csb1="00000000"/>
  </w:font>
  <w:font w:name="方正小标宋简体">
    <w:panose1 w:val="02000000000000000000"/>
    <w:charset w:val="86"/>
    <w:family w:val="auto"/>
    <w:pitch w:val="default"/>
    <w:sig w:usb0="00000001" w:usb1="08000000" w:usb2="00000000" w:usb3="00000000" w:csb0="00040000" w:csb1="00000000"/>
    <w:embedRegular r:id="rId5" w:fontKey="{34118F8A-6E6D-45F4-B381-EC585C9F8AF9}"/>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7A78B">
    <w:pPr>
      <w:pStyle w:val="26"/>
      <w:jc w:val="center"/>
    </w:pPr>
    <w:r>
      <w:rPr>
        <w:rFonts w:hint="eastAsia"/>
      </w:rPr>
      <w:t>第</w:t>
    </w:r>
    <w:r>
      <w:rPr>
        <w:bCs/>
      </w:rPr>
      <w:fldChar w:fldCharType="begin"/>
    </w:r>
    <w:r>
      <w:rPr>
        <w:bCs/>
      </w:rPr>
      <w:instrText xml:space="preserve">PAGE</w:instrText>
    </w:r>
    <w:r>
      <w:rPr>
        <w:bCs/>
      </w:rPr>
      <w:fldChar w:fldCharType="separate"/>
    </w:r>
    <w:r>
      <w:rPr>
        <w:bCs/>
      </w:rPr>
      <w:t>25</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8B3C8">
    <w:pPr>
      <w:pStyle w:val="26"/>
      <w:jc w:val="center"/>
    </w:pPr>
    <w:r>
      <w:rPr>
        <w:rFonts w:hint="eastAsia"/>
      </w:rPr>
      <w:t>第</w:t>
    </w:r>
    <w:r>
      <w:rPr>
        <w:bCs/>
      </w:rPr>
      <w:fldChar w:fldCharType="begin"/>
    </w:r>
    <w:r>
      <w:rPr>
        <w:bCs/>
      </w:rPr>
      <w:instrText xml:space="preserve">PAGE</w:instrText>
    </w:r>
    <w:r>
      <w:rPr>
        <w:bCs/>
      </w:rPr>
      <w:fldChar w:fldCharType="separate"/>
    </w:r>
    <w:r>
      <w:rPr>
        <w:bCs/>
      </w:rPr>
      <w:t>1</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7C568">
    <w:pPr>
      <w:pStyle w:val="26"/>
      <w:jc w:val="center"/>
    </w:pPr>
    <w:r>
      <w:rPr>
        <w:rFonts w:hint="eastAsia"/>
      </w:rPr>
      <w:t>第</w:t>
    </w:r>
    <w:r>
      <w:rPr>
        <w:bCs/>
      </w:rPr>
      <w:fldChar w:fldCharType="begin"/>
    </w:r>
    <w:r>
      <w:rPr>
        <w:bCs/>
      </w:rPr>
      <w:instrText xml:space="preserve">PAGE</w:instrText>
    </w:r>
    <w:r>
      <w:rPr>
        <w:bCs/>
      </w:rPr>
      <w:fldChar w:fldCharType="separate"/>
    </w:r>
    <w:r>
      <w:rPr>
        <w:bCs/>
      </w:rPr>
      <w:t>40</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40</w:t>
    </w:r>
    <w:r>
      <w:rPr>
        <w:bCs/>
      </w:rPr>
      <w:fldChar w:fldCharType="end"/>
    </w:r>
    <w:r>
      <w:rPr>
        <w:rFonts w:hint="eastAsia"/>
        <w:bCs/>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A41F6">
    <w:pPr>
      <w:pStyle w:val="26"/>
      <w:jc w:val="center"/>
    </w:pPr>
    <w:r>
      <w:rPr>
        <w:rFonts w:hint="eastAsia"/>
      </w:rPr>
      <w:t>第</w:t>
    </w:r>
    <w:r>
      <w:rPr>
        <w:bCs/>
      </w:rPr>
      <w:fldChar w:fldCharType="begin"/>
    </w:r>
    <w:r>
      <w:rPr>
        <w:bCs/>
      </w:rPr>
      <w:instrText xml:space="preserve">PAGE</w:instrText>
    </w:r>
    <w:r>
      <w:rPr>
        <w:bCs/>
      </w:rPr>
      <w:fldChar w:fldCharType="separate"/>
    </w:r>
    <w:r>
      <w:rPr>
        <w:bCs/>
      </w:rPr>
      <w:t>49</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49</w:t>
    </w:r>
    <w:r>
      <w:rPr>
        <w:bCs/>
      </w:rPr>
      <w:fldChar w:fldCharType="end"/>
    </w:r>
    <w:r>
      <w:rPr>
        <w:rFonts w:hint="eastAsia"/>
        <w:bCs/>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80CAC">
    <w:pPr>
      <w:pStyle w:val="26"/>
      <w:jc w:val="center"/>
    </w:pPr>
    <w:r>
      <w:rPr>
        <w:rFonts w:hint="eastAsia"/>
      </w:rPr>
      <w:t>第</w:t>
    </w:r>
    <w:r>
      <w:rPr>
        <w:lang w:val="zh-CN"/>
      </w:rPr>
      <w:t xml:space="preserve"> </w:t>
    </w:r>
    <w:r>
      <w:rPr>
        <w:bCs/>
        <w:sz w:val="24"/>
        <w:szCs w:val="24"/>
      </w:rPr>
      <w:fldChar w:fldCharType="begin"/>
    </w:r>
    <w:r>
      <w:rPr>
        <w:bCs/>
      </w:rPr>
      <w:instrText xml:space="preserve">PAGE</w:instrText>
    </w:r>
    <w:r>
      <w:rPr>
        <w:bCs/>
        <w:sz w:val="24"/>
        <w:szCs w:val="24"/>
      </w:rPr>
      <w:fldChar w:fldCharType="separate"/>
    </w:r>
    <w:r>
      <w:rPr>
        <w:bCs/>
      </w:rPr>
      <w:t>66</w:t>
    </w:r>
    <w:r>
      <w:rPr>
        <w:bCs/>
        <w:sz w:val="24"/>
        <w:szCs w:val="24"/>
      </w:rPr>
      <w:fldChar w:fldCharType="end"/>
    </w:r>
    <w:r>
      <w:rPr>
        <w:lang w:val="zh-CN"/>
      </w:rPr>
      <w:t xml:space="preserve"> </w:t>
    </w:r>
    <w:r>
      <w:rPr>
        <w:rFonts w:hint="eastAsia"/>
        <w:lang w:val="zh-CN"/>
      </w:rPr>
      <w:t>页，共</w:t>
    </w:r>
    <w:r>
      <w:rPr>
        <w:lang w:val="zh-CN"/>
      </w:rPr>
      <w:t xml:space="preserve"> </w:t>
    </w:r>
    <w:r>
      <w:rPr>
        <w:bCs/>
        <w:sz w:val="24"/>
        <w:szCs w:val="24"/>
      </w:rPr>
      <w:fldChar w:fldCharType="begin"/>
    </w:r>
    <w:r>
      <w:rPr>
        <w:bCs/>
      </w:rPr>
      <w:instrText xml:space="preserve">NUMPAGES</w:instrText>
    </w:r>
    <w:r>
      <w:rPr>
        <w:bCs/>
        <w:sz w:val="24"/>
        <w:szCs w:val="24"/>
      </w:rPr>
      <w:fldChar w:fldCharType="separate"/>
    </w:r>
    <w:r>
      <w:rPr>
        <w:bCs/>
      </w:rPr>
      <w:t>68</w:t>
    </w:r>
    <w:r>
      <w:rPr>
        <w:bCs/>
        <w:sz w:val="24"/>
        <w:szCs w:val="24"/>
      </w:rPr>
      <w:fldChar w:fldCharType="end"/>
    </w:r>
    <w:r>
      <w:rPr>
        <w:b/>
        <w:bCs/>
        <w:sz w:val="24"/>
        <w:szCs w:val="24"/>
      </w:rPr>
      <w:t xml:space="preserve"> </w:t>
    </w:r>
    <w:r>
      <w:rPr>
        <w:rFonts w:hint="eastAsia"/>
      </w:rPr>
      <w:t>页</w:t>
    </w:r>
  </w:p>
  <w:p w14:paraId="590CE789">
    <w:pPr>
      <w:pStyle w:val="2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A818AF"/>
    <w:multiLevelType w:val="multilevel"/>
    <w:tmpl w:val="86A818AF"/>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C97BF4FD"/>
    <w:multiLevelType w:val="singleLevel"/>
    <w:tmpl w:val="C97BF4FD"/>
    <w:lvl w:ilvl="0" w:tentative="0">
      <w:start w:val="8"/>
      <w:numFmt w:val="chineseCounting"/>
      <w:suff w:val="space"/>
      <w:lvlText w:val="第%1条"/>
      <w:lvlJc w:val="left"/>
      <w:rPr>
        <w:rFonts w:hint="eastAsia"/>
      </w:rPr>
    </w:lvl>
  </w:abstractNum>
  <w:abstractNum w:abstractNumId="2">
    <w:nsid w:val="15CDD991"/>
    <w:multiLevelType w:val="multilevel"/>
    <w:tmpl w:val="15CDD991"/>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3">
    <w:nsid w:val="2F8D6FBB"/>
    <w:multiLevelType w:val="multilevel"/>
    <w:tmpl w:val="2F8D6FBB"/>
    <w:lvl w:ilvl="0" w:tentative="0">
      <w:start w:val="1"/>
      <w:numFmt w:val="decimal"/>
      <w:lvlText w:val="%1."/>
      <w:legacy w:legacy="1" w:legacySpace="0" w:legacyIndent="360"/>
      <w:lvlJc w:val="left"/>
      <w:rPr>
        <w:rFonts w:hint="eastAsia" w:ascii="宋体" w:hAnsi="宋体" w:eastAsia="宋体"/>
      </w:rPr>
    </w:lvl>
    <w:lvl w:ilvl="1" w:tentative="0">
      <w:start w:val="5"/>
      <w:numFmt w:val="decimal"/>
      <w:isLgl/>
      <w:lvlText w:val="%1.%2"/>
      <w:lvlJc w:val="left"/>
      <w:pPr>
        <w:tabs>
          <w:tab w:val="left" w:pos="0"/>
        </w:tabs>
        <w:ind w:left="0" w:firstLine="0"/>
      </w:pPr>
      <w:rPr>
        <w:rFonts w:hint="default"/>
      </w:rPr>
    </w:lvl>
    <w:lvl w:ilvl="2" w:tentative="0">
      <w:start w:val="1"/>
      <w:numFmt w:val="decimal"/>
      <w:isLgl/>
      <w:lvlText w:val="%1.%2.%3"/>
      <w:lvlJc w:val="left"/>
      <w:pPr>
        <w:tabs>
          <w:tab w:val="left" w:pos="0"/>
        </w:tabs>
        <w:ind w:left="0" w:firstLine="0"/>
      </w:pPr>
      <w:rPr>
        <w:rFonts w:hint="default"/>
      </w:rPr>
    </w:lvl>
    <w:lvl w:ilvl="3" w:tentative="0">
      <w:start w:val="1"/>
      <w:numFmt w:val="decimal"/>
      <w:isLgl/>
      <w:lvlText w:val="%1.%2.%3.%4"/>
      <w:lvlJc w:val="left"/>
      <w:pPr>
        <w:tabs>
          <w:tab w:val="left" w:pos="0"/>
        </w:tabs>
        <w:ind w:left="0" w:firstLine="0"/>
      </w:pPr>
      <w:rPr>
        <w:rFonts w:hint="default"/>
      </w:rPr>
    </w:lvl>
    <w:lvl w:ilvl="4" w:tentative="0">
      <w:start w:val="1"/>
      <w:numFmt w:val="decimal"/>
      <w:isLgl/>
      <w:lvlText w:val="%1.%2.%3.%4.%5"/>
      <w:lvlJc w:val="left"/>
      <w:pPr>
        <w:tabs>
          <w:tab w:val="left" w:pos="0"/>
        </w:tabs>
        <w:ind w:left="0" w:firstLine="0"/>
      </w:pPr>
      <w:rPr>
        <w:rFonts w:hint="default"/>
      </w:rPr>
    </w:lvl>
    <w:lvl w:ilvl="5" w:tentative="0">
      <w:start w:val="1"/>
      <w:numFmt w:val="decimal"/>
      <w:isLgl/>
      <w:lvlText w:val="%1.%2.%3.%4.%5.%6"/>
      <w:lvlJc w:val="left"/>
      <w:pPr>
        <w:tabs>
          <w:tab w:val="left" w:pos="0"/>
        </w:tabs>
        <w:ind w:left="0" w:firstLine="0"/>
      </w:pPr>
      <w:rPr>
        <w:rFonts w:hint="default"/>
      </w:rPr>
    </w:lvl>
    <w:lvl w:ilvl="6" w:tentative="0">
      <w:start w:val="1"/>
      <w:numFmt w:val="decimal"/>
      <w:isLgl/>
      <w:lvlText w:val="%1.%2.%3.%4.%5.%6.%7"/>
      <w:lvlJc w:val="left"/>
      <w:pPr>
        <w:tabs>
          <w:tab w:val="left" w:pos="0"/>
        </w:tabs>
        <w:ind w:left="0" w:firstLine="0"/>
      </w:pPr>
      <w:rPr>
        <w:rFonts w:hint="default"/>
      </w:rPr>
    </w:lvl>
    <w:lvl w:ilvl="7" w:tentative="0">
      <w:start w:val="1"/>
      <w:numFmt w:val="decimal"/>
      <w:isLgl/>
      <w:lvlText w:val="%1.%2.%3.%4.%5.%6.%7.%8"/>
      <w:lvlJc w:val="left"/>
      <w:pPr>
        <w:tabs>
          <w:tab w:val="left" w:pos="0"/>
        </w:tabs>
        <w:ind w:left="0" w:firstLine="0"/>
      </w:pPr>
      <w:rPr>
        <w:rFonts w:hint="default"/>
      </w:rPr>
    </w:lvl>
    <w:lvl w:ilvl="8" w:tentative="0">
      <w:start w:val="1"/>
      <w:numFmt w:val="decimal"/>
      <w:isLgl/>
      <w:lvlText w:val="%1.%2.%3.%4.%5.%6.%7.%8.%9"/>
      <w:lvlJc w:val="left"/>
      <w:pPr>
        <w:tabs>
          <w:tab w:val="left" w:pos="0"/>
        </w:tabs>
        <w:ind w:left="0" w:firstLine="0"/>
      </w:pPr>
      <w:rPr>
        <w:rFonts w:hint="default"/>
      </w:rPr>
    </w:lvl>
  </w:abstractNum>
  <w:abstractNum w:abstractNumId="4">
    <w:nsid w:val="442A3BA7"/>
    <w:multiLevelType w:val="multilevel"/>
    <w:tmpl w:val="442A3BA7"/>
    <w:lvl w:ilvl="0" w:tentative="0">
      <w:start w:val="1"/>
      <w:numFmt w:val="decimal"/>
      <w:lvlText w:val="%1"/>
      <w:lvlJc w:val="left"/>
      <w:pPr>
        <w:ind w:left="360" w:hanging="360"/>
      </w:pPr>
      <w:rPr>
        <w:rFonts w:hint="default"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92C8E7B"/>
    <w:multiLevelType w:val="multilevel"/>
    <w:tmpl w:val="692C8E7B"/>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4"/>
  </w:num>
  <w:num w:numId="2">
    <w:abstractNumId w:val="1"/>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hideSpellingErrors/>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2N2U0ZjdjYWVlODFlNzliMDZlYjI1ODI0NTc4ZDQifQ=="/>
  </w:docVars>
  <w:rsids>
    <w:rsidRoot w:val="00172A27"/>
    <w:rsid w:val="000011AE"/>
    <w:rsid w:val="00004430"/>
    <w:rsid w:val="00006AEC"/>
    <w:rsid w:val="00015A2E"/>
    <w:rsid w:val="000245A6"/>
    <w:rsid w:val="0002570D"/>
    <w:rsid w:val="00027708"/>
    <w:rsid w:val="00035595"/>
    <w:rsid w:val="00040BE6"/>
    <w:rsid w:val="00040F92"/>
    <w:rsid w:val="00046C4B"/>
    <w:rsid w:val="00052FA1"/>
    <w:rsid w:val="00054A52"/>
    <w:rsid w:val="00054D9C"/>
    <w:rsid w:val="000622F9"/>
    <w:rsid w:val="000640CD"/>
    <w:rsid w:val="000768C6"/>
    <w:rsid w:val="000770B9"/>
    <w:rsid w:val="0008097F"/>
    <w:rsid w:val="00084D8D"/>
    <w:rsid w:val="000853A8"/>
    <w:rsid w:val="00086BE3"/>
    <w:rsid w:val="000942B7"/>
    <w:rsid w:val="00094AF8"/>
    <w:rsid w:val="000A31BD"/>
    <w:rsid w:val="000A34F7"/>
    <w:rsid w:val="000A65CD"/>
    <w:rsid w:val="000A73D7"/>
    <w:rsid w:val="000B4B09"/>
    <w:rsid w:val="000C1661"/>
    <w:rsid w:val="000C18B7"/>
    <w:rsid w:val="000C5D06"/>
    <w:rsid w:val="000C6A11"/>
    <w:rsid w:val="000D0B5D"/>
    <w:rsid w:val="000D5537"/>
    <w:rsid w:val="000D75D3"/>
    <w:rsid w:val="000E3ECA"/>
    <w:rsid w:val="000E4A4F"/>
    <w:rsid w:val="000E4D54"/>
    <w:rsid w:val="000F0A84"/>
    <w:rsid w:val="001059DC"/>
    <w:rsid w:val="0010738F"/>
    <w:rsid w:val="0011440A"/>
    <w:rsid w:val="00114519"/>
    <w:rsid w:val="001233ED"/>
    <w:rsid w:val="00127946"/>
    <w:rsid w:val="00131E91"/>
    <w:rsid w:val="001450A8"/>
    <w:rsid w:val="001523C0"/>
    <w:rsid w:val="00152F07"/>
    <w:rsid w:val="0015711A"/>
    <w:rsid w:val="001644BA"/>
    <w:rsid w:val="001647C7"/>
    <w:rsid w:val="00165203"/>
    <w:rsid w:val="00166309"/>
    <w:rsid w:val="00170004"/>
    <w:rsid w:val="00174AE6"/>
    <w:rsid w:val="001758D3"/>
    <w:rsid w:val="00177B51"/>
    <w:rsid w:val="0018078B"/>
    <w:rsid w:val="00183284"/>
    <w:rsid w:val="00183344"/>
    <w:rsid w:val="0019682B"/>
    <w:rsid w:val="001A1FCB"/>
    <w:rsid w:val="001B74B3"/>
    <w:rsid w:val="001C2086"/>
    <w:rsid w:val="001C4AC2"/>
    <w:rsid w:val="001C6FAA"/>
    <w:rsid w:val="001D00B3"/>
    <w:rsid w:val="001D5A65"/>
    <w:rsid w:val="001D6B15"/>
    <w:rsid w:val="001E4158"/>
    <w:rsid w:val="001E6227"/>
    <w:rsid w:val="001E63B6"/>
    <w:rsid w:val="001E6DD8"/>
    <w:rsid w:val="001F0290"/>
    <w:rsid w:val="001F6A01"/>
    <w:rsid w:val="00202DB9"/>
    <w:rsid w:val="00215B7A"/>
    <w:rsid w:val="00223D5B"/>
    <w:rsid w:val="0022528C"/>
    <w:rsid w:val="002258BB"/>
    <w:rsid w:val="00225B7D"/>
    <w:rsid w:val="002260FC"/>
    <w:rsid w:val="002315B7"/>
    <w:rsid w:val="002347FE"/>
    <w:rsid w:val="0024360C"/>
    <w:rsid w:val="002451A7"/>
    <w:rsid w:val="00247373"/>
    <w:rsid w:val="00260C05"/>
    <w:rsid w:val="00261575"/>
    <w:rsid w:val="00262407"/>
    <w:rsid w:val="00275E0E"/>
    <w:rsid w:val="0028146F"/>
    <w:rsid w:val="002831F6"/>
    <w:rsid w:val="00290CBF"/>
    <w:rsid w:val="0029590E"/>
    <w:rsid w:val="002A3EB3"/>
    <w:rsid w:val="002B1734"/>
    <w:rsid w:val="002B5DBC"/>
    <w:rsid w:val="002B7423"/>
    <w:rsid w:val="002B7CA9"/>
    <w:rsid w:val="002C4A4A"/>
    <w:rsid w:val="002D0003"/>
    <w:rsid w:val="002D1442"/>
    <w:rsid w:val="002E4079"/>
    <w:rsid w:val="002F68EE"/>
    <w:rsid w:val="002F7DEF"/>
    <w:rsid w:val="003014E2"/>
    <w:rsid w:val="00302D85"/>
    <w:rsid w:val="0030753D"/>
    <w:rsid w:val="00311DA1"/>
    <w:rsid w:val="003121B1"/>
    <w:rsid w:val="0031709C"/>
    <w:rsid w:val="003223D5"/>
    <w:rsid w:val="00322AA4"/>
    <w:rsid w:val="00325EF0"/>
    <w:rsid w:val="00326230"/>
    <w:rsid w:val="00326290"/>
    <w:rsid w:val="00330DA7"/>
    <w:rsid w:val="00332C2D"/>
    <w:rsid w:val="00335872"/>
    <w:rsid w:val="003462FF"/>
    <w:rsid w:val="00347A73"/>
    <w:rsid w:val="00347CB0"/>
    <w:rsid w:val="00352495"/>
    <w:rsid w:val="00353707"/>
    <w:rsid w:val="00354BE6"/>
    <w:rsid w:val="0035524D"/>
    <w:rsid w:val="00357E51"/>
    <w:rsid w:val="003628C2"/>
    <w:rsid w:val="00364854"/>
    <w:rsid w:val="00366BB7"/>
    <w:rsid w:val="003721DF"/>
    <w:rsid w:val="003748D5"/>
    <w:rsid w:val="0037694B"/>
    <w:rsid w:val="00381E11"/>
    <w:rsid w:val="003824D1"/>
    <w:rsid w:val="00393CBD"/>
    <w:rsid w:val="00395C76"/>
    <w:rsid w:val="003A2B25"/>
    <w:rsid w:val="003A5520"/>
    <w:rsid w:val="003B077B"/>
    <w:rsid w:val="003B3342"/>
    <w:rsid w:val="003B5C9C"/>
    <w:rsid w:val="003C193B"/>
    <w:rsid w:val="003D0D72"/>
    <w:rsid w:val="003D17A4"/>
    <w:rsid w:val="003D39E2"/>
    <w:rsid w:val="003D3F68"/>
    <w:rsid w:val="003E006E"/>
    <w:rsid w:val="003E30F8"/>
    <w:rsid w:val="003E399E"/>
    <w:rsid w:val="003E6830"/>
    <w:rsid w:val="003F3875"/>
    <w:rsid w:val="003F42C0"/>
    <w:rsid w:val="003F51B0"/>
    <w:rsid w:val="004033E1"/>
    <w:rsid w:val="00405E84"/>
    <w:rsid w:val="0040607F"/>
    <w:rsid w:val="00417860"/>
    <w:rsid w:val="00420A7A"/>
    <w:rsid w:val="004235AF"/>
    <w:rsid w:val="0042558D"/>
    <w:rsid w:val="00427A89"/>
    <w:rsid w:val="0043107A"/>
    <w:rsid w:val="00432C43"/>
    <w:rsid w:val="004359C6"/>
    <w:rsid w:val="004360FC"/>
    <w:rsid w:val="004378C7"/>
    <w:rsid w:val="00437B9C"/>
    <w:rsid w:val="00437FC4"/>
    <w:rsid w:val="00441805"/>
    <w:rsid w:val="004551D1"/>
    <w:rsid w:val="0045753C"/>
    <w:rsid w:val="004577C3"/>
    <w:rsid w:val="0046038A"/>
    <w:rsid w:val="00460F3E"/>
    <w:rsid w:val="00464570"/>
    <w:rsid w:val="004761B2"/>
    <w:rsid w:val="00481AFA"/>
    <w:rsid w:val="0049337D"/>
    <w:rsid w:val="004B093D"/>
    <w:rsid w:val="004B604C"/>
    <w:rsid w:val="004E4ADE"/>
    <w:rsid w:val="004E5028"/>
    <w:rsid w:val="004E5F4E"/>
    <w:rsid w:val="004F2802"/>
    <w:rsid w:val="00500B9E"/>
    <w:rsid w:val="00503499"/>
    <w:rsid w:val="00506501"/>
    <w:rsid w:val="00507BC4"/>
    <w:rsid w:val="00513DB6"/>
    <w:rsid w:val="00524E92"/>
    <w:rsid w:val="00531E28"/>
    <w:rsid w:val="005344B1"/>
    <w:rsid w:val="005423E7"/>
    <w:rsid w:val="005572B4"/>
    <w:rsid w:val="0056010A"/>
    <w:rsid w:val="00563302"/>
    <w:rsid w:val="00571307"/>
    <w:rsid w:val="005743EA"/>
    <w:rsid w:val="00576F2E"/>
    <w:rsid w:val="00581210"/>
    <w:rsid w:val="00581FC3"/>
    <w:rsid w:val="005832B2"/>
    <w:rsid w:val="005851F1"/>
    <w:rsid w:val="005910B4"/>
    <w:rsid w:val="00596A23"/>
    <w:rsid w:val="005B735D"/>
    <w:rsid w:val="005C4A71"/>
    <w:rsid w:val="005C6F40"/>
    <w:rsid w:val="005D4119"/>
    <w:rsid w:val="005D66C2"/>
    <w:rsid w:val="005E2AC9"/>
    <w:rsid w:val="005E4D67"/>
    <w:rsid w:val="005F3D7C"/>
    <w:rsid w:val="00602D7E"/>
    <w:rsid w:val="00603BD0"/>
    <w:rsid w:val="0060555D"/>
    <w:rsid w:val="00606161"/>
    <w:rsid w:val="006062B3"/>
    <w:rsid w:val="00612EB1"/>
    <w:rsid w:val="0061352C"/>
    <w:rsid w:val="006165C8"/>
    <w:rsid w:val="006175B4"/>
    <w:rsid w:val="00617AAD"/>
    <w:rsid w:val="00621CDC"/>
    <w:rsid w:val="006229B2"/>
    <w:rsid w:val="00625E3D"/>
    <w:rsid w:val="00630B61"/>
    <w:rsid w:val="006402A6"/>
    <w:rsid w:val="00644B65"/>
    <w:rsid w:val="006530F8"/>
    <w:rsid w:val="006537BE"/>
    <w:rsid w:val="006654C0"/>
    <w:rsid w:val="00681997"/>
    <w:rsid w:val="0068405C"/>
    <w:rsid w:val="00691017"/>
    <w:rsid w:val="0069152C"/>
    <w:rsid w:val="006A29A5"/>
    <w:rsid w:val="006A2BD9"/>
    <w:rsid w:val="006A3C57"/>
    <w:rsid w:val="006A4F83"/>
    <w:rsid w:val="006A5072"/>
    <w:rsid w:val="006B5151"/>
    <w:rsid w:val="006C2D84"/>
    <w:rsid w:val="006C2F7D"/>
    <w:rsid w:val="006C3580"/>
    <w:rsid w:val="006C3F4D"/>
    <w:rsid w:val="006C6349"/>
    <w:rsid w:val="006D479F"/>
    <w:rsid w:val="006E2E51"/>
    <w:rsid w:val="006F6DB2"/>
    <w:rsid w:val="00704B3A"/>
    <w:rsid w:val="00710CF8"/>
    <w:rsid w:val="00711E08"/>
    <w:rsid w:val="007138FD"/>
    <w:rsid w:val="00716BB1"/>
    <w:rsid w:val="007172FD"/>
    <w:rsid w:val="007200C8"/>
    <w:rsid w:val="007215F6"/>
    <w:rsid w:val="00721BAA"/>
    <w:rsid w:val="00745968"/>
    <w:rsid w:val="00747A3E"/>
    <w:rsid w:val="007730C9"/>
    <w:rsid w:val="00775150"/>
    <w:rsid w:val="00776B48"/>
    <w:rsid w:val="0078099D"/>
    <w:rsid w:val="00787DE8"/>
    <w:rsid w:val="007942D8"/>
    <w:rsid w:val="00794983"/>
    <w:rsid w:val="00796ED7"/>
    <w:rsid w:val="007A7740"/>
    <w:rsid w:val="007B4F1D"/>
    <w:rsid w:val="007C002A"/>
    <w:rsid w:val="007C024B"/>
    <w:rsid w:val="007C6FA9"/>
    <w:rsid w:val="007D408A"/>
    <w:rsid w:val="007D4A5A"/>
    <w:rsid w:val="007D6B20"/>
    <w:rsid w:val="007E0673"/>
    <w:rsid w:val="007E32FC"/>
    <w:rsid w:val="007F01A2"/>
    <w:rsid w:val="007F0378"/>
    <w:rsid w:val="007F2ABC"/>
    <w:rsid w:val="007F7FEC"/>
    <w:rsid w:val="0081027D"/>
    <w:rsid w:val="00817B3D"/>
    <w:rsid w:val="00822299"/>
    <w:rsid w:val="008270D5"/>
    <w:rsid w:val="008279A7"/>
    <w:rsid w:val="00831B7F"/>
    <w:rsid w:val="0085250F"/>
    <w:rsid w:val="008525D6"/>
    <w:rsid w:val="0085388E"/>
    <w:rsid w:val="00856F5E"/>
    <w:rsid w:val="008604D1"/>
    <w:rsid w:val="008659E9"/>
    <w:rsid w:val="0087095D"/>
    <w:rsid w:val="00871835"/>
    <w:rsid w:val="00871F12"/>
    <w:rsid w:val="00875420"/>
    <w:rsid w:val="00876184"/>
    <w:rsid w:val="00880A50"/>
    <w:rsid w:val="00884732"/>
    <w:rsid w:val="0089007C"/>
    <w:rsid w:val="008928AE"/>
    <w:rsid w:val="00893092"/>
    <w:rsid w:val="00894583"/>
    <w:rsid w:val="008A4C9B"/>
    <w:rsid w:val="008B08C5"/>
    <w:rsid w:val="008B6384"/>
    <w:rsid w:val="008B6557"/>
    <w:rsid w:val="008B74A7"/>
    <w:rsid w:val="008C02C2"/>
    <w:rsid w:val="008C1CB3"/>
    <w:rsid w:val="008C7F21"/>
    <w:rsid w:val="008D1795"/>
    <w:rsid w:val="008D4357"/>
    <w:rsid w:val="008D565D"/>
    <w:rsid w:val="008D6357"/>
    <w:rsid w:val="008E5EA1"/>
    <w:rsid w:val="008E6AB7"/>
    <w:rsid w:val="008F13C0"/>
    <w:rsid w:val="008F38EE"/>
    <w:rsid w:val="009001CB"/>
    <w:rsid w:val="009004F6"/>
    <w:rsid w:val="009077A0"/>
    <w:rsid w:val="009113DE"/>
    <w:rsid w:val="00913121"/>
    <w:rsid w:val="009171D5"/>
    <w:rsid w:val="00917709"/>
    <w:rsid w:val="00917C84"/>
    <w:rsid w:val="009220F2"/>
    <w:rsid w:val="009227C1"/>
    <w:rsid w:val="00923EDB"/>
    <w:rsid w:val="00925D9A"/>
    <w:rsid w:val="00926978"/>
    <w:rsid w:val="00932BD9"/>
    <w:rsid w:val="0094670F"/>
    <w:rsid w:val="009479D0"/>
    <w:rsid w:val="00961BA9"/>
    <w:rsid w:val="00967923"/>
    <w:rsid w:val="009701D2"/>
    <w:rsid w:val="00970774"/>
    <w:rsid w:val="00972FAE"/>
    <w:rsid w:val="0097462A"/>
    <w:rsid w:val="00986292"/>
    <w:rsid w:val="00987779"/>
    <w:rsid w:val="009A2AA5"/>
    <w:rsid w:val="009A63FB"/>
    <w:rsid w:val="009B55D4"/>
    <w:rsid w:val="009B787A"/>
    <w:rsid w:val="009B7A49"/>
    <w:rsid w:val="009B7AD9"/>
    <w:rsid w:val="009C387D"/>
    <w:rsid w:val="009C571F"/>
    <w:rsid w:val="009D0461"/>
    <w:rsid w:val="009D4188"/>
    <w:rsid w:val="009D4EFC"/>
    <w:rsid w:val="009D7FA3"/>
    <w:rsid w:val="009E216D"/>
    <w:rsid w:val="009E6283"/>
    <w:rsid w:val="009E63CA"/>
    <w:rsid w:val="009F34CB"/>
    <w:rsid w:val="009F7460"/>
    <w:rsid w:val="00A03E44"/>
    <w:rsid w:val="00A075A8"/>
    <w:rsid w:val="00A10A7B"/>
    <w:rsid w:val="00A15F6A"/>
    <w:rsid w:val="00A311C2"/>
    <w:rsid w:val="00A32233"/>
    <w:rsid w:val="00A36A24"/>
    <w:rsid w:val="00A376FB"/>
    <w:rsid w:val="00A45306"/>
    <w:rsid w:val="00A45D73"/>
    <w:rsid w:val="00A62F8C"/>
    <w:rsid w:val="00A64725"/>
    <w:rsid w:val="00A6666A"/>
    <w:rsid w:val="00A73490"/>
    <w:rsid w:val="00A819B6"/>
    <w:rsid w:val="00A91C8B"/>
    <w:rsid w:val="00A95824"/>
    <w:rsid w:val="00AB2EDC"/>
    <w:rsid w:val="00AB47F4"/>
    <w:rsid w:val="00AC136E"/>
    <w:rsid w:val="00AC1F6A"/>
    <w:rsid w:val="00AC413D"/>
    <w:rsid w:val="00AD3A9D"/>
    <w:rsid w:val="00AD79D3"/>
    <w:rsid w:val="00AE5434"/>
    <w:rsid w:val="00AE6DBF"/>
    <w:rsid w:val="00AE75DB"/>
    <w:rsid w:val="00B0092D"/>
    <w:rsid w:val="00B01C60"/>
    <w:rsid w:val="00B01D22"/>
    <w:rsid w:val="00B03A00"/>
    <w:rsid w:val="00B0445D"/>
    <w:rsid w:val="00B0447C"/>
    <w:rsid w:val="00B05E53"/>
    <w:rsid w:val="00B072AA"/>
    <w:rsid w:val="00B10650"/>
    <w:rsid w:val="00B10E08"/>
    <w:rsid w:val="00B11436"/>
    <w:rsid w:val="00B12341"/>
    <w:rsid w:val="00B25D19"/>
    <w:rsid w:val="00B359D9"/>
    <w:rsid w:val="00B35BC7"/>
    <w:rsid w:val="00B40B8B"/>
    <w:rsid w:val="00B4404D"/>
    <w:rsid w:val="00B50993"/>
    <w:rsid w:val="00B63168"/>
    <w:rsid w:val="00B63E9B"/>
    <w:rsid w:val="00B64963"/>
    <w:rsid w:val="00B70085"/>
    <w:rsid w:val="00B7099F"/>
    <w:rsid w:val="00B71873"/>
    <w:rsid w:val="00B72A5D"/>
    <w:rsid w:val="00B736B7"/>
    <w:rsid w:val="00B73C45"/>
    <w:rsid w:val="00B82E01"/>
    <w:rsid w:val="00B84DD7"/>
    <w:rsid w:val="00B91811"/>
    <w:rsid w:val="00B94460"/>
    <w:rsid w:val="00B9561A"/>
    <w:rsid w:val="00BA437F"/>
    <w:rsid w:val="00BA5C29"/>
    <w:rsid w:val="00BB6C9A"/>
    <w:rsid w:val="00BC0594"/>
    <w:rsid w:val="00BC11FC"/>
    <w:rsid w:val="00BC1F54"/>
    <w:rsid w:val="00BC4C9D"/>
    <w:rsid w:val="00BC54FC"/>
    <w:rsid w:val="00BD2118"/>
    <w:rsid w:val="00BD5092"/>
    <w:rsid w:val="00BD5997"/>
    <w:rsid w:val="00BE6F50"/>
    <w:rsid w:val="00BF1BA3"/>
    <w:rsid w:val="00BF588D"/>
    <w:rsid w:val="00C03447"/>
    <w:rsid w:val="00C07EF5"/>
    <w:rsid w:val="00C128FE"/>
    <w:rsid w:val="00C13304"/>
    <w:rsid w:val="00C1777A"/>
    <w:rsid w:val="00C212E3"/>
    <w:rsid w:val="00C22FAE"/>
    <w:rsid w:val="00C24C44"/>
    <w:rsid w:val="00C26B0C"/>
    <w:rsid w:val="00C30F18"/>
    <w:rsid w:val="00C331D1"/>
    <w:rsid w:val="00C35958"/>
    <w:rsid w:val="00C372A8"/>
    <w:rsid w:val="00C375FF"/>
    <w:rsid w:val="00C40848"/>
    <w:rsid w:val="00C50E47"/>
    <w:rsid w:val="00C562AA"/>
    <w:rsid w:val="00C574F4"/>
    <w:rsid w:val="00C747C6"/>
    <w:rsid w:val="00C756C3"/>
    <w:rsid w:val="00C80F66"/>
    <w:rsid w:val="00C84AE8"/>
    <w:rsid w:val="00C85D1B"/>
    <w:rsid w:val="00C96DDA"/>
    <w:rsid w:val="00CA7F1F"/>
    <w:rsid w:val="00CB5D3E"/>
    <w:rsid w:val="00CC4C46"/>
    <w:rsid w:val="00CC6AAB"/>
    <w:rsid w:val="00CC77FF"/>
    <w:rsid w:val="00CC7CF5"/>
    <w:rsid w:val="00CE3C5A"/>
    <w:rsid w:val="00CE59C6"/>
    <w:rsid w:val="00CE7586"/>
    <w:rsid w:val="00D03659"/>
    <w:rsid w:val="00D03EDF"/>
    <w:rsid w:val="00D10DC0"/>
    <w:rsid w:val="00D11555"/>
    <w:rsid w:val="00D13D6D"/>
    <w:rsid w:val="00D20C74"/>
    <w:rsid w:val="00D24FD7"/>
    <w:rsid w:val="00D25647"/>
    <w:rsid w:val="00D34FE4"/>
    <w:rsid w:val="00D377A7"/>
    <w:rsid w:val="00D44C95"/>
    <w:rsid w:val="00D452A7"/>
    <w:rsid w:val="00D4584F"/>
    <w:rsid w:val="00D54725"/>
    <w:rsid w:val="00D559FF"/>
    <w:rsid w:val="00D62B8C"/>
    <w:rsid w:val="00D63276"/>
    <w:rsid w:val="00D66F39"/>
    <w:rsid w:val="00D84B36"/>
    <w:rsid w:val="00D85853"/>
    <w:rsid w:val="00D936A0"/>
    <w:rsid w:val="00D97162"/>
    <w:rsid w:val="00D97CE9"/>
    <w:rsid w:val="00DA36E7"/>
    <w:rsid w:val="00DA4FC7"/>
    <w:rsid w:val="00DA550D"/>
    <w:rsid w:val="00DA7017"/>
    <w:rsid w:val="00DB13DD"/>
    <w:rsid w:val="00DB1B31"/>
    <w:rsid w:val="00DB1C27"/>
    <w:rsid w:val="00DB38EE"/>
    <w:rsid w:val="00DB7973"/>
    <w:rsid w:val="00DC13AB"/>
    <w:rsid w:val="00DC5EF2"/>
    <w:rsid w:val="00DC7EF7"/>
    <w:rsid w:val="00DD6B5E"/>
    <w:rsid w:val="00DD6BD4"/>
    <w:rsid w:val="00DE5E58"/>
    <w:rsid w:val="00DE7B46"/>
    <w:rsid w:val="00E0162C"/>
    <w:rsid w:val="00E11487"/>
    <w:rsid w:val="00E14ACC"/>
    <w:rsid w:val="00E15A8C"/>
    <w:rsid w:val="00E4144C"/>
    <w:rsid w:val="00E44F84"/>
    <w:rsid w:val="00E463C6"/>
    <w:rsid w:val="00E53121"/>
    <w:rsid w:val="00E5318E"/>
    <w:rsid w:val="00E53532"/>
    <w:rsid w:val="00E6034D"/>
    <w:rsid w:val="00E71967"/>
    <w:rsid w:val="00E754B1"/>
    <w:rsid w:val="00E801B5"/>
    <w:rsid w:val="00E905E8"/>
    <w:rsid w:val="00E93F56"/>
    <w:rsid w:val="00E952D9"/>
    <w:rsid w:val="00E96773"/>
    <w:rsid w:val="00E97CB9"/>
    <w:rsid w:val="00EB27E9"/>
    <w:rsid w:val="00EB37C9"/>
    <w:rsid w:val="00EC134E"/>
    <w:rsid w:val="00ED0445"/>
    <w:rsid w:val="00ED3C3B"/>
    <w:rsid w:val="00EE48C3"/>
    <w:rsid w:val="00EF199D"/>
    <w:rsid w:val="00EF4E12"/>
    <w:rsid w:val="00EF5326"/>
    <w:rsid w:val="00EF65F3"/>
    <w:rsid w:val="00F01510"/>
    <w:rsid w:val="00F02A6D"/>
    <w:rsid w:val="00F0424C"/>
    <w:rsid w:val="00F10495"/>
    <w:rsid w:val="00F10DA8"/>
    <w:rsid w:val="00F1168A"/>
    <w:rsid w:val="00F12A10"/>
    <w:rsid w:val="00F2391C"/>
    <w:rsid w:val="00F31E30"/>
    <w:rsid w:val="00F3326F"/>
    <w:rsid w:val="00F34781"/>
    <w:rsid w:val="00F41A5D"/>
    <w:rsid w:val="00F470A2"/>
    <w:rsid w:val="00F51F93"/>
    <w:rsid w:val="00F552E5"/>
    <w:rsid w:val="00F56AA8"/>
    <w:rsid w:val="00F67C91"/>
    <w:rsid w:val="00F723F9"/>
    <w:rsid w:val="00F82315"/>
    <w:rsid w:val="00F83D3C"/>
    <w:rsid w:val="00F840D6"/>
    <w:rsid w:val="00F8691C"/>
    <w:rsid w:val="00F900BE"/>
    <w:rsid w:val="00F97392"/>
    <w:rsid w:val="00F97DF6"/>
    <w:rsid w:val="00FA4EEC"/>
    <w:rsid w:val="00FB335B"/>
    <w:rsid w:val="00FB4EAA"/>
    <w:rsid w:val="00FC5512"/>
    <w:rsid w:val="00FC6366"/>
    <w:rsid w:val="00FD0CD9"/>
    <w:rsid w:val="00FD4970"/>
    <w:rsid w:val="00FD6927"/>
    <w:rsid w:val="00FE02D9"/>
    <w:rsid w:val="00FE14F9"/>
    <w:rsid w:val="00FF2EFF"/>
    <w:rsid w:val="00FF4843"/>
    <w:rsid w:val="00FF5EEA"/>
    <w:rsid w:val="0119548C"/>
    <w:rsid w:val="012E1F25"/>
    <w:rsid w:val="01D75353"/>
    <w:rsid w:val="01E5410D"/>
    <w:rsid w:val="02031253"/>
    <w:rsid w:val="02A62472"/>
    <w:rsid w:val="02B9457E"/>
    <w:rsid w:val="036B6555"/>
    <w:rsid w:val="03D67B68"/>
    <w:rsid w:val="047D5273"/>
    <w:rsid w:val="053942CD"/>
    <w:rsid w:val="058F7720"/>
    <w:rsid w:val="065B24E5"/>
    <w:rsid w:val="069A0002"/>
    <w:rsid w:val="06A75D00"/>
    <w:rsid w:val="06B70F10"/>
    <w:rsid w:val="07043A2A"/>
    <w:rsid w:val="076C122F"/>
    <w:rsid w:val="076D5A73"/>
    <w:rsid w:val="07936AE9"/>
    <w:rsid w:val="0847343E"/>
    <w:rsid w:val="08857856"/>
    <w:rsid w:val="08E50B53"/>
    <w:rsid w:val="09245BAC"/>
    <w:rsid w:val="09622C8A"/>
    <w:rsid w:val="09ED1F59"/>
    <w:rsid w:val="0A31101A"/>
    <w:rsid w:val="0AF40CBF"/>
    <w:rsid w:val="0B2C074A"/>
    <w:rsid w:val="0C755445"/>
    <w:rsid w:val="0CC270AD"/>
    <w:rsid w:val="0DB55A7E"/>
    <w:rsid w:val="0DC04E60"/>
    <w:rsid w:val="0E1237DA"/>
    <w:rsid w:val="0E59465B"/>
    <w:rsid w:val="0E63372C"/>
    <w:rsid w:val="0EBE1312"/>
    <w:rsid w:val="0EBF1F8F"/>
    <w:rsid w:val="0F026AA1"/>
    <w:rsid w:val="0F241091"/>
    <w:rsid w:val="0F895414"/>
    <w:rsid w:val="0F9B6F49"/>
    <w:rsid w:val="0FB10C06"/>
    <w:rsid w:val="0FE16FFE"/>
    <w:rsid w:val="100E2F0D"/>
    <w:rsid w:val="10BC03C7"/>
    <w:rsid w:val="11481E9C"/>
    <w:rsid w:val="11FD29E3"/>
    <w:rsid w:val="12192082"/>
    <w:rsid w:val="122102EB"/>
    <w:rsid w:val="12311DC5"/>
    <w:rsid w:val="12724255"/>
    <w:rsid w:val="12CA06CE"/>
    <w:rsid w:val="12F957D9"/>
    <w:rsid w:val="130F4A87"/>
    <w:rsid w:val="13794DFB"/>
    <w:rsid w:val="13CC7EDF"/>
    <w:rsid w:val="141F6AA6"/>
    <w:rsid w:val="14237C67"/>
    <w:rsid w:val="1463591C"/>
    <w:rsid w:val="14F45E69"/>
    <w:rsid w:val="152901E2"/>
    <w:rsid w:val="1590679F"/>
    <w:rsid w:val="15A13C38"/>
    <w:rsid w:val="15B905DD"/>
    <w:rsid w:val="16B60189"/>
    <w:rsid w:val="16E66CA8"/>
    <w:rsid w:val="17174E4F"/>
    <w:rsid w:val="172468BB"/>
    <w:rsid w:val="18245CDA"/>
    <w:rsid w:val="18294323"/>
    <w:rsid w:val="18D070D6"/>
    <w:rsid w:val="18D72D4C"/>
    <w:rsid w:val="18DC0363"/>
    <w:rsid w:val="195679BC"/>
    <w:rsid w:val="19BB32ED"/>
    <w:rsid w:val="19C643B8"/>
    <w:rsid w:val="19CA360D"/>
    <w:rsid w:val="1B0940FF"/>
    <w:rsid w:val="1B165001"/>
    <w:rsid w:val="1C0C008F"/>
    <w:rsid w:val="1C662D65"/>
    <w:rsid w:val="1C9176B6"/>
    <w:rsid w:val="1C9B0535"/>
    <w:rsid w:val="1E4F496B"/>
    <w:rsid w:val="1E584009"/>
    <w:rsid w:val="1E5C0E57"/>
    <w:rsid w:val="1E653582"/>
    <w:rsid w:val="1E6916E3"/>
    <w:rsid w:val="1EB8717C"/>
    <w:rsid w:val="1EBD14C0"/>
    <w:rsid w:val="1F2217D2"/>
    <w:rsid w:val="1F635B0B"/>
    <w:rsid w:val="1F7E7854"/>
    <w:rsid w:val="1FB1639C"/>
    <w:rsid w:val="207A1985"/>
    <w:rsid w:val="20875AB0"/>
    <w:rsid w:val="219537A4"/>
    <w:rsid w:val="22140655"/>
    <w:rsid w:val="22296381"/>
    <w:rsid w:val="22414448"/>
    <w:rsid w:val="22675C42"/>
    <w:rsid w:val="22857CBD"/>
    <w:rsid w:val="22C62CF4"/>
    <w:rsid w:val="23426FC4"/>
    <w:rsid w:val="23A06120"/>
    <w:rsid w:val="23F76998"/>
    <w:rsid w:val="248A6A26"/>
    <w:rsid w:val="24C74607"/>
    <w:rsid w:val="24EF4171"/>
    <w:rsid w:val="250D5433"/>
    <w:rsid w:val="25BD59CC"/>
    <w:rsid w:val="25F206A4"/>
    <w:rsid w:val="25F3496E"/>
    <w:rsid w:val="262D0175"/>
    <w:rsid w:val="264F6D71"/>
    <w:rsid w:val="26865DB2"/>
    <w:rsid w:val="27331D58"/>
    <w:rsid w:val="286E02B3"/>
    <w:rsid w:val="288D1FFE"/>
    <w:rsid w:val="28AC24C6"/>
    <w:rsid w:val="28CD7B64"/>
    <w:rsid w:val="28DA73F5"/>
    <w:rsid w:val="293D3224"/>
    <w:rsid w:val="294C58B8"/>
    <w:rsid w:val="296948DB"/>
    <w:rsid w:val="29AE6B2F"/>
    <w:rsid w:val="2A141CA3"/>
    <w:rsid w:val="2A4038F1"/>
    <w:rsid w:val="2A9E4307"/>
    <w:rsid w:val="2B073965"/>
    <w:rsid w:val="2B0C0F7B"/>
    <w:rsid w:val="2B255B99"/>
    <w:rsid w:val="2B9E594C"/>
    <w:rsid w:val="2BB0218F"/>
    <w:rsid w:val="2C5A0151"/>
    <w:rsid w:val="2CFC2BFE"/>
    <w:rsid w:val="2DF72A46"/>
    <w:rsid w:val="2E3335C6"/>
    <w:rsid w:val="2E3D66B3"/>
    <w:rsid w:val="2F0A3A24"/>
    <w:rsid w:val="2F5C7FF7"/>
    <w:rsid w:val="2F9037FD"/>
    <w:rsid w:val="30221DFE"/>
    <w:rsid w:val="30D77D45"/>
    <w:rsid w:val="311F4B20"/>
    <w:rsid w:val="314D028A"/>
    <w:rsid w:val="31BC76B1"/>
    <w:rsid w:val="321D36D0"/>
    <w:rsid w:val="324F174E"/>
    <w:rsid w:val="32693DBE"/>
    <w:rsid w:val="329A6250"/>
    <w:rsid w:val="32FE5BD7"/>
    <w:rsid w:val="330032CC"/>
    <w:rsid w:val="33370B5F"/>
    <w:rsid w:val="335E60EC"/>
    <w:rsid w:val="337C6572"/>
    <w:rsid w:val="338C7F35"/>
    <w:rsid w:val="33A87367"/>
    <w:rsid w:val="33C0280E"/>
    <w:rsid w:val="33C1160F"/>
    <w:rsid w:val="33F13A4B"/>
    <w:rsid w:val="34A15678"/>
    <w:rsid w:val="34BE4035"/>
    <w:rsid w:val="34D85A37"/>
    <w:rsid w:val="34FA1E45"/>
    <w:rsid w:val="35246743"/>
    <w:rsid w:val="353D3894"/>
    <w:rsid w:val="355530AA"/>
    <w:rsid w:val="35984814"/>
    <w:rsid w:val="361A5FEC"/>
    <w:rsid w:val="3622205E"/>
    <w:rsid w:val="364631D7"/>
    <w:rsid w:val="36602173"/>
    <w:rsid w:val="368928C2"/>
    <w:rsid w:val="368F6941"/>
    <w:rsid w:val="36C1258C"/>
    <w:rsid w:val="36ED6710"/>
    <w:rsid w:val="36FD51C7"/>
    <w:rsid w:val="37850378"/>
    <w:rsid w:val="37AB20AB"/>
    <w:rsid w:val="37D401C8"/>
    <w:rsid w:val="38B17AE9"/>
    <w:rsid w:val="38E376BA"/>
    <w:rsid w:val="38F00B77"/>
    <w:rsid w:val="39092F4C"/>
    <w:rsid w:val="391B05DB"/>
    <w:rsid w:val="3A0A0D7C"/>
    <w:rsid w:val="3A2F6D25"/>
    <w:rsid w:val="3A304090"/>
    <w:rsid w:val="3A9C52C2"/>
    <w:rsid w:val="3B1F29B6"/>
    <w:rsid w:val="3B3F5D44"/>
    <w:rsid w:val="3B533CA4"/>
    <w:rsid w:val="3C21415B"/>
    <w:rsid w:val="3C8B322D"/>
    <w:rsid w:val="3DC10D89"/>
    <w:rsid w:val="3E2C2FBB"/>
    <w:rsid w:val="3E94330A"/>
    <w:rsid w:val="3EEC4EF4"/>
    <w:rsid w:val="3F1A32FA"/>
    <w:rsid w:val="3F2C22A7"/>
    <w:rsid w:val="3F5B255F"/>
    <w:rsid w:val="3F664ECA"/>
    <w:rsid w:val="3F79605C"/>
    <w:rsid w:val="3F844B50"/>
    <w:rsid w:val="3FC217B1"/>
    <w:rsid w:val="3FEC0F24"/>
    <w:rsid w:val="40027450"/>
    <w:rsid w:val="400A1318"/>
    <w:rsid w:val="406108D8"/>
    <w:rsid w:val="40DC4AF4"/>
    <w:rsid w:val="40DC5A18"/>
    <w:rsid w:val="40E02836"/>
    <w:rsid w:val="41D13F2D"/>
    <w:rsid w:val="41F61BE6"/>
    <w:rsid w:val="423F17DF"/>
    <w:rsid w:val="427A3D75"/>
    <w:rsid w:val="42F05D65"/>
    <w:rsid w:val="43526885"/>
    <w:rsid w:val="43B50E83"/>
    <w:rsid w:val="44437101"/>
    <w:rsid w:val="44B8110D"/>
    <w:rsid w:val="44F5444A"/>
    <w:rsid w:val="45116124"/>
    <w:rsid w:val="459425B5"/>
    <w:rsid w:val="45AE7E8E"/>
    <w:rsid w:val="45E96826"/>
    <w:rsid w:val="46280880"/>
    <w:rsid w:val="46401681"/>
    <w:rsid w:val="464A62BB"/>
    <w:rsid w:val="46EA58B1"/>
    <w:rsid w:val="47776BBE"/>
    <w:rsid w:val="485E11C9"/>
    <w:rsid w:val="489C7E08"/>
    <w:rsid w:val="48DD2C48"/>
    <w:rsid w:val="48DF33D4"/>
    <w:rsid w:val="49146523"/>
    <w:rsid w:val="49A11F60"/>
    <w:rsid w:val="49C2049D"/>
    <w:rsid w:val="49C56A6D"/>
    <w:rsid w:val="4A4F0FFA"/>
    <w:rsid w:val="4A7B6899"/>
    <w:rsid w:val="4AA40A61"/>
    <w:rsid w:val="4ACD5EA7"/>
    <w:rsid w:val="4AF717A4"/>
    <w:rsid w:val="4B6B53F2"/>
    <w:rsid w:val="4BB46F01"/>
    <w:rsid w:val="4BC8467F"/>
    <w:rsid w:val="4CFE53E3"/>
    <w:rsid w:val="4D924EB8"/>
    <w:rsid w:val="4DF92921"/>
    <w:rsid w:val="4F0A4599"/>
    <w:rsid w:val="4F8501BD"/>
    <w:rsid w:val="4FE63648"/>
    <w:rsid w:val="500E5588"/>
    <w:rsid w:val="502E62AD"/>
    <w:rsid w:val="50311A25"/>
    <w:rsid w:val="50A15412"/>
    <w:rsid w:val="513259B3"/>
    <w:rsid w:val="5154608C"/>
    <w:rsid w:val="51C57FD5"/>
    <w:rsid w:val="51D0160C"/>
    <w:rsid w:val="51ED4DB3"/>
    <w:rsid w:val="525D22F6"/>
    <w:rsid w:val="526130AB"/>
    <w:rsid w:val="526B3F2A"/>
    <w:rsid w:val="52932754"/>
    <w:rsid w:val="529A7C10"/>
    <w:rsid w:val="52A62014"/>
    <w:rsid w:val="52F94A40"/>
    <w:rsid w:val="53AB0A82"/>
    <w:rsid w:val="53AF2252"/>
    <w:rsid w:val="53E331A1"/>
    <w:rsid w:val="54244F9C"/>
    <w:rsid w:val="547D1CF3"/>
    <w:rsid w:val="54B94AEC"/>
    <w:rsid w:val="54DE6C35"/>
    <w:rsid w:val="54F06565"/>
    <w:rsid w:val="555D5520"/>
    <w:rsid w:val="55E97640"/>
    <w:rsid w:val="56712A9B"/>
    <w:rsid w:val="567955E0"/>
    <w:rsid w:val="56982E14"/>
    <w:rsid w:val="569D6F66"/>
    <w:rsid w:val="56B37004"/>
    <w:rsid w:val="574062A7"/>
    <w:rsid w:val="589C14E4"/>
    <w:rsid w:val="58C87172"/>
    <w:rsid w:val="59633BAD"/>
    <w:rsid w:val="59A815C0"/>
    <w:rsid w:val="59B85CA7"/>
    <w:rsid w:val="59E54637"/>
    <w:rsid w:val="59FB128F"/>
    <w:rsid w:val="5A1B4488"/>
    <w:rsid w:val="5A8F4253"/>
    <w:rsid w:val="5ACF31AA"/>
    <w:rsid w:val="5AE3090F"/>
    <w:rsid w:val="5AEB5538"/>
    <w:rsid w:val="5B487F38"/>
    <w:rsid w:val="5B4B31E5"/>
    <w:rsid w:val="5B4D7970"/>
    <w:rsid w:val="5B500C00"/>
    <w:rsid w:val="5B6C4A3A"/>
    <w:rsid w:val="5BC66653"/>
    <w:rsid w:val="5BE12FA3"/>
    <w:rsid w:val="5C1F025F"/>
    <w:rsid w:val="5C4D6613"/>
    <w:rsid w:val="5D131446"/>
    <w:rsid w:val="5D302D64"/>
    <w:rsid w:val="5D8866EC"/>
    <w:rsid w:val="5E5739DF"/>
    <w:rsid w:val="5E735D35"/>
    <w:rsid w:val="5EBF421E"/>
    <w:rsid w:val="5F467B8C"/>
    <w:rsid w:val="5F9E042D"/>
    <w:rsid w:val="5FBA3DFB"/>
    <w:rsid w:val="61502C69"/>
    <w:rsid w:val="619C03A7"/>
    <w:rsid w:val="61D81D7A"/>
    <w:rsid w:val="61ED6709"/>
    <w:rsid w:val="62026BAA"/>
    <w:rsid w:val="620C3DAA"/>
    <w:rsid w:val="62B13874"/>
    <w:rsid w:val="63220C33"/>
    <w:rsid w:val="63672753"/>
    <w:rsid w:val="6399461F"/>
    <w:rsid w:val="63DF3439"/>
    <w:rsid w:val="64311BE7"/>
    <w:rsid w:val="64654FB0"/>
    <w:rsid w:val="649015CE"/>
    <w:rsid w:val="64DB2B76"/>
    <w:rsid w:val="6585280C"/>
    <w:rsid w:val="65975D1F"/>
    <w:rsid w:val="65CE6333"/>
    <w:rsid w:val="65E62E7A"/>
    <w:rsid w:val="663124B1"/>
    <w:rsid w:val="6656125F"/>
    <w:rsid w:val="66627614"/>
    <w:rsid w:val="666B18EC"/>
    <w:rsid w:val="669021AE"/>
    <w:rsid w:val="66DB6301"/>
    <w:rsid w:val="66EC7F6C"/>
    <w:rsid w:val="67287B59"/>
    <w:rsid w:val="679F6AFE"/>
    <w:rsid w:val="67BB5990"/>
    <w:rsid w:val="680B5540"/>
    <w:rsid w:val="69785D24"/>
    <w:rsid w:val="69F452BC"/>
    <w:rsid w:val="6A7E5341"/>
    <w:rsid w:val="6AAD178D"/>
    <w:rsid w:val="6B490FB0"/>
    <w:rsid w:val="6B60619E"/>
    <w:rsid w:val="6B666FFD"/>
    <w:rsid w:val="6B935A30"/>
    <w:rsid w:val="6B952F78"/>
    <w:rsid w:val="6BEC358E"/>
    <w:rsid w:val="6C0F5BFE"/>
    <w:rsid w:val="6CC649E7"/>
    <w:rsid w:val="6D0778EA"/>
    <w:rsid w:val="6D480B9D"/>
    <w:rsid w:val="6D6C6555"/>
    <w:rsid w:val="6DDA5CDD"/>
    <w:rsid w:val="6E3851B0"/>
    <w:rsid w:val="6E7C301E"/>
    <w:rsid w:val="6EAD55EF"/>
    <w:rsid w:val="6F5F71DE"/>
    <w:rsid w:val="70241F51"/>
    <w:rsid w:val="70571AE2"/>
    <w:rsid w:val="70C969B4"/>
    <w:rsid w:val="70D54F60"/>
    <w:rsid w:val="70E87B78"/>
    <w:rsid w:val="70FA674D"/>
    <w:rsid w:val="711E61DF"/>
    <w:rsid w:val="721C61D5"/>
    <w:rsid w:val="722E6A11"/>
    <w:rsid w:val="725231F9"/>
    <w:rsid w:val="72682872"/>
    <w:rsid w:val="728C41FA"/>
    <w:rsid w:val="729D6DC9"/>
    <w:rsid w:val="72A02DB8"/>
    <w:rsid w:val="72BA6194"/>
    <w:rsid w:val="72EA548E"/>
    <w:rsid w:val="731E2BC7"/>
    <w:rsid w:val="735E16BF"/>
    <w:rsid w:val="737E5413"/>
    <w:rsid w:val="7432151A"/>
    <w:rsid w:val="74BA06CD"/>
    <w:rsid w:val="750C36C7"/>
    <w:rsid w:val="751D3132"/>
    <w:rsid w:val="75AC241F"/>
    <w:rsid w:val="75AE2AF5"/>
    <w:rsid w:val="7622250D"/>
    <w:rsid w:val="770C340E"/>
    <w:rsid w:val="771C4428"/>
    <w:rsid w:val="77281627"/>
    <w:rsid w:val="77364257"/>
    <w:rsid w:val="77514BED"/>
    <w:rsid w:val="776808B4"/>
    <w:rsid w:val="779C1F25"/>
    <w:rsid w:val="77A65BF1"/>
    <w:rsid w:val="77C247CE"/>
    <w:rsid w:val="78A0566C"/>
    <w:rsid w:val="78B036E4"/>
    <w:rsid w:val="78E165AF"/>
    <w:rsid w:val="790D22C6"/>
    <w:rsid w:val="790E4617"/>
    <w:rsid w:val="79711AA2"/>
    <w:rsid w:val="798F487B"/>
    <w:rsid w:val="79FD275F"/>
    <w:rsid w:val="7A3F049A"/>
    <w:rsid w:val="7A413095"/>
    <w:rsid w:val="7B031384"/>
    <w:rsid w:val="7B2777EF"/>
    <w:rsid w:val="7BF53A86"/>
    <w:rsid w:val="7C156B31"/>
    <w:rsid w:val="7C754D1F"/>
    <w:rsid w:val="7C94028B"/>
    <w:rsid w:val="7CAA7279"/>
    <w:rsid w:val="7CD85F93"/>
    <w:rsid w:val="7D02613C"/>
    <w:rsid w:val="7D1C0EF6"/>
    <w:rsid w:val="7D2F3103"/>
    <w:rsid w:val="7D630A43"/>
    <w:rsid w:val="7D6457E7"/>
    <w:rsid w:val="7DBC518B"/>
    <w:rsid w:val="7DCC1688"/>
    <w:rsid w:val="7DE67431"/>
    <w:rsid w:val="7E2757D4"/>
    <w:rsid w:val="7E3F7F0D"/>
    <w:rsid w:val="7E5801DB"/>
    <w:rsid w:val="7E732D18"/>
    <w:rsid w:val="7E835FD4"/>
    <w:rsid w:val="7E843AFA"/>
    <w:rsid w:val="7F005876"/>
    <w:rsid w:val="7F8A15E4"/>
    <w:rsid w:val="7FAC61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9"/>
    <w:qFormat/>
    <w:uiPriority w:val="9"/>
    <w:pPr>
      <w:autoSpaceDE w:val="0"/>
      <w:autoSpaceDN w:val="0"/>
      <w:adjustRightInd w:val="0"/>
      <w:jc w:val="left"/>
      <w:outlineLvl w:val="0"/>
    </w:pPr>
    <w:rPr>
      <w:rFonts w:ascii="宋体" w:hAnsi="Calibri" w:eastAsia="宋体" w:cs="Times New Roman"/>
      <w:kern w:val="0"/>
      <w:sz w:val="24"/>
      <w:szCs w:val="24"/>
    </w:rPr>
  </w:style>
  <w:style w:type="paragraph" w:styleId="3">
    <w:name w:val="heading 2"/>
    <w:basedOn w:val="1"/>
    <w:next w:val="1"/>
    <w:link w:val="47"/>
    <w:autoRedefine/>
    <w:qFormat/>
    <w:uiPriority w:val="0"/>
    <w:pPr>
      <w:autoSpaceDE w:val="0"/>
      <w:autoSpaceDN w:val="0"/>
      <w:adjustRightInd w:val="0"/>
      <w:jc w:val="left"/>
      <w:outlineLvl w:val="1"/>
    </w:pPr>
    <w:rPr>
      <w:rFonts w:ascii="宋体" w:hAnsi="Calibri" w:eastAsia="宋体" w:cs="Times New Roman"/>
      <w:kern w:val="0"/>
      <w:sz w:val="24"/>
      <w:szCs w:val="24"/>
    </w:rPr>
  </w:style>
  <w:style w:type="paragraph" w:styleId="4">
    <w:name w:val="heading 3"/>
    <w:basedOn w:val="1"/>
    <w:next w:val="1"/>
    <w:link w:val="143"/>
    <w:autoRedefine/>
    <w:qFormat/>
    <w:uiPriority w:val="0"/>
    <w:pPr>
      <w:autoSpaceDE w:val="0"/>
      <w:autoSpaceDN w:val="0"/>
      <w:adjustRightInd w:val="0"/>
      <w:jc w:val="left"/>
      <w:outlineLvl w:val="2"/>
    </w:pPr>
    <w:rPr>
      <w:rFonts w:ascii="宋体" w:hAnsi="Calibri" w:eastAsia="宋体" w:cs="Times New Roman"/>
      <w:kern w:val="0"/>
      <w:sz w:val="24"/>
      <w:szCs w:val="24"/>
    </w:rPr>
  </w:style>
  <w:style w:type="paragraph" w:styleId="5">
    <w:name w:val="heading 4"/>
    <w:basedOn w:val="1"/>
    <w:next w:val="1"/>
    <w:link w:val="49"/>
    <w:autoRedefine/>
    <w:qFormat/>
    <w:uiPriority w:val="9"/>
    <w:pPr>
      <w:keepNext/>
      <w:keepLines/>
      <w:autoSpaceDE w:val="0"/>
      <w:autoSpaceDN w:val="0"/>
      <w:adjustRightInd w:val="0"/>
      <w:spacing w:before="280" w:after="290" w:line="376" w:lineRule="auto"/>
      <w:jc w:val="left"/>
      <w:outlineLvl w:val="3"/>
    </w:pPr>
    <w:rPr>
      <w:rFonts w:ascii="Arial" w:hAnsi="Arial" w:eastAsia="黑体" w:cs="Times New Roman"/>
      <w:b/>
      <w:bCs/>
      <w:kern w:val="0"/>
      <w:sz w:val="28"/>
      <w:szCs w:val="28"/>
    </w:rPr>
  </w:style>
  <w:style w:type="paragraph" w:styleId="6">
    <w:name w:val="heading 5"/>
    <w:basedOn w:val="1"/>
    <w:next w:val="1"/>
    <w:link w:val="131"/>
    <w:autoRedefine/>
    <w:qFormat/>
    <w:uiPriority w:val="9"/>
    <w:pPr>
      <w:keepNext/>
      <w:keepLines/>
      <w:autoSpaceDE w:val="0"/>
      <w:autoSpaceDN w:val="0"/>
      <w:adjustRightInd w:val="0"/>
      <w:spacing w:before="280" w:after="290" w:line="376" w:lineRule="auto"/>
      <w:jc w:val="left"/>
      <w:outlineLvl w:val="4"/>
    </w:pPr>
    <w:rPr>
      <w:rFonts w:ascii="宋体" w:hAnsi="Calibri" w:eastAsia="宋体" w:cs="Times New Roman"/>
      <w:b/>
      <w:bCs/>
      <w:kern w:val="0"/>
      <w:sz w:val="28"/>
      <w:szCs w:val="28"/>
    </w:rPr>
  </w:style>
  <w:style w:type="paragraph" w:styleId="7">
    <w:name w:val="heading 6"/>
    <w:basedOn w:val="1"/>
    <w:next w:val="8"/>
    <w:link w:val="141"/>
    <w:autoRedefine/>
    <w:qFormat/>
    <w:uiPriority w:val="9"/>
    <w:pPr>
      <w:keepLines/>
      <w:tabs>
        <w:tab w:val="left" w:pos="1152"/>
      </w:tabs>
      <w:adjustRightInd w:val="0"/>
      <w:snapToGrid w:val="0"/>
      <w:spacing w:beforeLines="50" w:line="360" w:lineRule="auto"/>
      <w:ind w:left="1152" w:hanging="1152"/>
      <w:jc w:val="left"/>
      <w:textAlignment w:val="baseline"/>
      <w:outlineLvl w:val="5"/>
    </w:pPr>
    <w:rPr>
      <w:rFonts w:ascii="Times New Roman" w:hAnsi="Calibri" w:eastAsia="黑体" w:cs="Times New Roman"/>
      <w:b/>
      <w:bCs/>
      <w:kern w:val="0"/>
      <w:sz w:val="28"/>
      <w:szCs w:val="24"/>
    </w:rPr>
  </w:style>
  <w:style w:type="paragraph" w:styleId="9">
    <w:name w:val="heading 7"/>
    <w:basedOn w:val="1"/>
    <w:next w:val="8"/>
    <w:link w:val="52"/>
    <w:autoRedefine/>
    <w:qFormat/>
    <w:uiPriority w:val="9"/>
    <w:pPr>
      <w:keepNext/>
      <w:keepLines/>
      <w:tabs>
        <w:tab w:val="left" w:pos="1296"/>
      </w:tabs>
      <w:adjustRightInd w:val="0"/>
      <w:snapToGrid w:val="0"/>
      <w:spacing w:before="240" w:after="120"/>
      <w:ind w:left="1296" w:hanging="1296"/>
      <w:textAlignment w:val="baseline"/>
      <w:outlineLvl w:val="6"/>
    </w:pPr>
    <w:rPr>
      <w:rFonts w:ascii="Times New Roman" w:hAnsi="Calibri" w:eastAsia="黑体" w:cs="Times New Roman"/>
      <w:b/>
      <w:bCs/>
      <w:kern w:val="0"/>
      <w:sz w:val="28"/>
      <w:szCs w:val="24"/>
    </w:rPr>
  </w:style>
  <w:style w:type="paragraph" w:styleId="10">
    <w:name w:val="heading 8"/>
    <w:basedOn w:val="1"/>
    <w:next w:val="8"/>
    <w:link w:val="53"/>
    <w:autoRedefine/>
    <w:qFormat/>
    <w:uiPriority w:val="9"/>
    <w:pPr>
      <w:keepNext/>
      <w:keepLines/>
      <w:tabs>
        <w:tab w:val="left" w:pos="1440"/>
      </w:tabs>
      <w:snapToGrid w:val="0"/>
      <w:spacing w:before="240" w:after="120"/>
      <w:ind w:left="1440" w:hanging="1440"/>
      <w:outlineLvl w:val="7"/>
    </w:pPr>
    <w:rPr>
      <w:rFonts w:ascii="Times New Roman" w:hAnsi="Calibri" w:eastAsia="黑体" w:cs="Times New Roman"/>
      <w:b/>
      <w:kern w:val="0"/>
      <w:sz w:val="28"/>
      <w:szCs w:val="24"/>
    </w:rPr>
  </w:style>
  <w:style w:type="paragraph" w:styleId="11">
    <w:name w:val="heading 9"/>
    <w:basedOn w:val="1"/>
    <w:next w:val="8"/>
    <w:link w:val="54"/>
    <w:autoRedefine/>
    <w:qFormat/>
    <w:uiPriority w:val="9"/>
    <w:pPr>
      <w:keepNext/>
      <w:keepLines/>
      <w:tabs>
        <w:tab w:val="left" w:pos="1584"/>
      </w:tabs>
      <w:snapToGrid w:val="0"/>
      <w:spacing w:before="240" w:after="120"/>
      <w:ind w:left="1584" w:hanging="1584"/>
      <w:outlineLvl w:val="8"/>
    </w:pPr>
    <w:rPr>
      <w:rFonts w:ascii="Times New Roman" w:hAnsi="Calibri" w:eastAsia="黑体" w:cs="Times New Roman"/>
      <w:b/>
      <w:kern w:val="0"/>
      <w:sz w:val="28"/>
      <w:szCs w:val="24"/>
    </w:rPr>
  </w:style>
  <w:style w:type="character" w:default="1" w:styleId="39">
    <w:name w:val="Default Paragraph Font"/>
    <w:autoRedefine/>
    <w:semiHidden/>
    <w:unhideWhenUsed/>
    <w:qFormat/>
    <w:uiPriority w:val="1"/>
  </w:style>
  <w:style w:type="table" w:default="1" w:styleId="37">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8">
    <w:name w:val="模板正文"/>
    <w:basedOn w:val="1"/>
    <w:link w:val="93"/>
    <w:autoRedefine/>
    <w:qFormat/>
    <w:uiPriority w:val="0"/>
    <w:pPr>
      <w:wordWrap w:val="0"/>
      <w:autoSpaceDE w:val="0"/>
      <w:autoSpaceDN w:val="0"/>
      <w:adjustRightInd w:val="0"/>
      <w:spacing w:beforeLines="50" w:line="360" w:lineRule="auto"/>
      <w:ind w:firstLine="200" w:firstLineChars="200"/>
      <w:jc w:val="left"/>
    </w:pPr>
    <w:rPr>
      <w:rFonts w:ascii="宋体" w:eastAsia="仿宋"/>
      <w:sz w:val="24"/>
      <w:szCs w:val="21"/>
    </w:rPr>
  </w:style>
  <w:style w:type="paragraph" w:styleId="12">
    <w:name w:val="Normal Indent"/>
    <w:basedOn w:val="1"/>
    <w:autoRedefine/>
    <w:qFormat/>
    <w:uiPriority w:val="0"/>
    <w:pPr>
      <w:widowControl/>
      <w:autoSpaceDE w:val="0"/>
      <w:autoSpaceDN w:val="0"/>
      <w:adjustRightInd w:val="0"/>
      <w:ind w:firstLine="420" w:firstLineChars="200"/>
      <w:jc w:val="left"/>
    </w:pPr>
    <w:rPr>
      <w:rFonts w:ascii="宋体" w:hAnsi="Calibri" w:eastAsia="宋体" w:cs="Times New Roman"/>
      <w:kern w:val="0"/>
      <w:sz w:val="20"/>
      <w:szCs w:val="20"/>
    </w:rPr>
  </w:style>
  <w:style w:type="paragraph" w:styleId="13">
    <w:name w:val="caption"/>
    <w:basedOn w:val="1"/>
    <w:next w:val="1"/>
    <w:link w:val="82"/>
    <w:autoRedefine/>
    <w:qFormat/>
    <w:uiPriority w:val="0"/>
    <w:pPr>
      <w:autoSpaceDE w:val="0"/>
      <w:autoSpaceDN w:val="0"/>
      <w:adjustRightInd w:val="0"/>
      <w:spacing w:before="152" w:after="160"/>
      <w:jc w:val="left"/>
    </w:pPr>
    <w:rPr>
      <w:rFonts w:ascii="Arial" w:hAnsi="Arial" w:eastAsia="黑体" w:cs="Arial"/>
    </w:rPr>
  </w:style>
  <w:style w:type="paragraph" w:styleId="14">
    <w:name w:val="Document Map"/>
    <w:basedOn w:val="1"/>
    <w:link w:val="115"/>
    <w:autoRedefine/>
    <w:semiHidden/>
    <w:qFormat/>
    <w:uiPriority w:val="99"/>
    <w:pPr>
      <w:shd w:val="clear" w:color="auto" w:fill="000080"/>
      <w:autoSpaceDE w:val="0"/>
      <w:autoSpaceDN w:val="0"/>
      <w:adjustRightInd w:val="0"/>
      <w:jc w:val="left"/>
    </w:pPr>
    <w:rPr>
      <w:rFonts w:ascii="宋体" w:hAnsi="Times New Roman" w:eastAsia="宋体" w:cs="Times New Roman"/>
      <w:kern w:val="0"/>
      <w:sz w:val="24"/>
      <w:szCs w:val="24"/>
    </w:rPr>
  </w:style>
  <w:style w:type="paragraph" w:styleId="15">
    <w:name w:val="toa heading"/>
    <w:basedOn w:val="1"/>
    <w:next w:val="1"/>
    <w:autoRedefine/>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16">
    <w:name w:val="annotation text"/>
    <w:basedOn w:val="1"/>
    <w:link w:val="162"/>
    <w:autoRedefine/>
    <w:unhideWhenUsed/>
    <w:qFormat/>
    <w:uiPriority w:val="99"/>
    <w:pPr>
      <w:jc w:val="left"/>
    </w:pPr>
  </w:style>
  <w:style w:type="paragraph" w:styleId="17">
    <w:name w:val="Body Text 3"/>
    <w:basedOn w:val="1"/>
    <w:link w:val="155"/>
    <w:autoRedefine/>
    <w:qFormat/>
    <w:uiPriority w:val="0"/>
    <w:pPr>
      <w:autoSpaceDE w:val="0"/>
      <w:autoSpaceDN w:val="0"/>
      <w:adjustRightInd w:val="0"/>
      <w:ind w:right="-26"/>
      <w:jc w:val="center"/>
    </w:pPr>
    <w:rPr>
      <w:rFonts w:ascii="宋体" w:hAnsi="Times New Roman" w:eastAsia="宋体" w:cs="Times New Roman"/>
      <w:b/>
      <w:bCs/>
      <w:color w:val="3366FF"/>
      <w:sz w:val="52"/>
      <w:szCs w:val="52"/>
      <w:lang w:val="zh-CN"/>
    </w:rPr>
  </w:style>
  <w:style w:type="paragraph" w:styleId="18">
    <w:name w:val="Body Text"/>
    <w:basedOn w:val="1"/>
    <w:next w:val="19"/>
    <w:link w:val="117"/>
    <w:autoRedefine/>
    <w:qFormat/>
    <w:uiPriority w:val="99"/>
    <w:pPr>
      <w:autoSpaceDE w:val="0"/>
      <w:autoSpaceDN w:val="0"/>
      <w:adjustRightInd w:val="0"/>
      <w:ind w:right="-26"/>
      <w:jc w:val="center"/>
    </w:pPr>
    <w:rPr>
      <w:rFonts w:ascii="宋体" w:eastAsia="宋体"/>
      <w:b/>
      <w:bCs/>
      <w:sz w:val="84"/>
      <w:szCs w:val="84"/>
      <w:lang w:val="zh-CN"/>
    </w:rPr>
  </w:style>
  <w:style w:type="paragraph" w:styleId="19">
    <w:name w:val="Body Text First Indent"/>
    <w:basedOn w:val="18"/>
    <w:link w:val="200"/>
    <w:autoRedefine/>
    <w:semiHidden/>
    <w:unhideWhenUsed/>
    <w:qFormat/>
    <w:uiPriority w:val="99"/>
    <w:pPr>
      <w:autoSpaceDE/>
      <w:autoSpaceDN/>
      <w:adjustRightInd/>
      <w:spacing w:after="120"/>
      <w:ind w:right="0" w:firstLine="420" w:firstLineChars="100"/>
      <w:jc w:val="both"/>
    </w:pPr>
    <w:rPr>
      <w:rFonts w:asciiTheme="minorHAnsi" w:eastAsiaTheme="minorEastAsia"/>
      <w:b w:val="0"/>
      <w:bCs w:val="0"/>
      <w:sz w:val="21"/>
      <w:szCs w:val="22"/>
      <w:lang w:val="en-US"/>
    </w:rPr>
  </w:style>
  <w:style w:type="paragraph" w:styleId="20">
    <w:name w:val="Body Text Indent"/>
    <w:basedOn w:val="1"/>
    <w:link w:val="91"/>
    <w:autoRedefine/>
    <w:qFormat/>
    <w:uiPriority w:val="0"/>
    <w:pPr>
      <w:ind w:left="567" w:leftChars="270"/>
    </w:pPr>
    <w:rPr>
      <w:rFonts w:ascii="Times New Roman" w:hAnsi="Times New Roman" w:eastAsia="宋体" w:cs="Times New Roman"/>
      <w:szCs w:val="20"/>
    </w:rPr>
  </w:style>
  <w:style w:type="paragraph" w:styleId="21">
    <w:name w:val="toc 3"/>
    <w:basedOn w:val="1"/>
    <w:next w:val="1"/>
    <w:autoRedefine/>
    <w:unhideWhenUsed/>
    <w:qFormat/>
    <w:uiPriority w:val="39"/>
    <w:pPr>
      <w:tabs>
        <w:tab w:val="right" w:leader="dot" w:pos="10144"/>
      </w:tabs>
      <w:ind w:left="840" w:leftChars="400"/>
    </w:pPr>
  </w:style>
  <w:style w:type="paragraph" w:styleId="22">
    <w:name w:val="Plain Text"/>
    <w:basedOn w:val="1"/>
    <w:link w:val="99"/>
    <w:autoRedefine/>
    <w:qFormat/>
    <w:uiPriority w:val="0"/>
    <w:rPr>
      <w:rFonts w:ascii="宋体" w:hAnsi="Courier New" w:eastAsia="宋体"/>
    </w:rPr>
  </w:style>
  <w:style w:type="paragraph" w:styleId="23">
    <w:name w:val="Date"/>
    <w:basedOn w:val="1"/>
    <w:next w:val="1"/>
    <w:link w:val="107"/>
    <w:autoRedefine/>
    <w:qFormat/>
    <w:uiPriority w:val="99"/>
    <w:pPr>
      <w:autoSpaceDE w:val="0"/>
      <w:autoSpaceDN w:val="0"/>
      <w:adjustRightInd w:val="0"/>
      <w:ind w:left="100" w:leftChars="2500"/>
      <w:jc w:val="left"/>
    </w:pPr>
    <w:rPr>
      <w:rFonts w:ascii="宋体" w:hAnsi="Times New Roman" w:eastAsia="宋体" w:cs="Times New Roman"/>
      <w:b/>
      <w:bCs/>
      <w:szCs w:val="21"/>
      <w:lang w:val="zh-CN"/>
    </w:rPr>
  </w:style>
  <w:style w:type="paragraph" w:styleId="24">
    <w:name w:val="Body Text Indent 2"/>
    <w:basedOn w:val="1"/>
    <w:link w:val="100"/>
    <w:autoRedefine/>
    <w:qFormat/>
    <w:uiPriority w:val="0"/>
    <w:pPr>
      <w:tabs>
        <w:tab w:val="left" w:pos="8640"/>
      </w:tabs>
      <w:ind w:left="1260"/>
    </w:pPr>
    <w:rPr>
      <w:rFonts w:ascii="宋体" w:hAnsi="Times New Roman" w:eastAsia="宋体" w:cs="Times New Roman"/>
      <w:szCs w:val="20"/>
    </w:rPr>
  </w:style>
  <w:style w:type="paragraph" w:styleId="25">
    <w:name w:val="Balloon Text"/>
    <w:basedOn w:val="1"/>
    <w:link w:val="73"/>
    <w:autoRedefine/>
    <w:qFormat/>
    <w:uiPriority w:val="0"/>
    <w:rPr>
      <w:rFonts w:ascii="Times New Roman" w:hAnsi="Times New Roman" w:eastAsia="宋体" w:cs="Times New Roman"/>
      <w:sz w:val="18"/>
      <w:szCs w:val="18"/>
    </w:rPr>
  </w:style>
  <w:style w:type="paragraph" w:styleId="26">
    <w:name w:val="footer"/>
    <w:basedOn w:val="1"/>
    <w:link w:val="77"/>
    <w:autoRedefine/>
    <w:qFormat/>
    <w:uiPriority w:val="99"/>
    <w:pPr>
      <w:tabs>
        <w:tab w:val="center" w:pos="4153"/>
        <w:tab w:val="right" w:pos="8306"/>
      </w:tabs>
      <w:autoSpaceDE w:val="0"/>
      <w:autoSpaceDN w:val="0"/>
      <w:adjustRightInd w:val="0"/>
      <w:snapToGrid w:val="0"/>
      <w:jc w:val="left"/>
    </w:pPr>
    <w:rPr>
      <w:rFonts w:ascii="宋体" w:eastAsia="宋体"/>
      <w:sz w:val="18"/>
      <w:szCs w:val="18"/>
    </w:rPr>
  </w:style>
  <w:style w:type="paragraph" w:styleId="27">
    <w:name w:val="header"/>
    <w:basedOn w:val="1"/>
    <w:link w:val="119"/>
    <w:autoRedefine/>
    <w:qFormat/>
    <w:uiPriority w:val="99"/>
    <w:pPr>
      <w:pBdr>
        <w:bottom w:val="single" w:color="auto" w:sz="6" w:space="1"/>
      </w:pBdr>
      <w:tabs>
        <w:tab w:val="center" w:pos="4153"/>
        <w:tab w:val="right" w:pos="8306"/>
      </w:tabs>
      <w:autoSpaceDE w:val="0"/>
      <w:autoSpaceDN w:val="0"/>
      <w:adjustRightInd w:val="0"/>
      <w:snapToGrid w:val="0"/>
      <w:jc w:val="center"/>
    </w:pPr>
    <w:rPr>
      <w:rFonts w:ascii="宋体" w:eastAsia="宋体"/>
      <w:sz w:val="18"/>
      <w:szCs w:val="18"/>
    </w:rPr>
  </w:style>
  <w:style w:type="paragraph" w:styleId="28">
    <w:name w:val="toc 1"/>
    <w:basedOn w:val="1"/>
    <w:next w:val="1"/>
    <w:autoRedefine/>
    <w:unhideWhenUsed/>
    <w:qFormat/>
    <w:uiPriority w:val="39"/>
  </w:style>
  <w:style w:type="paragraph" w:styleId="29">
    <w:name w:val="List"/>
    <w:basedOn w:val="1"/>
    <w:autoRedefine/>
    <w:unhideWhenUsed/>
    <w:qFormat/>
    <w:uiPriority w:val="0"/>
    <w:pPr>
      <w:autoSpaceDE w:val="0"/>
      <w:autoSpaceDN w:val="0"/>
      <w:adjustRightInd w:val="0"/>
      <w:ind w:left="200" w:hanging="200" w:hangingChars="200"/>
      <w:contextualSpacing/>
      <w:jc w:val="left"/>
    </w:pPr>
    <w:rPr>
      <w:rFonts w:ascii="宋体" w:hAnsi="Calibri" w:eastAsia="宋体" w:cs="Times New Roman"/>
      <w:kern w:val="0"/>
      <w:sz w:val="24"/>
      <w:szCs w:val="24"/>
    </w:rPr>
  </w:style>
  <w:style w:type="paragraph" w:styleId="30">
    <w:name w:val="Body Text Indent 3"/>
    <w:basedOn w:val="1"/>
    <w:link w:val="153"/>
    <w:autoRedefine/>
    <w:qFormat/>
    <w:uiPriority w:val="0"/>
    <w:pPr>
      <w:autoSpaceDE w:val="0"/>
      <w:autoSpaceDN w:val="0"/>
      <w:adjustRightInd w:val="0"/>
      <w:spacing w:line="360" w:lineRule="auto"/>
      <w:ind w:firstLine="480" w:firstLineChars="200"/>
      <w:jc w:val="left"/>
    </w:pPr>
    <w:rPr>
      <w:rFonts w:ascii="宋体" w:hAnsi="Times New Roman" w:eastAsia="宋体" w:cs="Times New Roman"/>
      <w:kern w:val="0"/>
      <w:sz w:val="24"/>
      <w:szCs w:val="24"/>
    </w:rPr>
  </w:style>
  <w:style w:type="paragraph" w:styleId="31">
    <w:name w:val="toc 2"/>
    <w:basedOn w:val="1"/>
    <w:next w:val="1"/>
    <w:semiHidden/>
    <w:unhideWhenUsed/>
    <w:qFormat/>
    <w:uiPriority w:val="39"/>
    <w:pPr>
      <w:ind w:left="420" w:leftChars="200"/>
    </w:pPr>
  </w:style>
  <w:style w:type="paragraph" w:styleId="32">
    <w:name w:val="Body Text 2"/>
    <w:basedOn w:val="1"/>
    <w:link w:val="142"/>
    <w:autoRedefine/>
    <w:qFormat/>
    <w:uiPriority w:val="0"/>
    <w:pPr>
      <w:tabs>
        <w:tab w:val="left" w:pos="0"/>
      </w:tabs>
      <w:spacing w:line="400" w:lineRule="atLeast"/>
    </w:pPr>
    <w:rPr>
      <w:rFonts w:ascii="Arial" w:hAnsi="Arial" w:eastAsia="宋体" w:cs="Times New Roman"/>
      <w:color w:val="000000"/>
      <w:szCs w:val="24"/>
    </w:rPr>
  </w:style>
  <w:style w:type="paragraph" w:styleId="33">
    <w:name w:val="HTML Preformatted"/>
    <w:basedOn w:val="1"/>
    <w:link w:val="85"/>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宋体" w:cs="Arial"/>
      <w:szCs w:val="21"/>
    </w:rPr>
  </w:style>
  <w:style w:type="paragraph" w:styleId="34">
    <w:name w:val="Normal (Web)"/>
    <w:basedOn w:val="1"/>
    <w:link w:val="92"/>
    <w:autoRedefine/>
    <w:qFormat/>
    <w:uiPriority w:val="0"/>
    <w:pPr>
      <w:widowControl/>
      <w:spacing w:before="100" w:beforeAutospacing="1" w:after="100" w:afterAutospacing="1"/>
      <w:jc w:val="left"/>
    </w:pPr>
    <w:rPr>
      <w:rFonts w:ascii="宋体" w:hAnsi="宋体"/>
      <w:sz w:val="15"/>
      <w:szCs w:val="15"/>
    </w:rPr>
  </w:style>
  <w:style w:type="paragraph" w:styleId="35">
    <w:name w:val="Title"/>
    <w:basedOn w:val="1"/>
    <w:next w:val="1"/>
    <w:link w:val="57"/>
    <w:autoRedefine/>
    <w:qFormat/>
    <w:uiPriority w:val="10"/>
    <w:pPr>
      <w:spacing w:before="120" w:after="60" w:line="300" w:lineRule="auto"/>
      <w:jc w:val="left"/>
      <w:outlineLvl w:val="0"/>
    </w:pPr>
    <w:rPr>
      <w:rFonts w:ascii="等线 Light" w:hAnsi="等线 Light" w:eastAsia="仿宋"/>
      <w:b/>
      <w:bCs/>
      <w:sz w:val="28"/>
      <w:szCs w:val="32"/>
    </w:rPr>
  </w:style>
  <w:style w:type="paragraph" w:styleId="36">
    <w:name w:val="annotation subject"/>
    <w:basedOn w:val="16"/>
    <w:next w:val="16"/>
    <w:link w:val="109"/>
    <w:autoRedefine/>
    <w:qFormat/>
    <w:uiPriority w:val="99"/>
    <w:pPr>
      <w:autoSpaceDE w:val="0"/>
      <w:autoSpaceDN w:val="0"/>
      <w:adjustRightInd w:val="0"/>
    </w:pPr>
    <w:rPr>
      <w:rFonts w:ascii="宋体" w:hAnsi="Times New Roman" w:eastAsia="宋体" w:cs="Times New Roman"/>
      <w:b/>
      <w:bCs/>
      <w:kern w:val="0"/>
      <w:sz w:val="24"/>
      <w:szCs w:val="24"/>
    </w:rPr>
  </w:style>
  <w:style w:type="table" w:styleId="38">
    <w:name w:val="Table Grid"/>
    <w:basedOn w:val="37"/>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autoRedefine/>
    <w:qFormat/>
    <w:uiPriority w:val="0"/>
    <w:rPr>
      <w:b/>
      <w:bCs/>
    </w:rPr>
  </w:style>
  <w:style w:type="character" w:styleId="41">
    <w:name w:val="FollowedHyperlink"/>
    <w:autoRedefine/>
    <w:unhideWhenUsed/>
    <w:qFormat/>
    <w:uiPriority w:val="99"/>
    <w:rPr>
      <w:color w:val="954F72"/>
      <w:u w:val="single"/>
    </w:rPr>
  </w:style>
  <w:style w:type="character" w:styleId="42">
    <w:name w:val="Emphasis"/>
    <w:autoRedefine/>
    <w:qFormat/>
    <w:uiPriority w:val="0"/>
    <w:rPr>
      <w:i/>
      <w:iCs/>
    </w:rPr>
  </w:style>
  <w:style w:type="character" w:styleId="43">
    <w:name w:val="Hyperlink"/>
    <w:autoRedefine/>
    <w:qFormat/>
    <w:uiPriority w:val="99"/>
    <w:rPr>
      <w:rFonts w:hint="default" w:ascii="Arial" w:hAnsi="Arial" w:cs="Arial"/>
      <w:color w:val="000000"/>
      <w:sz w:val="20"/>
      <w:szCs w:val="20"/>
      <w:u w:val="none"/>
    </w:rPr>
  </w:style>
  <w:style w:type="character" w:styleId="44">
    <w:name w:val="annotation reference"/>
    <w:basedOn w:val="39"/>
    <w:autoRedefine/>
    <w:qFormat/>
    <w:uiPriority w:val="99"/>
    <w:rPr>
      <w:sz w:val="21"/>
      <w:szCs w:val="21"/>
    </w:rPr>
  </w:style>
  <w:style w:type="paragraph" w:customStyle="1" w:styleId="45">
    <w:name w:val="首行缩进"/>
    <w:basedOn w:val="1"/>
    <w:autoRedefine/>
    <w:qFormat/>
    <w:uiPriority w:val="0"/>
    <w:pPr>
      <w:ind w:firstLine="480" w:firstLineChars="200"/>
    </w:pPr>
    <w:rPr>
      <w:lang w:val="zh-CN"/>
    </w:rPr>
  </w:style>
  <w:style w:type="character" w:customStyle="1" w:styleId="46">
    <w:name w:val="标题 1 字符"/>
    <w:basedOn w:val="39"/>
    <w:autoRedefine/>
    <w:qFormat/>
    <w:uiPriority w:val="0"/>
    <w:rPr>
      <w:b/>
      <w:bCs/>
      <w:kern w:val="44"/>
      <w:sz w:val="44"/>
      <w:szCs w:val="44"/>
    </w:rPr>
  </w:style>
  <w:style w:type="character" w:customStyle="1" w:styleId="47">
    <w:name w:val="标题 2 Char"/>
    <w:basedOn w:val="39"/>
    <w:link w:val="3"/>
    <w:autoRedefine/>
    <w:qFormat/>
    <w:uiPriority w:val="0"/>
    <w:rPr>
      <w:rFonts w:ascii="宋体" w:hAnsi="Calibri" w:eastAsia="宋体" w:cs="Times New Roman"/>
      <w:kern w:val="0"/>
      <w:sz w:val="24"/>
      <w:szCs w:val="24"/>
    </w:rPr>
  </w:style>
  <w:style w:type="character" w:customStyle="1" w:styleId="48">
    <w:name w:val="标题 3 字符"/>
    <w:basedOn w:val="39"/>
    <w:autoRedefine/>
    <w:qFormat/>
    <w:uiPriority w:val="0"/>
    <w:rPr>
      <w:b/>
      <w:bCs/>
      <w:sz w:val="32"/>
      <w:szCs w:val="32"/>
    </w:rPr>
  </w:style>
  <w:style w:type="character" w:customStyle="1" w:styleId="49">
    <w:name w:val="标题 4 Char1"/>
    <w:basedOn w:val="39"/>
    <w:link w:val="5"/>
    <w:autoRedefine/>
    <w:qFormat/>
    <w:uiPriority w:val="9"/>
    <w:rPr>
      <w:rFonts w:ascii="Arial" w:hAnsi="Arial" w:eastAsia="黑体" w:cs="Times New Roman"/>
      <w:b/>
      <w:bCs/>
      <w:kern w:val="0"/>
      <w:sz w:val="28"/>
      <w:szCs w:val="28"/>
    </w:rPr>
  </w:style>
  <w:style w:type="character" w:customStyle="1" w:styleId="50">
    <w:name w:val="标题 5 字符"/>
    <w:basedOn w:val="39"/>
    <w:autoRedefine/>
    <w:qFormat/>
    <w:uiPriority w:val="9"/>
    <w:rPr>
      <w:b/>
      <w:bCs/>
      <w:sz w:val="28"/>
      <w:szCs w:val="28"/>
    </w:rPr>
  </w:style>
  <w:style w:type="character" w:customStyle="1" w:styleId="51">
    <w:name w:val="标题 6 字符"/>
    <w:basedOn w:val="39"/>
    <w:autoRedefine/>
    <w:qFormat/>
    <w:uiPriority w:val="0"/>
    <w:rPr>
      <w:rFonts w:asciiTheme="majorHAnsi" w:hAnsiTheme="majorHAnsi" w:eastAsiaTheme="majorEastAsia" w:cstheme="majorBidi"/>
      <w:b/>
      <w:bCs/>
      <w:sz w:val="24"/>
      <w:szCs w:val="24"/>
    </w:rPr>
  </w:style>
  <w:style w:type="character" w:customStyle="1" w:styleId="52">
    <w:name w:val="标题 7 Char"/>
    <w:basedOn w:val="39"/>
    <w:link w:val="9"/>
    <w:autoRedefine/>
    <w:qFormat/>
    <w:uiPriority w:val="9"/>
    <w:rPr>
      <w:rFonts w:ascii="Times New Roman" w:hAnsi="Calibri" w:eastAsia="黑体" w:cs="Times New Roman"/>
      <w:b/>
      <w:bCs/>
      <w:kern w:val="0"/>
      <w:sz w:val="28"/>
      <w:szCs w:val="24"/>
    </w:rPr>
  </w:style>
  <w:style w:type="character" w:customStyle="1" w:styleId="53">
    <w:name w:val="标题 8 Char"/>
    <w:basedOn w:val="39"/>
    <w:link w:val="10"/>
    <w:autoRedefine/>
    <w:qFormat/>
    <w:uiPriority w:val="9"/>
    <w:rPr>
      <w:rFonts w:ascii="Times New Roman" w:hAnsi="Calibri" w:eastAsia="黑体" w:cs="Times New Roman"/>
      <w:b/>
      <w:kern w:val="0"/>
      <w:sz w:val="28"/>
      <w:szCs w:val="24"/>
    </w:rPr>
  </w:style>
  <w:style w:type="character" w:customStyle="1" w:styleId="54">
    <w:name w:val="标题 9 Char"/>
    <w:basedOn w:val="39"/>
    <w:link w:val="11"/>
    <w:autoRedefine/>
    <w:qFormat/>
    <w:uiPriority w:val="9"/>
    <w:rPr>
      <w:rFonts w:ascii="Times New Roman" w:hAnsi="Calibri" w:eastAsia="黑体" w:cs="Times New Roman"/>
      <w:b/>
      <w:kern w:val="0"/>
      <w:sz w:val="28"/>
      <w:szCs w:val="24"/>
    </w:rPr>
  </w:style>
  <w:style w:type="character" w:customStyle="1" w:styleId="55">
    <w:name w:val="正文文本缩进 字符"/>
    <w:autoRedefine/>
    <w:qFormat/>
    <w:uiPriority w:val="0"/>
    <w:rPr>
      <w:rFonts w:ascii="Times New Roman" w:hAnsi="Times New Roman" w:eastAsia="宋体" w:cs="Times New Roman"/>
      <w:szCs w:val="20"/>
    </w:rPr>
  </w:style>
  <w:style w:type="character" w:customStyle="1" w:styleId="56">
    <w:name w:val="普通(网站) Char"/>
    <w:autoRedefine/>
    <w:qFormat/>
    <w:locked/>
    <w:uiPriority w:val="0"/>
    <w:rPr>
      <w:rFonts w:ascii="宋体" w:hAnsi="宋体"/>
      <w:sz w:val="15"/>
      <w:szCs w:val="15"/>
    </w:rPr>
  </w:style>
  <w:style w:type="character" w:customStyle="1" w:styleId="57">
    <w:name w:val="标题 Char"/>
    <w:link w:val="35"/>
    <w:autoRedefine/>
    <w:qFormat/>
    <w:uiPriority w:val="10"/>
    <w:rPr>
      <w:rFonts w:ascii="等线 Light" w:hAnsi="等线 Light" w:eastAsia="仿宋"/>
      <w:b/>
      <w:bCs/>
      <w:sz w:val="28"/>
      <w:szCs w:val="32"/>
    </w:rPr>
  </w:style>
  <w:style w:type="character" w:customStyle="1" w:styleId="58">
    <w:name w:val="日期 Char"/>
    <w:autoRedefine/>
    <w:semiHidden/>
    <w:qFormat/>
    <w:uiPriority w:val="99"/>
    <w:rPr>
      <w:kern w:val="2"/>
      <w:sz w:val="21"/>
    </w:rPr>
  </w:style>
  <w:style w:type="character" w:customStyle="1" w:styleId="59">
    <w:name w:val="文档结构图 字符1"/>
    <w:autoRedefine/>
    <w:semiHidden/>
    <w:qFormat/>
    <w:uiPriority w:val="99"/>
    <w:rPr>
      <w:rFonts w:ascii="Microsoft YaHei UI" w:hAnsi="Calibri" w:eastAsia="Microsoft YaHei UI" w:cs="Times New Roman"/>
      <w:kern w:val="0"/>
      <w:sz w:val="18"/>
      <w:szCs w:val="18"/>
    </w:rPr>
  </w:style>
  <w:style w:type="character" w:customStyle="1" w:styleId="60">
    <w:name w:val="批注文字 Char"/>
    <w:autoRedefine/>
    <w:semiHidden/>
    <w:qFormat/>
    <w:uiPriority w:val="99"/>
    <w:rPr>
      <w:kern w:val="2"/>
      <w:sz w:val="21"/>
    </w:rPr>
  </w:style>
  <w:style w:type="character" w:customStyle="1" w:styleId="61">
    <w:name w:val="正文缩进2格 Char"/>
    <w:link w:val="62"/>
    <w:autoRedefine/>
    <w:qFormat/>
    <w:uiPriority w:val="0"/>
    <w:rPr>
      <w:rFonts w:ascii="仿宋_GB2312" w:hAnsi="宋体" w:eastAsia="仿宋_GB2312"/>
      <w:sz w:val="31"/>
      <w:szCs w:val="28"/>
    </w:rPr>
  </w:style>
  <w:style w:type="paragraph" w:customStyle="1" w:styleId="62">
    <w:name w:val="正文缩进2格"/>
    <w:basedOn w:val="1"/>
    <w:next w:val="1"/>
    <w:link w:val="61"/>
    <w:autoRedefine/>
    <w:qFormat/>
    <w:uiPriority w:val="0"/>
    <w:pPr>
      <w:spacing w:line="600" w:lineRule="exact"/>
      <w:ind w:firstLine="639" w:firstLineChars="206"/>
    </w:pPr>
    <w:rPr>
      <w:rFonts w:ascii="仿宋_GB2312" w:hAnsi="宋体" w:eastAsia="仿宋_GB2312"/>
      <w:sz w:val="31"/>
      <w:szCs w:val="28"/>
    </w:rPr>
  </w:style>
  <w:style w:type="character" w:customStyle="1" w:styleId="63">
    <w:name w:val="批注文字 字符"/>
    <w:autoRedefine/>
    <w:semiHidden/>
    <w:qFormat/>
    <w:uiPriority w:val="99"/>
    <w:rPr>
      <w:rFonts w:ascii="Times New Roman" w:hAnsi="Times New Roman"/>
      <w:kern w:val="2"/>
      <w:sz w:val="24"/>
      <w:szCs w:val="24"/>
    </w:rPr>
  </w:style>
  <w:style w:type="character" w:customStyle="1" w:styleId="64">
    <w:name w:val="正文文本缩进 Char"/>
    <w:autoRedefine/>
    <w:qFormat/>
    <w:uiPriority w:val="0"/>
    <w:rPr>
      <w:rFonts w:ascii="Times New Roman" w:hAnsi="Times New Roman" w:eastAsia="宋体" w:cs="Times New Roman"/>
      <w:szCs w:val="20"/>
      <w:lang w:val="en-US" w:eastAsia="zh-CN"/>
    </w:rPr>
  </w:style>
  <w:style w:type="character" w:customStyle="1" w:styleId="65">
    <w:name w:val="批注框文本 字符1"/>
    <w:autoRedefine/>
    <w:semiHidden/>
    <w:qFormat/>
    <w:uiPriority w:val="99"/>
    <w:rPr>
      <w:rFonts w:ascii="宋体" w:hAnsi="Calibri" w:eastAsia="宋体" w:cs="Times New Roman"/>
      <w:kern w:val="0"/>
      <w:sz w:val="18"/>
      <w:szCs w:val="18"/>
    </w:rPr>
  </w:style>
  <w:style w:type="character" w:customStyle="1" w:styleId="66">
    <w:name w:val="List Paragraph Char"/>
    <w:link w:val="67"/>
    <w:autoRedefine/>
    <w:qFormat/>
    <w:uiPriority w:val="34"/>
    <w:rPr>
      <w:rFonts w:ascii="Calibri" w:hAnsi="Calibri"/>
    </w:rPr>
  </w:style>
  <w:style w:type="paragraph" w:customStyle="1" w:styleId="67">
    <w:name w:val="列出段落1"/>
    <w:basedOn w:val="1"/>
    <w:link w:val="66"/>
    <w:autoRedefine/>
    <w:qFormat/>
    <w:uiPriority w:val="34"/>
    <w:pPr>
      <w:ind w:firstLine="420" w:firstLineChars="200"/>
    </w:pPr>
    <w:rPr>
      <w:rFonts w:ascii="Calibri" w:hAnsi="Calibri"/>
    </w:rPr>
  </w:style>
  <w:style w:type="character" w:customStyle="1" w:styleId="68">
    <w:name w:val="标书正文 字符"/>
    <w:link w:val="69"/>
    <w:autoRedefine/>
    <w:qFormat/>
    <w:uiPriority w:val="0"/>
    <w:rPr>
      <w:rFonts w:ascii="Calibri" w:hAnsi="Calibri" w:eastAsia="仿宋"/>
      <w:sz w:val="24"/>
      <w:szCs w:val="21"/>
    </w:rPr>
  </w:style>
  <w:style w:type="paragraph" w:customStyle="1" w:styleId="69">
    <w:name w:val="标书正文"/>
    <w:basedOn w:val="1"/>
    <w:link w:val="68"/>
    <w:autoRedefine/>
    <w:qFormat/>
    <w:uiPriority w:val="0"/>
    <w:pPr>
      <w:adjustRightInd w:val="0"/>
      <w:snapToGrid w:val="0"/>
      <w:spacing w:beforeLines="50" w:line="360" w:lineRule="auto"/>
      <w:ind w:firstLine="200" w:firstLineChars="200"/>
    </w:pPr>
    <w:rPr>
      <w:rFonts w:ascii="Calibri" w:hAnsi="Calibri" w:eastAsia="仿宋"/>
      <w:sz w:val="24"/>
      <w:szCs w:val="21"/>
    </w:rPr>
  </w:style>
  <w:style w:type="character" w:customStyle="1" w:styleId="70">
    <w:name w:val="正文文本 字符"/>
    <w:autoRedefine/>
    <w:semiHidden/>
    <w:qFormat/>
    <w:uiPriority w:val="99"/>
    <w:rPr>
      <w:rFonts w:ascii="Times New Roman" w:hAnsi="Times New Roman"/>
      <w:kern w:val="2"/>
      <w:sz w:val="24"/>
      <w:szCs w:val="24"/>
    </w:rPr>
  </w:style>
  <w:style w:type="character" w:customStyle="1" w:styleId="71">
    <w:name w:val="页脚 Char"/>
    <w:autoRedefine/>
    <w:qFormat/>
    <w:uiPriority w:val="0"/>
    <w:rPr>
      <w:kern w:val="2"/>
      <w:sz w:val="18"/>
      <w:szCs w:val="18"/>
    </w:rPr>
  </w:style>
  <w:style w:type="character" w:customStyle="1" w:styleId="72">
    <w:name w:val="neir1"/>
    <w:autoRedefine/>
    <w:qFormat/>
    <w:uiPriority w:val="0"/>
    <w:rPr>
      <w:rFonts w:hint="default" w:ascii="ˎ̥" w:hAnsi="ˎ̥"/>
      <w:color w:val="333333"/>
      <w:sz w:val="21"/>
      <w:szCs w:val="21"/>
      <w:u w:val="none"/>
    </w:rPr>
  </w:style>
  <w:style w:type="character" w:customStyle="1" w:styleId="73">
    <w:name w:val="批注框文本 Char1"/>
    <w:link w:val="25"/>
    <w:autoRedefine/>
    <w:qFormat/>
    <w:uiPriority w:val="0"/>
    <w:rPr>
      <w:rFonts w:ascii="Times New Roman" w:hAnsi="Times New Roman" w:eastAsia="宋体" w:cs="Times New Roman"/>
      <w:sz w:val="18"/>
      <w:szCs w:val="18"/>
    </w:rPr>
  </w:style>
  <w:style w:type="character" w:customStyle="1" w:styleId="74">
    <w:name w:val="正文文本 3 字符1"/>
    <w:autoRedefine/>
    <w:semiHidden/>
    <w:qFormat/>
    <w:uiPriority w:val="99"/>
    <w:rPr>
      <w:rFonts w:ascii="宋体" w:hAnsi="Calibri" w:eastAsia="宋体" w:cs="Times New Roman"/>
      <w:kern w:val="0"/>
      <w:sz w:val="16"/>
      <w:szCs w:val="16"/>
    </w:rPr>
  </w:style>
  <w:style w:type="character" w:customStyle="1" w:styleId="75">
    <w:name w:val="正文文本 字符3"/>
    <w:autoRedefine/>
    <w:semiHidden/>
    <w:qFormat/>
    <w:uiPriority w:val="99"/>
    <w:rPr>
      <w:rFonts w:ascii="宋体" w:hAnsi="Calibri" w:eastAsia="宋体" w:cs="Times New Roman"/>
      <w:kern w:val="0"/>
      <w:sz w:val="24"/>
      <w:szCs w:val="24"/>
    </w:rPr>
  </w:style>
  <w:style w:type="character" w:customStyle="1" w:styleId="76">
    <w:name w:val="日期 字符1"/>
    <w:autoRedefine/>
    <w:semiHidden/>
    <w:qFormat/>
    <w:uiPriority w:val="99"/>
    <w:rPr>
      <w:rFonts w:ascii="宋体" w:hAnsi="Calibri" w:eastAsia="宋体" w:cs="Times New Roman"/>
      <w:kern w:val="0"/>
      <w:sz w:val="24"/>
      <w:szCs w:val="24"/>
    </w:rPr>
  </w:style>
  <w:style w:type="character" w:customStyle="1" w:styleId="77">
    <w:name w:val="页脚 Char2"/>
    <w:link w:val="26"/>
    <w:autoRedefine/>
    <w:qFormat/>
    <w:uiPriority w:val="99"/>
    <w:rPr>
      <w:rFonts w:ascii="宋体" w:eastAsia="宋体"/>
      <w:sz w:val="18"/>
      <w:szCs w:val="18"/>
    </w:rPr>
  </w:style>
  <w:style w:type="character" w:customStyle="1" w:styleId="78">
    <w:name w:val="吉奥正文 Char"/>
    <w:link w:val="79"/>
    <w:autoRedefine/>
    <w:qFormat/>
    <w:locked/>
    <w:uiPriority w:val="0"/>
    <w:rPr>
      <w:rFonts w:eastAsia="仿宋_GB2312"/>
      <w:sz w:val="28"/>
    </w:rPr>
  </w:style>
  <w:style w:type="paragraph" w:customStyle="1" w:styleId="79">
    <w:name w:val="吉奥正文"/>
    <w:basedOn w:val="1"/>
    <w:link w:val="78"/>
    <w:autoRedefine/>
    <w:qFormat/>
    <w:uiPriority w:val="0"/>
    <w:pPr>
      <w:adjustRightInd w:val="0"/>
      <w:snapToGrid w:val="0"/>
      <w:spacing w:before="120" w:line="360" w:lineRule="auto"/>
      <w:ind w:firstLine="200" w:firstLineChars="200"/>
      <w:textAlignment w:val="baseline"/>
    </w:pPr>
    <w:rPr>
      <w:rFonts w:eastAsia="仿宋_GB2312"/>
      <w:sz w:val="28"/>
    </w:rPr>
  </w:style>
  <w:style w:type="character" w:customStyle="1" w:styleId="80">
    <w:name w:val="页脚 Char1"/>
    <w:autoRedefine/>
    <w:qFormat/>
    <w:uiPriority w:val="99"/>
    <w:rPr>
      <w:rFonts w:ascii="宋体" w:hAnsi="Times New Roman" w:eastAsia="宋体" w:cs="Times New Roman"/>
      <w:kern w:val="0"/>
      <w:sz w:val="18"/>
      <w:szCs w:val="18"/>
    </w:rPr>
  </w:style>
  <w:style w:type="character" w:customStyle="1" w:styleId="81">
    <w:name w:val="标题 字符"/>
    <w:autoRedefine/>
    <w:qFormat/>
    <w:uiPriority w:val="10"/>
    <w:rPr>
      <w:rFonts w:ascii="Cambria" w:hAnsi="Cambria" w:eastAsia="宋体" w:cs="Times New Roman"/>
      <w:b/>
      <w:bCs/>
      <w:kern w:val="0"/>
      <w:sz w:val="32"/>
      <w:szCs w:val="32"/>
      <w:lang w:val="en-US" w:eastAsia="zh-CN"/>
    </w:rPr>
  </w:style>
  <w:style w:type="character" w:customStyle="1" w:styleId="82">
    <w:name w:val="题注 Char"/>
    <w:link w:val="13"/>
    <w:autoRedefine/>
    <w:qFormat/>
    <w:uiPriority w:val="0"/>
    <w:rPr>
      <w:rFonts w:ascii="Arial" w:hAnsi="Arial" w:eastAsia="黑体" w:cs="Arial"/>
    </w:rPr>
  </w:style>
  <w:style w:type="character" w:customStyle="1" w:styleId="83">
    <w:name w:val="批注文字 字符2"/>
    <w:autoRedefine/>
    <w:qFormat/>
    <w:uiPriority w:val="99"/>
    <w:rPr>
      <w:rFonts w:ascii="宋体" w:hAnsi="Times New Roman" w:eastAsia="宋体" w:cs="Times New Roman"/>
      <w:kern w:val="0"/>
      <w:sz w:val="24"/>
      <w:szCs w:val="24"/>
    </w:rPr>
  </w:style>
  <w:style w:type="character" w:customStyle="1" w:styleId="84">
    <w:name w:val="批注主题 字符1"/>
    <w:autoRedefine/>
    <w:semiHidden/>
    <w:qFormat/>
    <w:uiPriority w:val="99"/>
    <w:rPr>
      <w:rFonts w:ascii="宋体" w:hAnsi="Calibri" w:eastAsia="宋体" w:cs="Times New Roman"/>
      <w:b/>
      <w:bCs/>
      <w:kern w:val="0"/>
      <w:sz w:val="24"/>
      <w:szCs w:val="24"/>
    </w:rPr>
  </w:style>
  <w:style w:type="character" w:customStyle="1" w:styleId="85">
    <w:name w:val="HTML 预设格式 Char"/>
    <w:link w:val="33"/>
    <w:autoRedefine/>
    <w:qFormat/>
    <w:uiPriority w:val="99"/>
    <w:rPr>
      <w:rFonts w:ascii="Arial" w:hAnsi="Arial" w:eastAsia="宋体" w:cs="Arial"/>
      <w:szCs w:val="21"/>
    </w:rPr>
  </w:style>
  <w:style w:type="character" w:customStyle="1" w:styleId="86">
    <w:name w:val="标题 3.1 Char"/>
    <w:link w:val="87"/>
    <w:autoRedefine/>
    <w:qFormat/>
    <w:uiPriority w:val="0"/>
    <w:rPr>
      <w:rFonts w:ascii="宋体" w:hAnsi="宋体"/>
      <w:b/>
      <w:bCs/>
      <w:sz w:val="32"/>
      <w:szCs w:val="32"/>
    </w:rPr>
  </w:style>
  <w:style w:type="paragraph" w:customStyle="1" w:styleId="87">
    <w:name w:val="标题 3.1"/>
    <w:basedOn w:val="4"/>
    <w:link w:val="86"/>
    <w:autoRedefine/>
    <w:qFormat/>
    <w:uiPriority w:val="0"/>
    <w:pPr>
      <w:keepNext/>
      <w:keepLines/>
      <w:pageBreakBefore/>
      <w:tabs>
        <w:tab w:val="left" w:pos="1440"/>
        <w:tab w:val="left" w:pos="1620"/>
      </w:tabs>
      <w:autoSpaceDE/>
      <w:autoSpaceDN/>
      <w:adjustRightInd/>
      <w:spacing w:before="260" w:after="260" w:line="600" w:lineRule="exact"/>
      <w:jc w:val="both"/>
    </w:pPr>
    <w:rPr>
      <w:rFonts w:hAnsi="宋体" w:eastAsiaTheme="minorEastAsia" w:cstheme="minorBidi"/>
      <w:b/>
      <w:bCs/>
      <w:kern w:val="2"/>
      <w:sz w:val="32"/>
      <w:szCs w:val="32"/>
    </w:rPr>
  </w:style>
  <w:style w:type="character" w:customStyle="1" w:styleId="88">
    <w:name w:val="HTML 预设格式 Char1"/>
    <w:autoRedefine/>
    <w:semiHidden/>
    <w:qFormat/>
    <w:uiPriority w:val="99"/>
    <w:rPr>
      <w:rFonts w:ascii="Courier New" w:hAnsi="Courier New" w:eastAsia="宋体" w:cs="Courier New"/>
      <w:kern w:val="0"/>
      <w:sz w:val="20"/>
      <w:szCs w:val="20"/>
    </w:rPr>
  </w:style>
  <w:style w:type="character" w:customStyle="1" w:styleId="89">
    <w:name w:val="批注文字 字符1"/>
    <w:autoRedefine/>
    <w:qFormat/>
    <w:uiPriority w:val="0"/>
    <w:rPr>
      <w:rFonts w:eastAsia="宋体"/>
      <w:kern w:val="2"/>
      <w:sz w:val="24"/>
      <w:szCs w:val="24"/>
      <w:lang w:val="en-US" w:eastAsia="zh-CN" w:bidi="ar-SA"/>
    </w:rPr>
  </w:style>
  <w:style w:type="character" w:customStyle="1" w:styleId="90">
    <w:name w:val="正文文本缩进 字符2"/>
    <w:autoRedefine/>
    <w:semiHidden/>
    <w:qFormat/>
    <w:uiPriority w:val="99"/>
    <w:rPr>
      <w:rFonts w:ascii="宋体" w:hAnsi="Calibri" w:eastAsia="宋体" w:cs="Times New Roman"/>
      <w:kern w:val="0"/>
      <w:sz w:val="24"/>
      <w:szCs w:val="24"/>
    </w:rPr>
  </w:style>
  <w:style w:type="character" w:customStyle="1" w:styleId="91">
    <w:name w:val="正文文本缩进 Char1"/>
    <w:link w:val="20"/>
    <w:autoRedefine/>
    <w:qFormat/>
    <w:uiPriority w:val="0"/>
    <w:rPr>
      <w:rFonts w:ascii="Times New Roman" w:hAnsi="Times New Roman" w:eastAsia="宋体" w:cs="Times New Roman"/>
      <w:szCs w:val="20"/>
    </w:rPr>
  </w:style>
  <w:style w:type="character" w:customStyle="1" w:styleId="92">
    <w:name w:val="普通(网站) Char1"/>
    <w:link w:val="34"/>
    <w:autoRedefine/>
    <w:qFormat/>
    <w:locked/>
    <w:uiPriority w:val="0"/>
    <w:rPr>
      <w:rFonts w:ascii="宋体" w:hAnsi="宋体"/>
      <w:sz w:val="15"/>
      <w:szCs w:val="15"/>
    </w:rPr>
  </w:style>
  <w:style w:type="character" w:customStyle="1" w:styleId="93">
    <w:name w:val="模板正文 Char"/>
    <w:link w:val="8"/>
    <w:autoRedefine/>
    <w:qFormat/>
    <w:uiPriority w:val="0"/>
    <w:rPr>
      <w:rFonts w:ascii="宋体" w:eastAsia="仿宋"/>
      <w:sz w:val="24"/>
      <w:szCs w:val="21"/>
    </w:rPr>
  </w:style>
  <w:style w:type="character" w:customStyle="1" w:styleId="94">
    <w:name w:val="批注主题 Char"/>
    <w:autoRedefine/>
    <w:semiHidden/>
    <w:qFormat/>
    <w:uiPriority w:val="99"/>
    <w:rPr>
      <w:b/>
      <w:bCs/>
      <w:kern w:val="2"/>
      <w:sz w:val="21"/>
    </w:rPr>
  </w:style>
  <w:style w:type="character" w:customStyle="1" w:styleId="95">
    <w:name w:val="正文文本 Char1"/>
    <w:autoRedefine/>
    <w:qFormat/>
    <w:uiPriority w:val="0"/>
    <w:rPr>
      <w:rFonts w:ascii="宋体" w:hAnsi="Times New Roman" w:eastAsia="宋体" w:cs="Times New Roman"/>
      <w:kern w:val="0"/>
      <w:sz w:val="24"/>
      <w:szCs w:val="24"/>
    </w:rPr>
  </w:style>
  <w:style w:type="character" w:customStyle="1" w:styleId="96">
    <w:name w:val="正文文本 字符1"/>
    <w:autoRedefine/>
    <w:qFormat/>
    <w:uiPriority w:val="99"/>
    <w:rPr>
      <w:rFonts w:ascii="宋体" w:eastAsia="宋体"/>
      <w:b/>
      <w:bCs/>
      <w:sz w:val="84"/>
      <w:szCs w:val="84"/>
      <w:lang w:val="zh-CN"/>
    </w:rPr>
  </w:style>
  <w:style w:type="character" w:customStyle="1" w:styleId="97">
    <w:name w:val="标题 1 Char"/>
    <w:autoRedefine/>
    <w:qFormat/>
    <w:uiPriority w:val="9"/>
    <w:rPr>
      <w:rFonts w:ascii="宋体" w:hAnsi="Times New Roman" w:eastAsia="宋体" w:cs="Times New Roman"/>
      <w:kern w:val="0"/>
      <w:sz w:val="24"/>
      <w:szCs w:val="24"/>
    </w:rPr>
  </w:style>
  <w:style w:type="character" w:customStyle="1" w:styleId="98">
    <w:name w:val="正文文本 Char2"/>
    <w:autoRedefine/>
    <w:qFormat/>
    <w:uiPriority w:val="99"/>
    <w:rPr>
      <w:rFonts w:ascii="宋体" w:eastAsia="宋体"/>
      <w:b/>
      <w:bCs/>
      <w:sz w:val="84"/>
      <w:szCs w:val="84"/>
      <w:lang w:val="zh-CN"/>
    </w:rPr>
  </w:style>
  <w:style w:type="character" w:customStyle="1" w:styleId="99">
    <w:name w:val="纯文本 Char2"/>
    <w:link w:val="22"/>
    <w:autoRedefine/>
    <w:qFormat/>
    <w:uiPriority w:val="0"/>
    <w:rPr>
      <w:rFonts w:ascii="宋体" w:hAnsi="Courier New" w:eastAsia="宋体"/>
    </w:rPr>
  </w:style>
  <w:style w:type="character" w:customStyle="1" w:styleId="100">
    <w:name w:val="正文文本缩进 2 Char"/>
    <w:link w:val="24"/>
    <w:autoRedefine/>
    <w:qFormat/>
    <w:uiPriority w:val="0"/>
    <w:rPr>
      <w:rFonts w:ascii="宋体" w:hAnsi="Times New Roman" w:eastAsia="宋体" w:cs="Times New Roman"/>
      <w:szCs w:val="20"/>
    </w:rPr>
  </w:style>
  <w:style w:type="character" w:customStyle="1" w:styleId="101">
    <w:name w:val="HTML Markup"/>
    <w:autoRedefine/>
    <w:qFormat/>
    <w:uiPriority w:val="0"/>
    <w:rPr>
      <w:vanish/>
      <w:color w:val="FF0000"/>
    </w:rPr>
  </w:style>
  <w:style w:type="character" w:customStyle="1" w:styleId="102">
    <w:name w:val="页眉 Char1"/>
    <w:autoRedefine/>
    <w:qFormat/>
    <w:uiPriority w:val="0"/>
    <w:rPr>
      <w:rFonts w:ascii="宋体" w:hAnsi="Times New Roman" w:eastAsia="宋体" w:cs="Times New Roman"/>
      <w:kern w:val="0"/>
      <w:sz w:val="18"/>
      <w:szCs w:val="18"/>
    </w:rPr>
  </w:style>
  <w:style w:type="character" w:customStyle="1" w:styleId="103">
    <w:name w:val="font11"/>
    <w:autoRedefine/>
    <w:qFormat/>
    <w:uiPriority w:val="0"/>
    <w:rPr>
      <w:rFonts w:hint="eastAsia" w:ascii="宋体" w:hAnsi="宋体" w:eastAsia="宋体" w:cs="宋体"/>
      <w:color w:val="FF0000"/>
      <w:sz w:val="22"/>
      <w:szCs w:val="22"/>
      <w:u w:val="none"/>
    </w:rPr>
  </w:style>
  <w:style w:type="character" w:customStyle="1" w:styleId="104">
    <w:name w:val="style61"/>
    <w:autoRedefine/>
    <w:qFormat/>
    <w:uiPriority w:val="0"/>
    <w:rPr>
      <w:b/>
      <w:bCs/>
    </w:rPr>
  </w:style>
  <w:style w:type="character" w:customStyle="1" w:styleId="105">
    <w:name w:val="表头文字 Char"/>
    <w:link w:val="106"/>
    <w:autoRedefine/>
    <w:qFormat/>
    <w:uiPriority w:val="0"/>
    <w:rPr>
      <w:rFonts w:eastAsia="仿宋_GB2312"/>
      <w:b/>
      <w:sz w:val="28"/>
      <w:szCs w:val="21"/>
    </w:rPr>
  </w:style>
  <w:style w:type="paragraph" w:customStyle="1" w:styleId="106">
    <w:name w:val="表头文字"/>
    <w:basedOn w:val="1"/>
    <w:link w:val="105"/>
    <w:autoRedefine/>
    <w:qFormat/>
    <w:uiPriority w:val="0"/>
    <w:pPr>
      <w:adjustRightInd w:val="0"/>
      <w:snapToGrid w:val="0"/>
      <w:spacing w:before="120" w:line="360" w:lineRule="auto"/>
      <w:jc w:val="center"/>
      <w:textAlignment w:val="baseline"/>
    </w:pPr>
    <w:rPr>
      <w:rFonts w:eastAsia="仿宋_GB2312"/>
      <w:b/>
      <w:sz w:val="28"/>
      <w:szCs w:val="21"/>
    </w:rPr>
  </w:style>
  <w:style w:type="character" w:customStyle="1" w:styleId="107">
    <w:name w:val="日期 Char1"/>
    <w:link w:val="23"/>
    <w:autoRedefine/>
    <w:qFormat/>
    <w:uiPriority w:val="99"/>
    <w:rPr>
      <w:rFonts w:ascii="宋体" w:hAnsi="Times New Roman" w:eastAsia="宋体" w:cs="Times New Roman"/>
      <w:b/>
      <w:bCs/>
      <w:szCs w:val="21"/>
      <w:lang w:val="zh-CN"/>
    </w:rPr>
  </w:style>
  <w:style w:type="character" w:customStyle="1" w:styleId="108">
    <w:name w:val="纯文本 Char1"/>
    <w:autoRedefine/>
    <w:qFormat/>
    <w:uiPriority w:val="0"/>
    <w:rPr>
      <w:rFonts w:ascii="宋体" w:hAnsi="Courier New" w:eastAsia="宋体" w:cs="Courier New"/>
      <w:kern w:val="0"/>
      <w:szCs w:val="21"/>
    </w:rPr>
  </w:style>
  <w:style w:type="character" w:customStyle="1" w:styleId="109">
    <w:name w:val="批注主题 Char1"/>
    <w:link w:val="36"/>
    <w:autoRedefine/>
    <w:qFormat/>
    <w:uiPriority w:val="99"/>
    <w:rPr>
      <w:rFonts w:ascii="宋体" w:hAnsi="Times New Roman" w:eastAsia="宋体" w:cs="Times New Roman"/>
      <w:b/>
      <w:bCs/>
      <w:kern w:val="0"/>
      <w:sz w:val="24"/>
      <w:szCs w:val="24"/>
    </w:rPr>
  </w:style>
  <w:style w:type="character" w:customStyle="1" w:styleId="110">
    <w:name w:val="纯文本 字符"/>
    <w:autoRedefine/>
    <w:qFormat/>
    <w:uiPriority w:val="99"/>
    <w:rPr>
      <w:rFonts w:ascii="宋体" w:hAnsi="Courier New" w:eastAsia="宋体" w:cs="Times New Roman"/>
      <w:szCs w:val="20"/>
      <w:lang w:val="en-US" w:eastAsia="zh-CN"/>
    </w:rPr>
  </w:style>
  <w:style w:type="character" w:customStyle="1" w:styleId="111">
    <w:name w:val="font71"/>
    <w:autoRedefine/>
    <w:qFormat/>
    <w:uiPriority w:val="0"/>
    <w:rPr>
      <w:rFonts w:hint="eastAsia" w:ascii="宋体" w:hAnsi="宋体" w:eastAsia="宋体" w:cs="宋体"/>
      <w:color w:val="FF0000"/>
      <w:sz w:val="18"/>
      <w:szCs w:val="18"/>
      <w:u w:val="none"/>
    </w:rPr>
  </w:style>
  <w:style w:type="character" w:customStyle="1" w:styleId="112">
    <w:name w:val="font21"/>
    <w:autoRedefine/>
    <w:qFormat/>
    <w:uiPriority w:val="0"/>
    <w:rPr>
      <w:rFonts w:hint="eastAsia" w:ascii="宋体" w:hAnsi="宋体" w:eastAsia="宋体" w:cs="宋体"/>
      <w:b/>
      <w:color w:val="000000"/>
      <w:sz w:val="21"/>
      <w:szCs w:val="21"/>
      <w:u w:val="none"/>
    </w:rPr>
  </w:style>
  <w:style w:type="character" w:customStyle="1" w:styleId="113">
    <w:name w:val="纯文本 字符3"/>
    <w:autoRedefine/>
    <w:semiHidden/>
    <w:qFormat/>
    <w:uiPriority w:val="99"/>
    <w:rPr>
      <w:rFonts w:ascii="等线" w:hAnsi="Courier New" w:cs="Courier New"/>
      <w:kern w:val="0"/>
      <w:sz w:val="24"/>
      <w:szCs w:val="24"/>
    </w:rPr>
  </w:style>
  <w:style w:type="character" w:customStyle="1" w:styleId="114">
    <w:name w:val="font31"/>
    <w:autoRedefine/>
    <w:qFormat/>
    <w:uiPriority w:val="0"/>
    <w:rPr>
      <w:rFonts w:hint="eastAsia" w:ascii="宋体" w:hAnsi="宋体" w:eastAsia="宋体" w:cs="宋体"/>
      <w:color w:val="000000"/>
      <w:sz w:val="18"/>
      <w:szCs w:val="18"/>
      <w:u w:val="none"/>
    </w:rPr>
  </w:style>
  <w:style w:type="character" w:customStyle="1" w:styleId="115">
    <w:name w:val="文档结构图 Char"/>
    <w:link w:val="14"/>
    <w:autoRedefine/>
    <w:semiHidden/>
    <w:qFormat/>
    <w:uiPriority w:val="99"/>
    <w:rPr>
      <w:rFonts w:ascii="宋体" w:hAnsi="Times New Roman" w:eastAsia="宋体" w:cs="Times New Roman"/>
      <w:kern w:val="0"/>
      <w:sz w:val="24"/>
      <w:szCs w:val="24"/>
      <w:shd w:val="clear" w:color="auto" w:fill="000080"/>
    </w:rPr>
  </w:style>
  <w:style w:type="character" w:customStyle="1" w:styleId="116">
    <w:name w:val="普通(网站) 字符1"/>
    <w:autoRedefine/>
    <w:qFormat/>
    <w:locked/>
    <w:uiPriority w:val="0"/>
    <w:rPr>
      <w:rFonts w:ascii="宋体" w:hAnsi="宋体"/>
      <w:sz w:val="15"/>
      <w:szCs w:val="15"/>
    </w:rPr>
  </w:style>
  <w:style w:type="character" w:customStyle="1" w:styleId="117">
    <w:name w:val="正文文本 Char3"/>
    <w:link w:val="18"/>
    <w:autoRedefine/>
    <w:qFormat/>
    <w:uiPriority w:val="99"/>
    <w:rPr>
      <w:rFonts w:ascii="宋体" w:eastAsia="宋体"/>
      <w:b/>
      <w:bCs/>
      <w:sz w:val="84"/>
      <w:szCs w:val="84"/>
      <w:lang w:val="zh-CN"/>
    </w:rPr>
  </w:style>
  <w:style w:type="character" w:customStyle="1" w:styleId="118">
    <w:name w:val="标题 5 Char"/>
    <w:autoRedefine/>
    <w:semiHidden/>
    <w:qFormat/>
    <w:uiPriority w:val="9"/>
    <w:rPr>
      <w:b/>
      <w:bCs/>
      <w:kern w:val="2"/>
      <w:sz w:val="28"/>
      <w:szCs w:val="28"/>
    </w:rPr>
  </w:style>
  <w:style w:type="character" w:customStyle="1" w:styleId="119">
    <w:name w:val="页眉 Char2"/>
    <w:link w:val="27"/>
    <w:autoRedefine/>
    <w:qFormat/>
    <w:uiPriority w:val="99"/>
    <w:rPr>
      <w:rFonts w:ascii="宋体" w:eastAsia="宋体"/>
      <w:sz w:val="18"/>
      <w:szCs w:val="18"/>
    </w:rPr>
  </w:style>
  <w:style w:type="character" w:customStyle="1" w:styleId="120">
    <w:name w:val="表格文字 Char"/>
    <w:link w:val="121"/>
    <w:autoRedefine/>
    <w:qFormat/>
    <w:uiPriority w:val="0"/>
    <w:rPr>
      <w:rFonts w:eastAsia="仿宋_GB2312"/>
      <w:sz w:val="28"/>
      <w:szCs w:val="24"/>
    </w:rPr>
  </w:style>
  <w:style w:type="paragraph" w:customStyle="1" w:styleId="121">
    <w:name w:val="表格文字"/>
    <w:basedOn w:val="1"/>
    <w:link w:val="120"/>
    <w:autoRedefine/>
    <w:qFormat/>
    <w:uiPriority w:val="0"/>
    <w:rPr>
      <w:rFonts w:eastAsia="仿宋_GB2312"/>
      <w:sz w:val="28"/>
      <w:szCs w:val="24"/>
    </w:rPr>
  </w:style>
  <w:style w:type="character" w:customStyle="1" w:styleId="122">
    <w:name w:val="标题 字符2"/>
    <w:autoRedefine/>
    <w:qFormat/>
    <w:uiPriority w:val="10"/>
    <w:rPr>
      <w:rFonts w:ascii="等线 Light" w:hAnsi="等线 Light" w:eastAsia="等线 Light" w:cs="Times New Roman"/>
      <w:b/>
      <w:bCs/>
      <w:kern w:val="0"/>
      <w:sz w:val="32"/>
      <w:szCs w:val="32"/>
    </w:rPr>
  </w:style>
  <w:style w:type="character" w:customStyle="1" w:styleId="123">
    <w:name w:val="正文缩进2格 Char Char"/>
    <w:autoRedefine/>
    <w:qFormat/>
    <w:uiPriority w:val="0"/>
    <w:rPr>
      <w:rFonts w:ascii="仿宋_GB2312" w:hAnsi="宋体" w:eastAsia="仿宋_GB2312"/>
      <w:kern w:val="2"/>
      <w:sz w:val="31"/>
      <w:szCs w:val="28"/>
      <w:lang w:val="en-US" w:eastAsia="zh-CN" w:bidi="ar-SA"/>
    </w:rPr>
  </w:style>
  <w:style w:type="character" w:customStyle="1" w:styleId="124">
    <w:name w:val="小 Char"/>
    <w:autoRedefine/>
    <w:qFormat/>
    <w:uiPriority w:val="0"/>
    <w:rPr>
      <w:rFonts w:ascii="宋体" w:hAnsi="Courier New" w:eastAsia="宋体"/>
      <w:kern w:val="2"/>
      <w:sz w:val="21"/>
      <w:lang w:val="en-US" w:eastAsia="zh-CN" w:bidi="ar-SA"/>
    </w:rPr>
  </w:style>
  <w:style w:type="character" w:customStyle="1" w:styleId="125">
    <w:name w:val="themebody1"/>
    <w:autoRedefine/>
    <w:qFormat/>
    <w:uiPriority w:val="0"/>
    <w:rPr>
      <w:color w:val="FFFFFF"/>
    </w:rPr>
  </w:style>
  <w:style w:type="character" w:customStyle="1" w:styleId="126">
    <w:name w:val="页脚 字符1"/>
    <w:autoRedefine/>
    <w:semiHidden/>
    <w:qFormat/>
    <w:uiPriority w:val="99"/>
    <w:rPr>
      <w:rFonts w:ascii="宋体" w:hAnsi="Calibri" w:eastAsia="宋体" w:cs="Times New Roman"/>
      <w:kern w:val="0"/>
      <w:sz w:val="18"/>
      <w:szCs w:val="18"/>
    </w:rPr>
  </w:style>
  <w:style w:type="character" w:customStyle="1" w:styleId="127">
    <w:name w:val="列出段落 Char"/>
    <w:link w:val="128"/>
    <w:autoRedefine/>
    <w:qFormat/>
    <w:uiPriority w:val="34"/>
    <w:rPr>
      <w:kern w:val="2"/>
      <w:sz w:val="21"/>
      <w:szCs w:val="22"/>
    </w:rPr>
  </w:style>
  <w:style w:type="paragraph" w:styleId="128">
    <w:name w:val="List Paragraph"/>
    <w:basedOn w:val="1"/>
    <w:link w:val="127"/>
    <w:autoRedefine/>
    <w:qFormat/>
    <w:uiPriority w:val="34"/>
    <w:pPr>
      <w:ind w:firstLine="420" w:firstLineChars="200"/>
    </w:pPr>
  </w:style>
  <w:style w:type="character" w:customStyle="1" w:styleId="129">
    <w:name w:val="正文文本 Char"/>
    <w:autoRedefine/>
    <w:qFormat/>
    <w:uiPriority w:val="99"/>
    <w:rPr>
      <w:rFonts w:ascii="宋体" w:eastAsia="宋体"/>
      <w:b/>
      <w:bCs/>
      <w:sz w:val="84"/>
      <w:szCs w:val="84"/>
      <w:lang w:val="zh-CN"/>
    </w:rPr>
  </w:style>
  <w:style w:type="character" w:customStyle="1" w:styleId="130">
    <w:name w:val="页眉 字符1"/>
    <w:autoRedefine/>
    <w:semiHidden/>
    <w:qFormat/>
    <w:uiPriority w:val="99"/>
    <w:rPr>
      <w:rFonts w:ascii="宋体" w:hAnsi="Calibri" w:eastAsia="宋体" w:cs="Times New Roman"/>
      <w:kern w:val="0"/>
      <w:sz w:val="18"/>
      <w:szCs w:val="18"/>
    </w:rPr>
  </w:style>
  <w:style w:type="character" w:customStyle="1" w:styleId="131">
    <w:name w:val="标题 5 Char1"/>
    <w:link w:val="6"/>
    <w:autoRedefine/>
    <w:qFormat/>
    <w:uiPriority w:val="9"/>
    <w:rPr>
      <w:rFonts w:ascii="宋体" w:hAnsi="Calibri" w:eastAsia="宋体" w:cs="Times New Roman"/>
      <w:b/>
      <w:bCs/>
      <w:kern w:val="0"/>
      <w:sz w:val="28"/>
      <w:szCs w:val="28"/>
    </w:rPr>
  </w:style>
  <w:style w:type="character" w:customStyle="1" w:styleId="132">
    <w:name w:val="keyfeatures1"/>
    <w:autoRedefine/>
    <w:qFormat/>
    <w:uiPriority w:val="0"/>
    <w:rPr>
      <w:rFonts w:hint="default" w:ascii="Arial" w:hAnsi="Arial" w:cs="Arial"/>
      <w:color w:val="003366"/>
      <w:sz w:val="17"/>
      <w:szCs w:val="17"/>
      <w:u w:val="none"/>
    </w:rPr>
  </w:style>
  <w:style w:type="character" w:customStyle="1" w:styleId="133">
    <w:name w:val="题注 字符"/>
    <w:autoRedefine/>
    <w:qFormat/>
    <w:uiPriority w:val="0"/>
    <w:rPr>
      <w:rFonts w:ascii="宋体" w:hAnsi="宋体" w:eastAsia="黑体" w:cs="Times New Roman"/>
      <w:b/>
      <w:szCs w:val="21"/>
    </w:rPr>
  </w:style>
  <w:style w:type="character" w:customStyle="1" w:styleId="134">
    <w:name w:val="标题 4 Char"/>
    <w:autoRedefine/>
    <w:qFormat/>
    <w:uiPriority w:val="0"/>
    <w:rPr>
      <w:rFonts w:ascii="宋体" w:hAnsi="宋体" w:eastAsia="宋体"/>
      <w:b/>
      <w:kern w:val="2"/>
      <w:sz w:val="21"/>
      <w:szCs w:val="24"/>
      <w:lang w:val="en-US" w:eastAsia="zh-CN" w:bidi="ar-SA"/>
    </w:rPr>
  </w:style>
  <w:style w:type="character" w:customStyle="1" w:styleId="135">
    <w:name w:val="批注文字 字符3"/>
    <w:autoRedefine/>
    <w:semiHidden/>
    <w:qFormat/>
    <w:uiPriority w:val="99"/>
    <w:rPr>
      <w:rFonts w:ascii="宋体" w:hAnsi="Calibri" w:eastAsia="宋体" w:cs="Times New Roman"/>
      <w:kern w:val="0"/>
      <w:sz w:val="24"/>
      <w:szCs w:val="24"/>
    </w:rPr>
  </w:style>
  <w:style w:type="character" w:customStyle="1" w:styleId="136">
    <w:name w:val="纯文本 字符1"/>
    <w:autoRedefine/>
    <w:qFormat/>
    <w:uiPriority w:val="0"/>
    <w:rPr>
      <w:rFonts w:ascii="宋体" w:hAnsi="Courier New" w:eastAsia="宋体"/>
      <w:kern w:val="2"/>
      <w:sz w:val="21"/>
      <w:szCs w:val="24"/>
      <w:lang w:val="en-US" w:eastAsia="zh-CN" w:bidi="ar-SA"/>
    </w:rPr>
  </w:style>
  <w:style w:type="character" w:customStyle="1" w:styleId="137">
    <w:name w:val="列出段落 Char1"/>
    <w:autoRedefine/>
    <w:qFormat/>
    <w:uiPriority w:val="34"/>
    <w:rPr>
      <w:rFonts w:ascii="宋体"/>
      <w:sz w:val="24"/>
      <w:szCs w:val="24"/>
    </w:rPr>
  </w:style>
  <w:style w:type="character" w:customStyle="1" w:styleId="138">
    <w:name w:val="彩色列表 - 着色 1 字符"/>
    <w:link w:val="139"/>
    <w:autoRedefine/>
    <w:qFormat/>
    <w:uiPriority w:val="0"/>
    <w:rPr>
      <w:rFonts w:ascii="Calibri" w:hAnsi="Calibri"/>
    </w:rPr>
  </w:style>
  <w:style w:type="paragraph" w:customStyle="1" w:styleId="139">
    <w:name w:val="彩色列表 - 着色 11"/>
    <w:basedOn w:val="1"/>
    <w:link w:val="138"/>
    <w:autoRedefine/>
    <w:qFormat/>
    <w:uiPriority w:val="0"/>
    <w:pPr>
      <w:ind w:firstLine="420" w:firstLineChars="200"/>
    </w:pPr>
    <w:rPr>
      <w:rFonts w:ascii="Calibri" w:hAnsi="Calibri"/>
    </w:rPr>
  </w:style>
  <w:style w:type="character" w:customStyle="1" w:styleId="140">
    <w:name w:val="纯文本 Char"/>
    <w:autoRedefine/>
    <w:qFormat/>
    <w:uiPriority w:val="0"/>
    <w:rPr>
      <w:rFonts w:ascii="宋体" w:hAnsi="Courier New" w:eastAsia="宋体" w:cs="Times New Roman"/>
      <w:szCs w:val="20"/>
    </w:rPr>
  </w:style>
  <w:style w:type="character" w:customStyle="1" w:styleId="141">
    <w:name w:val="标题 6 Char"/>
    <w:link w:val="7"/>
    <w:autoRedefine/>
    <w:qFormat/>
    <w:uiPriority w:val="9"/>
    <w:rPr>
      <w:rFonts w:ascii="Times New Roman" w:hAnsi="Calibri" w:eastAsia="黑体" w:cs="Times New Roman"/>
      <w:b/>
      <w:bCs/>
      <w:kern w:val="0"/>
      <w:sz w:val="28"/>
      <w:szCs w:val="24"/>
    </w:rPr>
  </w:style>
  <w:style w:type="character" w:customStyle="1" w:styleId="142">
    <w:name w:val="正文文本 2 Char"/>
    <w:link w:val="32"/>
    <w:autoRedefine/>
    <w:qFormat/>
    <w:uiPriority w:val="0"/>
    <w:rPr>
      <w:rFonts w:ascii="Arial" w:hAnsi="Arial" w:eastAsia="宋体" w:cs="Times New Roman"/>
      <w:color w:val="000000"/>
      <w:szCs w:val="24"/>
    </w:rPr>
  </w:style>
  <w:style w:type="character" w:customStyle="1" w:styleId="143">
    <w:name w:val="标题 3 Char"/>
    <w:link w:val="4"/>
    <w:autoRedefine/>
    <w:qFormat/>
    <w:uiPriority w:val="0"/>
    <w:rPr>
      <w:rFonts w:ascii="宋体" w:hAnsi="Calibri" w:eastAsia="宋体" w:cs="Times New Roman"/>
      <w:kern w:val="0"/>
      <w:sz w:val="24"/>
      <w:szCs w:val="24"/>
    </w:rPr>
  </w:style>
  <w:style w:type="character" w:customStyle="1" w:styleId="144">
    <w:name w:val="正文文本缩进 2 字符1"/>
    <w:autoRedefine/>
    <w:semiHidden/>
    <w:qFormat/>
    <w:uiPriority w:val="99"/>
    <w:rPr>
      <w:rFonts w:ascii="宋体" w:hAnsi="Calibri" w:eastAsia="宋体" w:cs="Times New Roman"/>
      <w:kern w:val="0"/>
      <w:sz w:val="24"/>
      <w:szCs w:val="24"/>
    </w:rPr>
  </w:style>
  <w:style w:type="character" w:customStyle="1" w:styleId="145">
    <w:name w:val="正文文本缩进 3 字符1"/>
    <w:autoRedefine/>
    <w:semiHidden/>
    <w:qFormat/>
    <w:uiPriority w:val="99"/>
    <w:rPr>
      <w:rFonts w:ascii="宋体" w:hAnsi="Calibri" w:eastAsia="宋体" w:cs="Times New Roman"/>
      <w:kern w:val="0"/>
      <w:sz w:val="16"/>
      <w:szCs w:val="16"/>
    </w:rPr>
  </w:style>
  <w:style w:type="character" w:customStyle="1" w:styleId="146">
    <w:name w:val="正文文本 2 字符1"/>
    <w:autoRedefine/>
    <w:semiHidden/>
    <w:qFormat/>
    <w:uiPriority w:val="99"/>
    <w:rPr>
      <w:rFonts w:ascii="宋体" w:hAnsi="Calibri" w:eastAsia="宋体" w:cs="Times New Roman"/>
      <w:kern w:val="0"/>
      <w:sz w:val="24"/>
      <w:szCs w:val="24"/>
    </w:rPr>
  </w:style>
  <w:style w:type="character" w:customStyle="1" w:styleId="147">
    <w:name w:val="eschoolnr"/>
    <w:autoRedefine/>
    <w:qFormat/>
    <w:uiPriority w:val="0"/>
    <w:rPr>
      <w:sz w:val="23"/>
      <w:szCs w:val="23"/>
    </w:rPr>
  </w:style>
  <w:style w:type="character" w:customStyle="1" w:styleId="148">
    <w:name w:val="访问过的超链接1"/>
    <w:autoRedefine/>
    <w:qFormat/>
    <w:uiPriority w:val="0"/>
    <w:rPr>
      <w:rFonts w:ascii="Arial" w:hAnsi="Arial" w:cs="Arial"/>
      <w:color w:val="000000"/>
      <w:sz w:val="20"/>
      <w:szCs w:val="20"/>
      <w:u w:val="none"/>
    </w:rPr>
  </w:style>
  <w:style w:type="character" w:customStyle="1" w:styleId="149">
    <w:name w:val="标题 1 Char1"/>
    <w:link w:val="2"/>
    <w:autoRedefine/>
    <w:qFormat/>
    <w:uiPriority w:val="0"/>
    <w:rPr>
      <w:rFonts w:ascii="宋体" w:hAnsi="Calibri" w:eastAsia="宋体" w:cs="Times New Roman"/>
      <w:kern w:val="0"/>
      <w:sz w:val="24"/>
      <w:szCs w:val="24"/>
    </w:rPr>
  </w:style>
  <w:style w:type="character" w:customStyle="1" w:styleId="150">
    <w:name w:val="批注文字 Char1"/>
    <w:autoRedefine/>
    <w:qFormat/>
    <w:uiPriority w:val="0"/>
    <w:rPr>
      <w:kern w:val="2"/>
      <w:sz w:val="21"/>
      <w:szCs w:val="24"/>
    </w:rPr>
  </w:style>
  <w:style w:type="character" w:customStyle="1" w:styleId="151">
    <w:name w:val="批注框文本 Char"/>
    <w:autoRedefine/>
    <w:semiHidden/>
    <w:qFormat/>
    <w:uiPriority w:val="99"/>
    <w:rPr>
      <w:kern w:val="2"/>
      <w:sz w:val="18"/>
      <w:szCs w:val="18"/>
    </w:rPr>
  </w:style>
  <w:style w:type="character" w:customStyle="1" w:styleId="152">
    <w:name w:val="DAS正文 Char"/>
    <w:autoRedefine/>
    <w:qFormat/>
    <w:uiPriority w:val="0"/>
    <w:rPr>
      <w:rFonts w:ascii="Verdana" w:hAnsi="Verdana" w:eastAsia="宋体"/>
      <w:kern w:val="2"/>
      <w:sz w:val="21"/>
      <w:szCs w:val="21"/>
      <w:lang w:val="en-US" w:eastAsia="zh-CN" w:bidi="ar-SA"/>
    </w:rPr>
  </w:style>
  <w:style w:type="character" w:customStyle="1" w:styleId="153">
    <w:name w:val="正文文本缩进 3 Char"/>
    <w:link w:val="30"/>
    <w:autoRedefine/>
    <w:qFormat/>
    <w:uiPriority w:val="0"/>
    <w:rPr>
      <w:rFonts w:ascii="宋体" w:hAnsi="Times New Roman" w:eastAsia="宋体" w:cs="Times New Roman"/>
      <w:kern w:val="0"/>
      <w:sz w:val="24"/>
      <w:szCs w:val="24"/>
    </w:rPr>
  </w:style>
  <w:style w:type="character" w:customStyle="1" w:styleId="154">
    <w:name w:val="页眉 Char"/>
    <w:autoRedefine/>
    <w:qFormat/>
    <w:uiPriority w:val="99"/>
    <w:rPr>
      <w:kern w:val="2"/>
      <w:sz w:val="18"/>
      <w:szCs w:val="18"/>
    </w:rPr>
  </w:style>
  <w:style w:type="character" w:customStyle="1" w:styleId="155">
    <w:name w:val="正文文本 3 Char"/>
    <w:link w:val="17"/>
    <w:autoRedefine/>
    <w:qFormat/>
    <w:uiPriority w:val="0"/>
    <w:rPr>
      <w:rFonts w:ascii="宋体" w:hAnsi="Times New Roman" w:eastAsia="宋体" w:cs="Times New Roman"/>
      <w:b/>
      <w:bCs/>
      <w:color w:val="3366FF"/>
      <w:sz w:val="52"/>
      <w:szCs w:val="52"/>
      <w:lang w:val="zh-CN"/>
    </w:rPr>
  </w:style>
  <w:style w:type="character" w:customStyle="1" w:styleId="156">
    <w:name w:val="HTML 预设格式 字符1"/>
    <w:autoRedefine/>
    <w:semiHidden/>
    <w:qFormat/>
    <w:uiPriority w:val="99"/>
    <w:rPr>
      <w:rFonts w:ascii="Courier New" w:hAnsi="Courier New" w:eastAsia="宋体" w:cs="Courier New"/>
      <w:kern w:val="0"/>
      <w:sz w:val="20"/>
      <w:szCs w:val="20"/>
    </w:rPr>
  </w:style>
  <w:style w:type="character" w:customStyle="1" w:styleId="157">
    <w:name w:val="彩色列表 - 强调文字颜色 1 Char"/>
    <w:link w:val="158"/>
    <w:autoRedefine/>
    <w:qFormat/>
    <w:uiPriority w:val="0"/>
    <w:rPr>
      <w:rFonts w:ascii="宋体"/>
      <w:sz w:val="24"/>
      <w:szCs w:val="24"/>
    </w:rPr>
  </w:style>
  <w:style w:type="paragraph" w:customStyle="1" w:styleId="158">
    <w:name w:val="彩色列表 - 强调文字颜色 11"/>
    <w:basedOn w:val="1"/>
    <w:link w:val="157"/>
    <w:autoRedefine/>
    <w:qFormat/>
    <w:uiPriority w:val="0"/>
    <w:pPr>
      <w:autoSpaceDE w:val="0"/>
      <w:autoSpaceDN w:val="0"/>
      <w:adjustRightInd w:val="0"/>
      <w:ind w:firstLine="420" w:firstLineChars="200"/>
      <w:jc w:val="left"/>
    </w:pPr>
    <w:rPr>
      <w:rFonts w:ascii="宋体"/>
      <w:sz w:val="24"/>
      <w:szCs w:val="24"/>
    </w:rPr>
  </w:style>
  <w:style w:type="character" w:customStyle="1" w:styleId="159">
    <w:name w:val="普通(网站) 字符"/>
    <w:autoRedefine/>
    <w:qFormat/>
    <w:locked/>
    <w:uiPriority w:val="99"/>
    <w:rPr>
      <w:rFonts w:ascii="宋体" w:hAnsi="宋体" w:eastAsia="宋体" w:cs="Times New Roman"/>
      <w:kern w:val="0"/>
      <w:sz w:val="15"/>
      <w:szCs w:val="15"/>
      <w:lang w:val="en-US" w:eastAsia="zh-CN"/>
    </w:rPr>
  </w:style>
  <w:style w:type="paragraph" w:customStyle="1" w:styleId="160">
    <w:name w:val="_Style 123"/>
    <w:basedOn w:val="1"/>
    <w:next w:val="128"/>
    <w:autoRedefine/>
    <w:qFormat/>
    <w:uiPriority w:val="34"/>
    <w:pPr>
      <w:spacing w:line="360" w:lineRule="auto"/>
      <w:ind w:firstLine="420" w:firstLineChars="200"/>
    </w:pPr>
    <w:rPr>
      <w:rFonts w:ascii="Calibri" w:hAnsi="Calibri" w:eastAsia="宋体" w:cs="Times New Roman"/>
    </w:rPr>
  </w:style>
  <w:style w:type="character" w:customStyle="1" w:styleId="161">
    <w:name w:val="纯文本 字符4"/>
    <w:basedOn w:val="39"/>
    <w:autoRedefine/>
    <w:semiHidden/>
    <w:qFormat/>
    <w:uiPriority w:val="99"/>
    <w:rPr>
      <w:rFonts w:hAnsi="Courier New" w:cs="Courier New" w:asciiTheme="minorEastAsia"/>
    </w:rPr>
  </w:style>
  <w:style w:type="character" w:customStyle="1" w:styleId="162">
    <w:name w:val="批注文字 Char2"/>
    <w:basedOn w:val="39"/>
    <w:link w:val="16"/>
    <w:autoRedefine/>
    <w:semiHidden/>
    <w:qFormat/>
    <w:uiPriority w:val="99"/>
  </w:style>
  <w:style w:type="character" w:customStyle="1" w:styleId="163">
    <w:name w:val="批注主题 字符2"/>
    <w:basedOn w:val="162"/>
    <w:autoRedefine/>
    <w:semiHidden/>
    <w:qFormat/>
    <w:uiPriority w:val="99"/>
    <w:rPr>
      <w:b/>
      <w:bCs/>
    </w:rPr>
  </w:style>
  <w:style w:type="character" w:customStyle="1" w:styleId="164">
    <w:name w:val="标题 字符3"/>
    <w:basedOn w:val="39"/>
    <w:autoRedefine/>
    <w:qFormat/>
    <w:uiPriority w:val="10"/>
    <w:rPr>
      <w:rFonts w:asciiTheme="majorHAnsi" w:hAnsiTheme="majorHAnsi" w:eastAsiaTheme="majorEastAsia" w:cstheme="majorBidi"/>
      <w:b/>
      <w:bCs/>
      <w:sz w:val="32"/>
      <w:szCs w:val="32"/>
    </w:rPr>
  </w:style>
  <w:style w:type="character" w:customStyle="1" w:styleId="165">
    <w:name w:val="正文文本缩进 字符3"/>
    <w:basedOn w:val="39"/>
    <w:autoRedefine/>
    <w:semiHidden/>
    <w:qFormat/>
    <w:uiPriority w:val="99"/>
  </w:style>
  <w:style w:type="character" w:customStyle="1" w:styleId="166">
    <w:name w:val="正文文本 字符4"/>
    <w:basedOn w:val="39"/>
    <w:autoRedefine/>
    <w:semiHidden/>
    <w:qFormat/>
    <w:uiPriority w:val="99"/>
  </w:style>
  <w:style w:type="character" w:customStyle="1" w:styleId="167">
    <w:name w:val="正文文本缩进 3 字符2"/>
    <w:basedOn w:val="39"/>
    <w:autoRedefine/>
    <w:semiHidden/>
    <w:qFormat/>
    <w:uiPriority w:val="99"/>
    <w:rPr>
      <w:sz w:val="16"/>
      <w:szCs w:val="16"/>
    </w:rPr>
  </w:style>
  <w:style w:type="character" w:customStyle="1" w:styleId="168">
    <w:name w:val="页眉 字符2"/>
    <w:basedOn w:val="39"/>
    <w:autoRedefine/>
    <w:semiHidden/>
    <w:qFormat/>
    <w:uiPriority w:val="99"/>
    <w:rPr>
      <w:sz w:val="18"/>
      <w:szCs w:val="18"/>
    </w:rPr>
  </w:style>
  <w:style w:type="character" w:customStyle="1" w:styleId="169">
    <w:name w:val="批注框文本 字符2"/>
    <w:basedOn w:val="39"/>
    <w:autoRedefine/>
    <w:semiHidden/>
    <w:qFormat/>
    <w:uiPriority w:val="99"/>
    <w:rPr>
      <w:sz w:val="18"/>
      <w:szCs w:val="18"/>
    </w:rPr>
  </w:style>
  <w:style w:type="character" w:customStyle="1" w:styleId="170">
    <w:name w:val="HTML 预设格式 字符2"/>
    <w:basedOn w:val="39"/>
    <w:autoRedefine/>
    <w:semiHidden/>
    <w:qFormat/>
    <w:uiPriority w:val="99"/>
    <w:rPr>
      <w:rFonts w:ascii="Courier New" w:hAnsi="Courier New" w:cs="Courier New"/>
      <w:sz w:val="20"/>
      <w:szCs w:val="20"/>
    </w:rPr>
  </w:style>
  <w:style w:type="character" w:customStyle="1" w:styleId="171">
    <w:name w:val="页脚 字符2"/>
    <w:basedOn w:val="39"/>
    <w:autoRedefine/>
    <w:semiHidden/>
    <w:qFormat/>
    <w:uiPriority w:val="99"/>
    <w:rPr>
      <w:sz w:val="18"/>
      <w:szCs w:val="18"/>
    </w:rPr>
  </w:style>
  <w:style w:type="character" w:customStyle="1" w:styleId="172">
    <w:name w:val="正文文本缩进 2 字符2"/>
    <w:basedOn w:val="39"/>
    <w:autoRedefine/>
    <w:semiHidden/>
    <w:qFormat/>
    <w:uiPriority w:val="99"/>
  </w:style>
  <w:style w:type="character" w:customStyle="1" w:styleId="173">
    <w:name w:val="正文文本 3 字符2"/>
    <w:basedOn w:val="39"/>
    <w:autoRedefine/>
    <w:semiHidden/>
    <w:qFormat/>
    <w:uiPriority w:val="99"/>
    <w:rPr>
      <w:sz w:val="16"/>
      <w:szCs w:val="16"/>
    </w:rPr>
  </w:style>
  <w:style w:type="character" w:customStyle="1" w:styleId="174">
    <w:name w:val="正文文本 2 字符2"/>
    <w:basedOn w:val="39"/>
    <w:autoRedefine/>
    <w:semiHidden/>
    <w:qFormat/>
    <w:uiPriority w:val="99"/>
  </w:style>
  <w:style w:type="paragraph" w:customStyle="1" w:styleId="175">
    <w:name w:val="WPSOffice手动目录 3"/>
    <w:autoRedefine/>
    <w:qFormat/>
    <w:uiPriority w:val="0"/>
    <w:pPr>
      <w:ind w:left="400" w:leftChars="400"/>
    </w:pPr>
    <w:rPr>
      <w:rFonts w:ascii="Calibri" w:hAnsi="Calibri" w:eastAsia="宋体" w:cs="Times New Roman"/>
      <w:lang w:val="en-US" w:eastAsia="zh-CN" w:bidi="ar-SA"/>
    </w:rPr>
  </w:style>
  <w:style w:type="paragraph" w:customStyle="1" w:styleId="176">
    <w:name w:val="列表段落1"/>
    <w:basedOn w:val="1"/>
    <w:autoRedefine/>
    <w:qFormat/>
    <w:uiPriority w:val="0"/>
    <w:pPr>
      <w:ind w:firstLine="420" w:firstLineChars="200"/>
    </w:pPr>
    <w:rPr>
      <w:rFonts w:ascii="Times New Roman" w:hAnsi="Times New Roman" w:eastAsia="宋体" w:cs="Times New Roman"/>
      <w:szCs w:val="20"/>
    </w:rPr>
  </w:style>
  <w:style w:type="character" w:customStyle="1" w:styleId="177">
    <w:name w:val="文档结构图 字符2"/>
    <w:basedOn w:val="39"/>
    <w:autoRedefine/>
    <w:semiHidden/>
    <w:qFormat/>
    <w:uiPriority w:val="99"/>
    <w:rPr>
      <w:rFonts w:ascii="Microsoft YaHei UI" w:eastAsia="Microsoft YaHei UI"/>
      <w:sz w:val="18"/>
      <w:szCs w:val="18"/>
    </w:rPr>
  </w:style>
  <w:style w:type="character" w:customStyle="1" w:styleId="178">
    <w:name w:val="日期 字符2"/>
    <w:basedOn w:val="39"/>
    <w:autoRedefine/>
    <w:semiHidden/>
    <w:qFormat/>
    <w:uiPriority w:val="99"/>
  </w:style>
  <w:style w:type="paragraph" w:customStyle="1" w:styleId="179">
    <w:name w:val="彩色底纹 - 强调文字颜色 11"/>
    <w:autoRedefine/>
    <w:semiHidden/>
    <w:qFormat/>
    <w:uiPriority w:val="99"/>
    <w:rPr>
      <w:rFonts w:ascii="宋体" w:hAnsi="Calibri" w:eastAsia="宋体" w:cs="Times New Roman"/>
      <w:sz w:val="24"/>
      <w:szCs w:val="24"/>
      <w:lang w:val="en-US" w:eastAsia="zh-CN" w:bidi="ar-SA"/>
    </w:rPr>
  </w:style>
  <w:style w:type="paragraph" w:customStyle="1" w:styleId="180">
    <w:name w:val="d"/>
    <w:basedOn w:val="1"/>
    <w:autoRedefine/>
    <w:qFormat/>
    <w:uiPriority w:val="0"/>
    <w:pPr>
      <w:overflowPunct w:val="0"/>
      <w:autoSpaceDE w:val="0"/>
      <w:autoSpaceDN w:val="0"/>
      <w:adjustRightInd w:val="0"/>
      <w:snapToGrid w:val="0"/>
      <w:spacing w:line="360" w:lineRule="auto"/>
      <w:ind w:firstLine="480" w:firstLineChars="200"/>
    </w:pPr>
    <w:rPr>
      <w:rFonts w:ascii="宋体" w:hAnsi="宋体" w:eastAsia="宋体" w:cs="Arial"/>
      <w:snapToGrid w:val="0"/>
      <w:kern w:val="0"/>
      <w:sz w:val="24"/>
      <w:szCs w:val="21"/>
    </w:rPr>
  </w:style>
  <w:style w:type="paragraph" w:customStyle="1" w:styleId="181">
    <w:name w:val="修订1"/>
    <w:autoRedefine/>
    <w:semiHidden/>
    <w:qFormat/>
    <w:uiPriority w:val="99"/>
    <w:rPr>
      <w:rFonts w:ascii="宋体" w:hAnsi="Calibri" w:eastAsia="宋体" w:cs="Times New Roman"/>
      <w:sz w:val="24"/>
      <w:szCs w:val="24"/>
      <w:lang w:val="en-US" w:eastAsia="zh-CN" w:bidi="ar-SA"/>
    </w:rPr>
  </w:style>
  <w:style w:type="paragraph" w:customStyle="1" w:styleId="182">
    <w:name w:val="图/图注"/>
    <w:basedOn w:val="8"/>
    <w:autoRedefine/>
    <w:qFormat/>
    <w:uiPriority w:val="0"/>
    <w:pPr>
      <w:wordWrap/>
      <w:autoSpaceDE/>
      <w:autoSpaceDN/>
      <w:adjustRightInd/>
      <w:spacing w:before="50"/>
      <w:ind w:firstLine="0" w:firstLineChars="0"/>
      <w:jc w:val="center"/>
    </w:pPr>
    <w:rPr>
      <w:rFonts w:ascii="Times New Roman" w:eastAsia="黑体"/>
      <w:b/>
      <w:sz w:val="21"/>
      <w:szCs w:val="22"/>
    </w:rPr>
  </w:style>
  <w:style w:type="paragraph" w:customStyle="1" w:styleId="183">
    <w:name w:val="Default"/>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84">
    <w:name w:val="A."/>
    <w:basedOn w:val="1"/>
    <w:autoRedefine/>
    <w:qFormat/>
    <w:uiPriority w:val="0"/>
    <w:pPr>
      <w:widowControl/>
      <w:tabs>
        <w:tab w:val="left" w:pos="859"/>
        <w:tab w:val="left" w:pos="1200"/>
      </w:tabs>
      <w:spacing w:before="240" w:line="240" w:lineRule="atLeast"/>
      <w:ind w:left="859" w:hanging="453"/>
    </w:pPr>
    <w:rPr>
      <w:rFonts w:ascii="Times New Roman" w:hAnsi="Times New Roman" w:eastAsia="宋体" w:cs="Times New Roman"/>
      <w:sz w:val="24"/>
      <w:szCs w:val="24"/>
    </w:rPr>
  </w:style>
  <w:style w:type="paragraph" w:customStyle="1" w:styleId="185">
    <w:name w:val="Pa8"/>
    <w:basedOn w:val="1"/>
    <w:next w:val="1"/>
    <w:autoRedefine/>
    <w:qFormat/>
    <w:uiPriority w:val="99"/>
    <w:pPr>
      <w:autoSpaceDE w:val="0"/>
      <w:autoSpaceDN w:val="0"/>
      <w:adjustRightInd w:val="0"/>
      <w:spacing w:line="181" w:lineRule="atLeast"/>
      <w:jc w:val="left"/>
    </w:pPr>
    <w:rPr>
      <w:rFonts w:ascii="FrutigerNext LT Light" w:hAnsi="Calibri" w:eastAsia="FrutigerNext LT Light" w:cs="Times New Roman"/>
      <w:kern w:val="0"/>
      <w:sz w:val="24"/>
      <w:szCs w:val="24"/>
    </w:rPr>
  </w:style>
  <w:style w:type="paragraph" w:customStyle="1" w:styleId="186">
    <w:name w:val="p0"/>
    <w:basedOn w:val="1"/>
    <w:autoRedefine/>
    <w:qFormat/>
    <w:uiPriority w:val="0"/>
    <w:pPr>
      <w:widowControl/>
    </w:pPr>
    <w:rPr>
      <w:rFonts w:ascii="Times New Roman" w:hAnsi="Calibri" w:eastAsia="宋体" w:cs="Times New Roman"/>
      <w:kern w:val="0"/>
      <w:szCs w:val="20"/>
    </w:rPr>
  </w:style>
  <w:style w:type="paragraph" w:customStyle="1" w:styleId="187">
    <w:name w:val="Char Char Char Char Char Char"/>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188">
    <w:name w:val="Char"/>
    <w:basedOn w:val="1"/>
    <w:autoRedefine/>
    <w:qFormat/>
    <w:uiPriority w:val="0"/>
    <w:pPr>
      <w:widowControl/>
      <w:spacing w:after="160" w:line="240" w:lineRule="exact"/>
      <w:jc w:val="center"/>
    </w:pPr>
    <w:rPr>
      <w:rFonts w:ascii="Times New Roman" w:hAnsi="Times New Roman" w:eastAsia="宋体" w:cs="Times New Roman"/>
      <w:szCs w:val="24"/>
    </w:rPr>
  </w:style>
  <w:style w:type="paragraph" w:customStyle="1" w:styleId="189">
    <w:name w:val="网格表 32"/>
    <w:basedOn w:val="2"/>
    <w:next w:val="1"/>
    <w:autoRedefine/>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90">
    <w:name w:val="WPSOffice手动目录 1"/>
    <w:autoRedefine/>
    <w:qFormat/>
    <w:uiPriority w:val="0"/>
    <w:rPr>
      <w:rFonts w:ascii="Calibri" w:hAnsi="Calibri" w:eastAsia="宋体" w:cs="Times New Roman"/>
      <w:lang w:val="en-US" w:eastAsia="zh-CN" w:bidi="ar-SA"/>
    </w:rPr>
  </w:style>
  <w:style w:type="paragraph" w:customStyle="1" w:styleId="191">
    <w:name w:val="_Style 69"/>
    <w:basedOn w:val="1"/>
    <w:next w:val="128"/>
    <w:autoRedefine/>
    <w:qFormat/>
    <w:uiPriority w:val="34"/>
    <w:pPr>
      <w:spacing w:line="360" w:lineRule="auto"/>
      <w:ind w:firstLine="420" w:firstLineChars="200"/>
    </w:pPr>
    <w:rPr>
      <w:rFonts w:ascii="Calibri" w:hAnsi="Calibri" w:eastAsia="宋体" w:cs="Times New Roman"/>
    </w:rPr>
  </w:style>
  <w:style w:type="paragraph" w:customStyle="1" w:styleId="192">
    <w:name w:val="中等深浅网格 21"/>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193">
    <w:name w:val="保留正文"/>
    <w:basedOn w:val="18"/>
    <w:autoRedefine/>
    <w:qFormat/>
    <w:uiPriority w:val="0"/>
    <w:pPr>
      <w:keepNext/>
      <w:autoSpaceDE/>
      <w:autoSpaceDN/>
      <w:adjustRightInd/>
      <w:spacing w:after="160"/>
      <w:ind w:right="0"/>
      <w:jc w:val="both"/>
    </w:pPr>
    <w:rPr>
      <w:rFonts w:ascii="Times New Roman"/>
      <w:b w:val="0"/>
      <w:bCs w:val="0"/>
      <w:sz w:val="21"/>
      <w:szCs w:val="24"/>
      <w:lang w:val="en-US"/>
    </w:rPr>
  </w:style>
  <w:style w:type="paragraph" w:customStyle="1" w:styleId="194">
    <w:name w:val="彩色底纹 - 着色 11"/>
    <w:autoRedefine/>
    <w:semiHidden/>
    <w:qFormat/>
    <w:uiPriority w:val="99"/>
    <w:rPr>
      <w:rFonts w:ascii="宋体" w:hAnsi="Calibri" w:eastAsia="宋体" w:cs="Times New Roman"/>
      <w:sz w:val="24"/>
      <w:szCs w:val="24"/>
      <w:lang w:val="en-US" w:eastAsia="zh-CN" w:bidi="ar-SA"/>
    </w:rPr>
  </w:style>
  <w:style w:type="paragraph" w:customStyle="1" w:styleId="195">
    <w:name w:val="WPSOffice手动目录 2"/>
    <w:autoRedefine/>
    <w:qFormat/>
    <w:uiPriority w:val="0"/>
    <w:pPr>
      <w:ind w:left="200" w:leftChars="200"/>
    </w:pPr>
    <w:rPr>
      <w:rFonts w:ascii="Calibri" w:hAnsi="Calibri" w:eastAsia="宋体" w:cs="Times New Roman"/>
      <w:lang w:val="en-US" w:eastAsia="zh-CN" w:bidi="ar-SA"/>
    </w:rPr>
  </w:style>
  <w:style w:type="paragraph" w:customStyle="1" w:styleId="196">
    <w:name w:val="网格表 31"/>
    <w:basedOn w:val="2"/>
    <w:next w:val="1"/>
    <w:autoRedefine/>
    <w:unhideWhenUsed/>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97">
    <w:name w:val="表格文字居中"/>
    <w:basedOn w:val="121"/>
    <w:autoRedefine/>
    <w:qFormat/>
    <w:uiPriority w:val="0"/>
    <w:pPr>
      <w:jc w:val="center"/>
    </w:pPr>
    <w:rPr>
      <w:rFonts w:cs="宋体"/>
      <w:szCs w:val="20"/>
    </w:rPr>
  </w:style>
  <w:style w:type="paragraph" w:customStyle="1" w:styleId="198">
    <w:name w:val="正文缩进4格"/>
    <w:basedOn w:val="62"/>
    <w:autoRedefine/>
    <w:qFormat/>
    <w:uiPriority w:val="0"/>
    <w:pPr>
      <w:spacing w:line="360" w:lineRule="auto"/>
      <w:ind w:left="964" w:leftChars="314" w:hanging="210" w:hangingChars="100"/>
    </w:pPr>
    <w:rPr>
      <w:rFonts w:ascii="宋体" w:eastAsia="宋体"/>
      <w:sz w:val="21"/>
      <w:szCs w:val="21"/>
      <w:lang w:val="zh-CN"/>
    </w:rPr>
  </w:style>
  <w:style w:type="paragraph" w:customStyle="1" w:styleId="199">
    <w:name w:val="版本说明标题"/>
    <w:basedOn w:val="1"/>
    <w:autoRedefine/>
    <w:qFormat/>
    <w:uiPriority w:val="0"/>
    <w:pPr>
      <w:adjustRightInd w:val="0"/>
      <w:snapToGrid w:val="0"/>
      <w:spacing w:beforeLines="50" w:afterLines="50"/>
      <w:ind w:firstLine="560"/>
      <w:jc w:val="center"/>
      <w:textAlignment w:val="baseline"/>
    </w:pPr>
    <w:rPr>
      <w:rFonts w:ascii="Times New Roman" w:hAnsi="Calibri" w:eastAsia="仿宋_GB2312" w:cs="Times New Roman"/>
      <w:b/>
      <w:color w:val="000000"/>
      <w:sz w:val="28"/>
      <w:szCs w:val="28"/>
    </w:rPr>
  </w:style>
  <w:style w:type="character" w:customStyle="1" w:styleId="200">
    <w:name w:val="正文首行缩进 Char"/>
    <w:basedOn w:val="117"/>
    <w:link w:val="19"/>
    <w:autoRedefine/>
    <w:semiHidden/>
    <w:qFormat/>
    <w:uiPriority w:val="99"/>
    <w:rPr>
      <w:rFonts w:ascii="宋体" w:eastAsia="宋体"/>
      <w:b w:val="0"/>
      <w:bCs w:val="0"/>
      <w:sz w:val="84"/>
      <w:szCs w:val="84"/>
      <w:lang w:val="zh-CN"/>
    </w:rPr>
  </w:style>
  <w:style w:type="paragraph" w:customStyle="1" w:styleId="201">
    <w:name w:val="修订2"/>
    <w:autoRedefine/>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102</Pages>
  <Words>21143</Words>
  <Characters>22245</Characters>
  <Lines>1</Lines>
  <Paragraphs>1</Paragraphs>
  <TotalTime>9</TotalTime>
  <ScaleCrop>false</ScaleCrop>
  <LinksUpToDate>false</LinksUpToDate>
  <CharactersWithSpaces>22655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2023-07-19T02:55:00Z</dcterms:created>
  <dc:creator>HS</dc:creator>
  <cp:lastModifiedBy>WPS_1528900434</cp:lastModifiedBy>
  <dcterms:modified xsi:type="dcterms:W3CDTF">2025-04-08T08:29:56Z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D00F8FEAE6694A86A49EFB9682119DDC_13</vt:lpwstr>
  </property>
  <property fmtid="{D5CDD505-2E9C-101B-9397-08002B2CF9AE}" pid="4" name="KSOTemplateDocerSaveRecord">
    <vt:lpwstr>eyJoZGlkIjoiOGY5ODE3YmQ4YWE2MTA3ODk4MTRlMWQ3NmVkMTlhZjkiLCJ1c2VySWQiOiIzNzgyNDAxOTUifQ==</vt:lpwstr>
  </property>
</Properties>
</file>