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FB44F">
      <w:pPr>
        <w:autoSpaceDE w:val="0"/>
        <w:autoSpaceDN w:val="0"/>
        <w:adjustRightInd w:val="0"/>
        <w:spacing w:line="276" w:lineRule="auto"/>
        <w:ind w:left="357" w:leftChars="170" w:right="-23" w:rightChars="-11"/>
        <w:jc w:val="center"/>
        <w:rPr>
          <w:rFonts w:ascii="宋体" w:hAnsi="宋体" w:eastAsia="宋体" w:cs="宋体"/>
          <w:b/>
          <w:bCs/>
          <w:color w:val="auto"/>
          <w:kern w:val="0"/>
          <w:sz w:val="52"/>
          <w:szCs w:val="52"/>
          <w:highlight w:val="none"/>
          <w:lang w:val="zh-CN"/>
        </w:rPr>
      </w:pPr>
    </w:p>
    <w:p w14:paraId="1CDB3F5B">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highlight w:val="none"/>
          <w:lang w:val="zh-CN"/>
        </w:rPr>
      </w:pPr>
      <w:r>
        <w:rPr>
          <w:rFonts w:hint="eastAsia" w:ascii="宋体" w:hAnsi="宋体" w:eastAsia="宋体" w:cs="宋体"/>
          <w:b/>
          <w:bCs/>
          <w:color w:val="auto"/>
          <w:kern w:val="0"/>
          <w:sz w:val="60"/>
          <w:szCs w:val="60"/>
          <w:highlight w:val="none"/>
          <w:lang w:val="zh-CN"/>
        </w:rPr>
        <w:t>珠三角水资源配置工程东莞配套芦花坑水厂一期配水管线工程-B标段第三方检测服务采购项目</w:t>
      </w:r>
    </w:p>
    <w:p w14:paraId="3E86B076">
      <w:pPr>
        <w:autoSpaceDE w:val="0"/>
        <w:autoSpaceDN w:val="0"/>
        <w:adjustRightInd w:val="0"/>
        <w:ind w:right="-23" w:rightChars="-11"/>
        <w:jc w:val="left"/>
        <w:rPr>
          <w:rFonts w:ascii="宋体" w:hAnsi="宋体" w:eastAsia="宋体" w:cs="宋体"/>
          <w:b/>
          <w:bCs/>
          <w:color w:val="auto"/>
          <w:sz w:val="44"/>
          <w:szCs w:val="44"/>
          <w:highlight w:val="none"/>
          <w:lang w:val="zh-CN"/>
        </w:rPr>
      </w:pPr>
    </w:p>
    <w:p w14:paraId="46E2A030">
      <w:pPr>
        <w:autoSpaceDE w:val="0"/>
        <w:autoSpaceDN w:val="0"/>
        <w:adjustRightInd w:val="0"/>
        <w:ind w:right="-23" w:rightChars="-11"/>
        <w:jc w:val="center"/>
        <w:rPr>
          <w:rFonts w:ascii="宋体" w:hAnsi="宋体" w:eastAsia="宋体" w:cs="Times New Roman"/>
          <w:b/>
          <w:bCs/>
          <w:color w:val="auto"/>
          <w:sz w:val="72"/>
          <w:szCs w:val="72"/>
          <w:highlight w:val="none"/>
          <w:lang w:val="zh-CN"/>
        </w:rPr>
      </w:pPr>
    </w:p>
    <w:p w14:paraId="01E82D66">
      <w:pPr>
        <w:autoSpaceDE w:val="0"/>
        <w:autoSpaceDN w:val="0"/>
        <w:adjustRightInd w:val="0"/>
        <w:ind w:right="-23" w:rightChars="-11"/>
        <w:jc w:val="center"/>
        <w:rPr>
          <w:rFonts w:ascii="宋体" w:hAnsi="宋体" w:eastAsia="宋体" w:cs="Times New Roman"/>
          <w:b/>
          <w:bCs/>
          <w:color w:val="auto"/>
          <w:sz w:val="72"/>
          <w:szCs w:val="72"/>
          <w:highlight w:val="none"/>
          <w:lang w:val="zh-CN"/>
        </w:rPr>
      </w:pPr>
      <w:r>
        <w:rPr>
          <w:rFonts w:hint="eastAsia" w:ascii="宋体" w:hAnsi="宋体" w:eastAsia="宋体" w:cs="Times New Roman"/>
          <w:b/>
          <w:bCs/>
          <w:color w:val="auto"/>
          <w:sz w:val="72"/>
          <w:szCs w:val="72"/>
          <w:highlight w:val="none"/>
          <w:lang w:val="zh-CN"/>
        </w:rPr>
        <w:t>招</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文</w:t>
      </w:r>
      <w:r>
        <w:rPr>
          <w:rFonts w:hint="eastAsia" w:ascii="宋体" w:hAnsi="宋体" w:eastAsia="宋体" w:cs="Times New Roman"/>
          <w:b/>
          <w:bCs/>
          <w:color w:val="auto"/>
          <w:sz w:val="72"/>
          <w:szCs w:val="72"/>
          <w:highlight w:val="none"/>
        </w:rPr>
        <w:t xml:space="preserve"> </w:t>
      </w:r>
      <w:r>
        <w:rPr>
          <w:rFonts w:hint="eastAsia" w:ascii="宋体" w:hAnsi="宋体" w:eastAsia="宋体" w:cs="Times New Roman"/>
          <w:b/>
          <w:bCs/>
          <w:color w:val="auto"/>
          <w:sz w:val="72"/>
          <w:szCs w:val="72"/>
          <w:highlight w:val="none"/>
          <w:lang w:val="zh-CN"/>
        </w:rPr>
        <w:t>件</w:t>
      </w:r>
    </w:p>
    <w:p w14:paraId="71A9DF8E">
      <w:pPr>
        <w:autoSpaceDE w:val="0"/>
        <w:autoSpaceDN w:val="0"/>
        <w:adjustRightInd w:val="0"/>
        <w:ind w:right="-23" w:rightChars="-11"/>
        <w:jc w:val="center"/>
        <w:rPr>
          <w:rFonts w:ascii="宋体" w:hAnsi="宋体" w:eastAsia="宋体" w:cs="宋体"/>
          <w:b/>
          <w:bCs/>
          <w:color w:val="auto"/>
          <w:sz w:val="32"/>
          <w:szCs w:val="32"/>
          <w:highlight w:val="none"/>
          <w:lang w:val="zh-CN"/>
        </w:rPr>
      </w:pPr>
    </w:p>
    <w:p w14:paraId="17242271">
      <w:pPr>
        <w:autoSpaceDE w:val="0"/>
        <w:autoSpaceDN w:val="0"/>
        <w:adjustRightInd w:val="0"/>
        <w:ind w:right="-23" w:rightChars="-11"/>
        <w:jc w:val="center"/>
        <w:rPr>
          <w:rFonts w:ascii="宋体" w:hAnsi="宋体" w:eastAsia="宋体" w:cs="宋体"/>
          <w:b/>
          <w:bCs/>
          <w:color w:val="auto"/>
          <w:sz w:val="44"/>
          <w:szCs w:val="44"/>
          <w:highlight w:val="none"/>
          <w:lang w:val="zh-CN"/>
        </w:rPr>
      </w:pPr>
    </w:p>
    <w:p w14:paraId="79FEE387">
      <w:pPr>
        <w:autoSpaceDE w:val="0"/>
        <w:autoSpaceDN w:val="0"/>
        <w:adjustRightInd w:val="0"/>
        <w:ind w:right="-23" w:rightChars="-11"/>
        <w:jc w:val="left"/>
        <w:rPr>
          <w:rFonts w:ascii="宋体" w:hAnsi="宋体" w:eastAsia="宋体" w:cs="宋体"/>
          <w:b/>
          <w:bCs/>
          <w:color w:val="auto"/>
          <w:sz w:val="32"/>
          <w:szCs w:val="32"/>
          <w:highlight w:val="none"/>
          <w:u w:val="single"/>
          <w:lang w:val="zh-CN"/>
        </w:rPr>
      </w:pPr>
    </w:p>
    <w:p w14:paraId="62451B8A">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highlight w:val="none"/>
          <w:lang w:val="zh-CN"/>
        </w:rPr>
      </w:pPr>
    </w:p>
    <w:p w14:paraId="0FF29575">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编</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号：DGDS2025-002</w:t>
      </w:r>
    </w:p>
    <w:p w14:paraId="4AF18CBE">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标</w:t>
      </w:r>
      <w:r>
        <w:rPr>
          <w:rFonts w:hint="eastAsia" w:ascii="宋体" w:hAnsi="宋体" w:eastAsia="宋体" w:cs="Times New Roman"/>
          <w:b/>
          <w:bCs/>
          <w:color w:val="auto"/>
          <w:sz w:val="32"/>
          <w:szCs w:val="32"/>
          <w:highlight w:val="none"/>
        </w:rPr>
        <w:t xml:space="preserve"> </w:t>
      </w:r>
      <w:r>
        <w:rPr>
          <w:rFonts w:hint="eastAsia" w:ascii="宋体" w:hAnsi="宋体" w:eastAsia="宋体" w:cs="Times New Roman"/>
          <w:b/>
          <w:bCs/>
          <w:color w:val="auto"/>
          <w:sz w:val="32"/>
          <w:szCs w:val="32"/>
          <w:highlight w:val="none"/>
          <w:lang w:val="zh-CN"/>
        </w:rPr>
        <w:t>人：东莞市水务集团建设管理有限公司</w:t>
      </w:r>
    </w:p>
    <w:p w14:paraId="484B558B">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highlight w:val="none"/>
          <w:lang w:val="zh-CN"/>
        </w:rPr>
      </w:pPr>
      <w:r>
        <w:rPr>
          <w:rFonts w:hint="eastAsia" w:ascii="宋体" w:hAnsi="宋体" w:eastAsia="宋体" w:cs="Times New Roman"/>
          <w:b/>
          <w:bCs/>
          <w:color w:val="auto"/>
          <w:sz w:val="32"/>
          <w:szCs w:val="32"/>
          <w:highlight w:val="none"/>
          <w:lang w:val="zh-CN"/>
        </w:rPr>
        <w:t>招标代理机构：东莞市达盛招标代理有限公司</w:t>
      </w:r>
    </w:p>
    <w:p w14:paraId="738B2828">
      <w:pPr>
        <w:autoSpaceDE w:val="0"/>
        <w:autoSpaceDN w:val="0"/>
        <w:adjustRightInd w:val="0"/>
        <w:ind w:right="-23" w:rightChars="-11"/>
        <w:jc w:val="left"/>
        <w:rPr>
          <w:rFonts w:ascii="宋体" w:hAnsi="宋体" w:eastAsia="宋体" w:cs="Times New Roman"/>
          <w:b/>
          <w:bCs/>
          <w:color w:val="auto"/>
          <w:kern w:val="0"/>
          <w:sz w:val="32"/>
          <w:szCs w:val="32"/>
          <w:highlight w:val="none"/>
          <w:lang w:val="zh-CN"/>
        </w:rPr>
      </w:pPr>
    </w:p>
    <w:p w14:paraId="0E88D4C9">
      <w:pPr>
        <w:autoSpaceDE w:val="0"/>
        <w:autoSpaceDN w:val="0"/>
        <w:adjustRightInd w:val="0"/>
        <w:ind w:right="-23" w:rightChars="-11"/>
        <w:jc w:val="center"/>
        <w:rPr>
          <w:rFonts w:ascii="宋体" w:hAnsi="宋体" w:eastAsia="宋体" w:cs="Times New Roman"/>
          <w:b/>
          <w:bCs/>
          <w:color w:val="auto"/>
          <w:kern w:val="0"/>
          <w:sz w:val="84"/>
          <w:szCs w:val="84"/>
          <w:highlight w:val="none"/>
          <w:lang w:val="zh-CN"/>
        </w:rPr>
      </w:pPr>
      <w:bookmarkStart w:id="940" w:name="_GoBack"/>
    </w:p>
    <w:p w14:paraId="3B1E6591">
      <w:pPr>
        <w:autoSpaceDE w:val="0"/>
        <w:autoSpaceDN w:val="0"/>
        <w:adjustRightInd w:val="0"/>
        <w:spacing w:line="360" w:lineRule="auto"/>
        <w:ind w:right="-23" w:rightChars="-11"/>
        <w:jc w:val="center"/>
        <w:rPr>
          <w:rFonts w:ascii="宋体" w:hAnsi="宋体" w:eastAsia="宋体" w:cs="宋体"/>
          <w:b/>
          <w:bCs/>
          <w:color w:val="auto"/>
          <w:kern w:val="0"/>
          <w:sz w:val="52"/>
          <w:szCs w:val="52"/>
          <w:highlight w:val="none"/>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 xml:space="preserve"> 4 </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 xml:space="preserve"> 2 </w:t>
      </w:r>
      <w:r>
        <w:rPr>
          <w:rFonts w:hint="eastAsia" w:ascii="宋体" w:hAnsi="宋体" w:eastAsia="宋体" w:cs="宋体"/>
          <w:b/>
          <w:bCs/>
          <w:color w:val="auto"/>
          <w:sz w:val="32"/>
          <w:szCs w:val="32"/>
          <w:highlight w:val="none"/>
          <w:lang w:val="zh-CN"/>
        </w:rPr>
        <w:t>日</w:t>
      </w:r>
    </w:p>
    <w:bookmarkEnd w:id="940"/>
    <w:p w14:paraId="1B544B2A">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Cs w:val="21"/>
          <w:highlight w:val="none"/>
        </w:rPr>
      </w:pPr>
      <w:bookmarkStart w:id="0" w:name="_Toc29891_WPSOffice_Type3"/>
      <w:r>
        <w:rPr>
          <w:rFonts w:ascii="宋体" w:hAnsi="宋体" w:eastAsia="宋体" w:cs="Times New Roman"/>
          <w:b/>
          <w:color w:val="auto"/>
          <w:kern w:val="0"/>
          <w:szCs w:val="21"/>
          <w:highlight w:val="none"/>
        </w:rPr>
        <w:br w:type="page"/>
      </w:r>
      <w:r>
        <w:rPr>
          <w:rFonts w:ascii="宋体" w:hAnsi="宋体" w:eastAsia="宋体" w:cs="Times New Roman"/>
          <w:b/>
          <w:color w:val="auto"/>
          <w:kern w:val="0"/>
          <w:sz w:val="24"/>
          <w:szCs w:val="24"/>
          <w:highlight w:val="none"/>
        </w:rPr>
        <w:t>目</w:t>
      </w:r>
      <w:r>
        <w:rPr>
          <w:rFonts w:hint="eastAsia" w:ascii="宋体" w:hAnsi="宋体" w:eastAsia="宋体" w:cs="Times New Roman"/>
          <w:b/>
          <w:color w:val="auto"/>
          <w:kern w:val="0"/>
          <w:sz w:val="24"/>
          <w:szCs w:val="24"/>
          <w:highlight w:val="none"/>
          <w:lang w:val="en-US" w:eastAsia="zh-CN"/>
        </w:rPr>
        <w:t xml:space="preserve">  </w:t>
      </w:r>
      <w:r>
        <w:rPr>
          <w:rFonts w:ascii="宋体" w:hAnsi="宋体" w:eastAsia="宋体" w:cs="Times New Roman"/>
          <w:b/>
          <w:color w:val="auto"/>
          <w:kern w:val="0"/>
          <w:sz w:val="24"/>
          <w:szCs w:val="24"/>
          <w:highlight w:val="none"/>
        </w:rPr>
        <w:t>录</w:t>
      </w:r>
    </w:p>
    <w:p w14:paraId="42694004">
      <w:pPr>
        <w:pStyle w:val="27"/>
        <w:tabs>
          <w:tab w:val="right" w:leader="dot" w:pos="10154"/>
        </w:tabs>
        <w:rPr>
          <w:color w:val="auto"/>
          <w:highlight w:val="none"/>
        </w:rPr>
      </w:pPr>
      <w:r>
        <w:rPr>
          <w:rFonts w:hint="eastAsia" w:ascii="宋体" w:hAnsi="宋体" w:eastAsia="宋体" w:cs="宋体"/>
          <w:b/>
          <w:bCs/>
          <w:color w:val="auto"/>
          <w:sz w:val="21"/>
          <w:szCs w:val="21"/>
          <w:highlight w:val="none"/>
        </w:rPr>
        <w:fldChar w:fldCharType="begin"/>
      </w:r>
      <w:r>
        <w:rPr>
          <w:rFonts w:hint="eastAsia" w:ascii="宋体" w:hAnsi="宋体" w:eastAsia="宋体" w:cs="宋体"/>
          <w:b/>
          <w:bCs/>
          <w:color w:val="auto"/>
          <w:sz w:val="21"/>
          <w:szCs w:val="21"/>
          <w:highlight w:val="none"/>
        </w:rPr>
        <w:instrText xml:space="preserve">TOC \o "1-3" \h \u </w:instrText>
      </w:r>
      <w:r>
        <w:rPr>
          <w:rFonts w:hint="eastAsia" w:ascii="宋体" w:hAnsi="宋体" w:eastAsia="宋体" w:cs="宋体"/>
          <w:b/>
          <w:bCs/>
          <w:color w:val="auto"/>
          <w:sz w:val="21"/>
          <w:szCs w:val="21"/>
          <w:highlight w:val="none"/>
        </w:rPr>
        <w:fldChar w:fldCharType="separate"/>
      </w: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_Toc32052 </w:instrText>
      </w:r>
      <w:r>
        <w:rPr>
          <w:rFonts w:hint="eastAsia" w:ascii="宋体" w:hAnsi="宋体" w:eastAsia="宋体" w:cs="宋体"/>
          <w:bCs/>
          <w:color w:val="auto"/>
          <w:szCs w:val="21"/>
          <w:highlight w:val="none"/>
        </w:rPr>
        <w:fldChar w:fldCharType="separate"/>
      </w:r>
      <w:r>
        <w:rPr>
          <w:rFonts w:ascii="宋体" w:hAnsi="宋体" w:eastAsia="宋体" w:cs="Times New Roman"/>
          <w:bCs/>
          <w:color w:val="auto"/>
          <w:kern w:val="44"/>
          <w:szCs w:val="32"/>
          <w:highlight w:val="none"/>
          <w:lang w:val="zh-CN"/>
        </w:rPr>
        <w:t>第一篇 招标公告</w:t>
      </w:r>
      <w:r>
        <w:rPr>
          <w:color w:val="auto"/>
          <w:highlight w:val="none"/>
        </w:rPr>
        <w:tab/>
      </w:r>
      <w:r>
        <w:rPr>
          <w:color w:val="auto"/>
          <w:highlight w:val="none"/>
        </w:rPr>
        <w:fldChar w:fldCharType="begin"/>
      </w:r>
      <w:r>
        <w:rPr>
          <w:color w:val="auto"/>
          <w:highlight w:val="none"/>
        </w:rPr>
        <w:instrText xml:space="preserve"> PAGEREF _Toc32052 \h </w:instrText>
      </w:r>
      <w:r>
        <w:rPr>
          <w:color w:val="auto"/>
          <w:highlight w:val="none"/>
        </w:rPr>
        <w:fldChar w:fldCharType="separate"/>
      </w:r>
      <w:r>
        <w:rPr>
          <w:color w:val="auto"/>
          <w:highlight w:val="none"/>
        </w:rPr>
        <w:t>4</w:t>
      </w:r>
      <w:r>
        <w:rPr>
          <w:color w:val="auto"/>
          <w:highlight w:val="none"/>
        </w:rPr>
        <w:fldChar w:fldCharType="end"/>
      </w:r>
      <w:r>
        <w:rPr>
          <w:rFonts w:hint="eastAsia" w:ascii="宋体" w:hAnsi="宋体" w:eastAsia="宋体" w:cs="宋体"/>
          <w:bCs/>
          <w:color w:val="auto"/>
          <w:szCs w:val="21"/>
          <w:highlight w:val="none"/>
        </w:rPr>
        <w:fldChar w:fldCharType="end"/>
      </w:r>
    </w:p>
    <w:p w14:paraId="11685C05">
      <w:pPr>
        <w:pStyle w:val="27"/>
        <w:tabs>
          <w:tab w:val="right" w:leader="dot" w:pos="1015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_Toc15865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第二篇</w:t>
      </w:r>
      <w:r>
        <w:rPr>
          <w:rFonts w:ascii="宋体" w:hAnsi="宋体" w:eastAsia="宋体" w:cs="宋体"/>
          <w:bCs/>
          <w:color w:val="auto"/>
          <w:kern w:val="44"/>
          <w:szCs w:val="32"/>
          <w:highlight w:val="none"/>
        </w:rPr>
        <w:t xml:space="preserve"> </w:t>
      </w:r>
      <w:r>
        <w:rPr>
          <w:rFonts w:hint="eastAsia" w:ascii="宋体" w:hAnsi="宋体" w:eastAsia="宋体" w:cs="宋体"/>
          <w:bCs/>
          <w:color w:val="auto"/>
          <w:kern w:val="44"/>
          <w:szCs w:val="32"/>
          <w:highlight w:val="none"/>
          <w:lang w:val="zh-CN"/>
        </w:rPr>
        <w:t>投标人须知</w:t>
      </w:r>
      <w:r>
        <w:rPr>
          <w:color w:val="auto"/>
          <w:highlight w:val="none"/>
        </w:rPr>
        <w:tab/>
      </w:r>
      <w:r>
        <w:rPr>
          <w:color w:val="auto"/>
          <w:highlight w:val="none"/>
        </w:rPr>
        <w:fldChar w:fldCharType="begin"/>
      </w:r>
      <w:r>
        <w:rPr>
          <w:color w:val="auto"/>
          <w:highlight w:val="none"/>
        </w:rPr>
        <w:instrText xml:space="preserve"> PAGEREF _Toc15865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color w:val="auto"/>
          <w:szCs w:val="21"/>
          <w:highlight w:val="none"/>
        </w:rPr>
        <w:fldChar w:fldCharType="end"/>
      </w:r>
    </w:p>
    <w:p w14:paraId="3F69AA6F">
      <w:pPr>
        <w:pStyle w:val="27"/>
        <w:tabs>
          <w:tab w:val="right" w:leader="dot" w:pos="1015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_Toc31872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一、总则</w:t>
      </w:r>
      <w:r>
        <w:rPr>
          <w:color w:val="auto"/>
          <w:highlight w:val="none"/>
        </w:rPr>
        <w:tab/>
      </w:r>
      <w:r>
        <w:rPr>
          <w:color w:val="auto"/>
          <w:highlight w:val="none"/>
        </w:rPr>
        <w:fldChar w:fldCharType="begin"/>
      </w:r>
      <w:r>
        <w:rPr>
          <w:color w:val="auto"/>
          <w:highlight w:val="none"/>
        </w:rPr>
        <w:instrText xml:space="preserve"> PAGEREF _Toc31872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color w:val="auto"/>
          <w:szCs w:val="21"/>
          <w:highlight w:val="none"/>
        </w:rPr>
        <w:fldChar w:fldCharType="end"/>
      </w:r>
    </w:p>
    <w:p w14:paraId="6AB43A88">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_Toc18454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r>
        <w:rPr>
          <w:color w:val="auto"/>
          <w:highlight w:val="none"/>
        </w:rPr>
        <w:tab/>
      </w:r>
      <w:r>
        <w:rPr>
          <w:color w:val="auto"/>
          <w:highlight w:val="none"/>
        </w:rPr>
        <w:fldChar w:fldCharType="begin"/>
      </w:r>
      <w:r>
        <w:rPr>
          <w:color w:val="auto"/>
          <w:highlight w:val="none"/>
        </w:rPr>
        <w:instrText xml:space="preserve"> PAGEREF _Toc18454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color w:val="auto"/>
          <w:szCs w:val="21"/>
          <w:highlight w:val="none"/>
        </w:rPr>
        <w:fldChar w:fldCharType="end"/>
      </w:r>
    </w:p>
    <w:p w14:paraId="1B5B79B3">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_Toc29377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合格的投标人</w:t>
      </w:r>
      <w:r>
        <w:rPr>
          <w:color w:val="auto"/>
          <w:highlight w:val="none"/>
        </w:rPr>
        <w:tab/>
      </w:r>
      <w:r>
        <w:rPr>
          <w:color w:val="auto"/>
          <w:highlight w:val="none"/>
        </w:rPr>
        <w:fldChar w:fldCharType="begin"/>
      </w:r>
      <w:r>
        <w:rPr>
          <w:color w:val="auto"/>
          <w:highlight w:val="none"/>
        </w:rPr>
        <w:instrText xml:space="preserve"> PAGEREF _Toc29377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color w:val="auto"/>
          <w:szCs w:val="21"/>
          <w:highlight w:val="none"/>
        </w:rPr>
        <w:fldChar w:fldCharType="end"/>
      </w:r>
    </w:p>
    <w:p w14:paraId="224E82D7">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_Toc8618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合格的</w:t>
      </w:r>
      <w:r>
        <w:rPr>
          <w:rFonts w:hint="eastAsia" w:ascii="宋体" w:hAnsi="宋体" w:eastAsia="宋体" w:cs="宋体"/>
          <w:color w:val="auto"/>
          <w:szCs w:val="21"/>
          <w:highlight w:val="none"/>
          <w:lang w:val="en-US" w:eastAsia="zh-CN"/>
        </w:rPr>
        <w:t>服务</w:t>
      </w:r>
      <w:r>
        <w:rPr>
          <w:color w:val="auto"/>
          <w:highlight w:val="none"/>
        </w:rPr>
        <w:tab/>
      </w:r>
      <w:r>
        <w:rPr>
          <w:color w:val="auto"/>
          <w:highlight w:val="none"/>
        </w:rPr>
        <w:fldChar w:fldCharType="begin"/>
      </w:r>
      <w:r>
        <w:rPr>
          <w:color w:val="auto"/>
          <w:highlight w:val="none"/>
        </w:rPr>
        <w:instrText xml:space="preserve"> PAGEREF _Toc8618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eastAsia="宋体" w:cs="宋体"/>
          <w:bCs/>
          <w:color w:val="auto"/>
          <w:szCs w:val="21"/>
          <w:highlight w:val="none"/>
        </w:rPr>
        <w:fldChar w:fldCharType="end"/>
      </w:r>
    </w:p>
    <w:p w14:paraId="3E2892F2">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_Toc17052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r>
        <w:rPr>
          <w:color w:val="auto"/>
          <w:highlight w:val="none"/>
        </w:rPr>
        <w:tab/>
      </w:r>
      <w:r>
        <w:rPr>
          <w:color w:val="auto"/>
          <w:highlight w:val="none"/>
        </w:rPr>
        <w:fldChar w:fldCharType="begin"/>
      </w:r>
      <w:r>
        <w:rPr>
          <w:color w:val="auto"/>
          <w:highlight w:val="none"/>
        </w:rPr>
        <w:instrText xml:space="preserve"> PAGEREF _Toc17052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bCs/>
          <w:color w:val="auto"/>
          <w:szCs w:val="21"/>
          <w:highlight w:val="none"/>
        </w:rPr>
        <w:fldChar w:fldCharType="end"/>
      </w:r>
    </w:p>
    <w:p w14:paraId="46AD6E44">
      <w:pPr>
        <w:pStyle w:val="27"/>
        <w:tabs>
          <w:tab w:val="right" w:leader="dot" w:pos="1015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_Toc26481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二、招标文件</w:t>
      </w:r>
      <w:r>
        <w:rPr>
          <w:color w:val="auto"/>
          <w:highlight w:val="none"/>
        </w:rPr>
        <w:tab/>
      </w:r>
      <w:r>
        <w:rPr>
          <w:color w:val="auto"/>
          <w:highlight w:val="none"/>
        </w:rPr>
        <w:fldChar w:fldCharType="begin"/>
      </w:r>
      <w:r>
        <w:rPr>
          <w:color w:val="auto"/>
          <w:highlight w:val="none"/>
        </w:rPr>
        <w:instrText xml:space="preserve"> PAGEREF _Toc26481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bCs/>
          <w:color w:val="auto"/>
          <w:szCs w:val="21"/>
          <w:highlight w:val="none"/>
        </w:rPr>
        <w:fldChar w:fldCharType="end"/>
      </w:r>
    </w:p>
    <w:p w14:paraId="257B5C4C">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_Toc28643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r>
        <w:rPr>
          <w:color w:val="auto"/>
          <w:highlight w:val="none"/>
        </w:rPr>
        <w:tab/>
      </w:r>
      <w:r>
        <w:rPr>
          <w:color w:val="auto"/>
          <w:highlight w:val="none"/>
        </w:rPr>
        <w:fldChar w:fldCharType="begin"/>
      </w:r>
      <w:r>
        <w:rPr>
          <w:color w:val="auto"/>
          <w:highlight w:val="none"/>
        </w:rPr>
        <w:instrText xml:space="preserve"> PAGEREF _Toc28643 \h </w:instrText>
      </w:r>
      <w:r>
        <w:rPr>
          <w:color w:val="auto"/>
          <w:highlight w:val="none"/>
        </w:rPr>
        <w:fldChar w:fldCharType="separate"/>
      </w:r>
      <w:r>
        <w:rPr>
          <w:color w:val="auto"/>
          <w:highlight w:val="none"/>
        </w:rPr>
        <w:t>7</w:t>
      </w:r>
      <w:r>
        <w:rPr>
          <w:color w:val="auto"/>
          <w:highlight w:val="none"/>
        </w:rPr>
        <w:fldChar w:fldCharType="end"/>
      </w:r>
      <w:r>
        <w:rPr>
          <w:rFonts w:hint="eastAsia" w:ascii="宋体" w:hAnsi="宋体" w:eastAsia="宋体" w:cs="宋体"/>
          <w:bCs/>
          <w:color w:val="auto"/>
          <w:szCs w:val="21"/>
          <w:highlight w:val="none"/>
        </w:rPr>
        <w:fldChar w:fldCharType="end"/>
      </w:r>
    </w:p>
    <w:p w14:paraId="46E96CE5">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_Toc2029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r>
        <w:rPr>
          <w:color w:val="auto"/>
          <w:highlight w:val="none"/>
        </w:rPr>
        <w:tab/>
      </w:r>
      <w:r>
        <w:rPr>
          <w:color w:val="auto"/>
          <w:highlight w:val="none"/>
        </w:rPr>
        <w:fldChar w:fldCharType="begin"/>
      </w:r>
      <w:r>
        <w:rPr>
          <w:color w:val="auto"/>
          <w:highlight w:val="none"/>
        </w:rPr>
        <w:instrText xml:space="preserve"> PAGEREF _Toc2029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bCs/>
          <w:color w:val="auto"/>
          <w:szCs w:val="21"/>
          <w:highlight w:val="none"/>
        </w:rPr>
        <w:fldChar w:fldCharType="end"/>
      </w:r>
    </w:p>
    <w:p w14:paraId="018D6B7F">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_Toc10526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r>
        <w:rPr>
          <w:color w:val="auto"/>
          <w:highlight w:val="none"/>
        </w:rPr>
        <w:tab/>
      </w:r>
      <w:r>
        <w:rPr>
          <w:color w:val="auto"/>
          <w:highlight w:val="none"/>
        </w:rPr>
        <w:fldChar w:fldCharType="begin"/>
      </w:r>
      <w:r>
        <w:rPr>
          <w:color w:val="auto"/>
          <w:highlight w:val="none"/>
        </w:rPr>
        <w:instrText xml:space="preserve"> PAGEREF _Toc10526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bCs/>
          <w:color w:val="auto"/>
          <w:szCs w:val="21"/>
          <w:highlight w:val="none"/>
        </w:rPr>
        <w:fldChar w:fldCharType="end"/>
      </w:r>
    </w:p>
    <w:p w14:paraId="40530418">
      <w:pPr>
        <w:pStyle w:val="27"/>
        <w:tabs>
          <w:tab w:val="right" w:leader="dot" w:pos="1015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_Toc20817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三、投标文件的编制</w:t>
      </w:r>
      <w:r>
        <w:rPr>
          <w:color w:val="auto"/>
          <w:highlight w:val="none"/>
        </w:rPr>
        <w:tab/>
      </w:r>
      <w:r>
        <w:rPr>
          <w:color w:val="auto"/>
          <w:highlight w:val="none"/>
        </w:rPr>
        <w:fldChar w:fldCharType="begin"/>
      </w:r>
      <w:r>
        <w:rPr>
          <w:color w:val="auto"/>
          <w:highlight w:val="none"/>
        </w:rPr>
        <w:instrText xml:space="preserve"> PAGEREF _Toc20817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bCs/>
          <w:color w:val="auto"/>
          <w:szCs w:val="21"/>
          <w:highlight w:val="none"/>
        </w:rPr>
        <w:fldChar w:fldCharType="end"/>
      </w:r>
    </w:p>
    <w:p w14:paraId="4CE4D44E">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_Toc7767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r>
        <w:rPr>
          <w:color w:val="auto"/>
          <w:highlight w:val="none"/>
        </w:rPr>
        <w:tab/>
      </w:r>
      <w:r>
        <w:rPr>
          <w:color w:val="auto"/>
          <w:highlight w:val="none"/>
        </w:rPr>
        <w:fldChar w:fldCharType="begin"/>
      </w:r>
      <w:r>
        <w:rPr>
          <w:color w:val="auto"/>
          <w:highlight w:val="none"/>
        </w:rPr>
        <w:instrText xml:space="preserve"> PAGEREF _Toc7767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bCs/>
          <w:color w:val="auto"/>
          <w:szCs w:val="21"/>
          <w:highlight w:val="none"/>
        </w:rPr>
        <w:fldChar w:fldCharType="end"/>
      </w:r>
    </w:p>
    <w:p w14:paraId="601E9C54">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_Toc27540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9</w:t>
      </w:r>
      <w:r>
        <w:rPr>
          <w:rFonts w:ascii="宋体" w:hAnsi="宋体" w:eastAsia="宋体" w:cs="宋体"/>
          <w:color w:val="auto"/>
          <w:szCs w:val="24"/>
          <w:highlight w:val="none"/>
          <w:lang w:val="zh-CN"/>
        </w:rPr>
        <w:t xml:space="preserve"> </w:t>
      </w:r>
      <w:r>
        <w:rPr>
          <w:rFonts w:hint="eastAsia" w:ascii="宋体" w:hAnsi="宋体" w:eastAsia="宋体" w:cs="宋体"/>
          <w:color w:val="auto"/>
          <w:szCs w:val="21"/>
          <w:highlight w:val="none"/>
          <w:lang w:val="zh-CN"/>
        </w:rPr>
        <w:t>投标文件的组成</w:t>
      </w:r>
      <w:r>
        <w:rPr>
          <w:color w:val="auto"/>
          <w:highlight w:val="none"/>
        </w:rPr>
        <w:tab/>
      </w:r>
      <w:r>
        <w:rPr>
          <w:color w:val="auto"/>
          <w:highlight w:val="none"/>
        </w:rPr>
        <w:fldChar w:fldCharType="begin"/>
      </w:r>
      <w:r>
        <w:rPr>
          <w:color w:val="auto"/>
          <w:highlight w:val="none"/>
        </w:rPr>
        <w:instrText xml:space="preserve"> PAGEREF _Toc27540 \h </w:instrText>
      </w:r>
      <w:r>
        <w:rPr>
          <w:color w:val="auto"/>
          <w:highlight w:val="none"/>
        </w:rPr>
        <w:fldChar w:fldCharType="separate"/>
      </w:r>
      <w:r>
        <w:rPr>
          <w:color w:val="auto"/>
          <w:highlight w:val="none"/>
        </w:rPr>
        <w:t>9</w:t>
      </w:r>
      <w:r>
        <w:rPr>
          <w:color w:val="auto"/>
          <w:highlight w:val="none"/>
        </w:rPr>
        <w:fldChar w:fldCharType="end"/>
      </w:r>
      <w:r>
        <w:rPr>
          <w:rFonts w:hint="eastAsia" w:ascii="宋体" w:hAnsi="宋体" w:eastAsia="宋体" w:cs="宋体"/>
          <w:bCs/>
          <w:color w:val="auto"/>
          <w:szCs w:val="21"/>
          <w:highlight w:val="none"/>
        </w:rPr>
        <w:fldChar w:fldCharType="end"/>
      </w:r>
    </w:p>
    <w:p w14:paraId="7A97B196">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_Toc5977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r>
        <w:rPr>
          <w:color w:val="auto"/>
          <w:highlight w:val="none"/>
        </w:rPr>
        <w:tab/>
      </w:r>
      <w:r>
        <w:rPr>
          <w:color w:val="auto"/>
          <w:highlight w:val="none"/>
        </w:rPr>
        <w:fldChar w:fldCharType="begin"/>
      </w:r>
      <w:r>
        <w:rPr>
          <w:color w:val="auto"/>
          <w:highlight w:val="none"/>
        </w:rPr>
        <w:instrText xml:space="preserve"> PAGEREF _Toc5977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color w:val="auto"/>
          <w:szCs w:val="21"/>
          <w:highlight w:val="none"/>
        </w:rPr>
        <w:fldChar w:fldCharType="end"/>
      </w:r>
    </w:p>
    <w:p w14:paraId="7B56A75B">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_Toc2119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r>
        <w:rPr>
          <w:color w:val="auto"/>
          <w:highlight w:val="none"/>
        </w:rPr>
        <w:tab/>
      </w:r>
      <w:r>
        <w:rPr>
          <w:color w:val="auto"/>
          <w:highlight w:val="none"/>
        </w:rPr>
        <w:fldChar w:fldCharType="begin"/>
      </w:r>
      <w:r>
        <w:rPr>
          <w:color w:val="auto"/>
          <w:highlight w:val="none"/>
        </w:rPr>
        <w:instrText xml:space="preserve"> PAGEREF _Toc2119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bCs/>
          <w:color w:val="auto"/>
          <w:szCs w:val="21"/>
          <w:highlight w:val="none"/>
        </w:rPr>
        <w:fldChar w:fldCharType="end"/>
      </w:r>
    </w:p>
    <w:p w14:paraId="6727B851">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_Toc3259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投标报价货币</w:t>
      </w:r>
      <w:r>
        <w:rPr>
          <w:color w:val="auto"/>
          <w:highlight w:val="none"/>
        </w:rPr>
        <w:tab/>
      </w:r>
      <w:r>
        <w:rPr>
          <w:color w:val="auto"/>
          <w:highlight w:val="none"/>
        </w:rPr>
        <w:fldChar w:fldCharType="begin"/>
      </w:r>
      <w:r>
        <w:rPr>
          <w:color w:val="auto"/>
          <w:highlight w:val="none"/>
        </w:rPr>
        <w:instrText xml:space="preserve"> PAGEREF _Toc3259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bCs/>
          <w:color w:val="auto"/>
          <w:szCs w:val="21"/>
          <w:highlight w:val="none"/>
        </w:rPr>
        <w:fldChar w:fldCharType="end"/>
      </w:r>
    </w:p>
    <w:p w14:paraId="0A47A9BF">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_Toc7645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r>
        <w:rPr>
          <w:color w:val="auto"/>
          <w:highlight w:val="none"/>
        </w:rPr>
        <w:tab/>
      </w:r>
      <w:r>
        <w:rPr>
          <w:color w:val="auto"/>
          <w:highlight w:val="none"/>
        </w:rPr>
        <w:fldChar w:fldCharType="begin"/>
      </w:r>
      <w:r>
        <w:rPr>
          <w:color w:val="auto"/>
          <w:highlight w:val="none"/>
        </w:rPr>
        <w:instrText xml:space="preserve"> PAGEREF _Toc7645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bCs/>
          <w:color w:val="auto"/>
          <w:szCs w:val="21"/>
          <w:highlight w:val="none"/>
        </w:rPr>
        <w:fldChar w:fldCharType="end"/>
      </w:r>
    </w:p>
    <w:p w14:paraId="00BDBCE8">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_Toc25196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r>
        <w:rPr>
          <w:color w:val="auto"/>
          <w:highlight w:val="none"/>
        </w:rPr>
        <w:tab/>
      </w:r>
      <w:r>
        <w:rPr>
          <w:color w:val="auto"/>
          <w:highlight w:val="none"/>
        </w:rPr>
        <w:fldChar w:fldCharType="begin"/>
      </w:r>
      <w:r>
        <w:rPr>
          <w:color w:val="auto"/>
          <w:highlight w:val="none"/>
        </w:rPr>
        <w:instrText xml:space="preserve"> PAGEREF _Toc25196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bCs/>
          <w:color w:val="auto"/>
          <w:szCs w:val="21"/>
          <w:highlight w:val="none"/>
        </w:rPr>
        <w:fldChar w:fldCharType="end"/>
      </w:r>
    </w:p>
    <w:p w14:paraId="16D1C0BB">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_Toc29326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r>
        <w:rPr>
          <w:color w:val="auto"/>
          <w:highlight w:val="none"/>
        </w:rPr>
        <w:tab/>
      </w:r>
      <w:r>
        <w:rPr>
          <w:color w:val="auto"/>
          <w:highlight w:val="none"/>
        </w:rPr>
        <w:fldChar w:fldCharType="begin"/>
      </w:r>
      <w:r>
        <w:rPr>
          <w:color w:val="auto"/>
          <w:highlight w:val="none"/>
        </w:rPr>
        <w:instrText xml:space="preserve"> PAGEREF _Toc29326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bCs/>
          <w:color w:val="auto"/>
          <w:szCs w:val="21"/>
          <w:highlight w:val="none"/>
        </w:rPr>
        <w:fldChar w:fldCharType="end"/>
      </w:r>
    </w:p>
    <w:p w14:paraId="048926E3">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_Toc6058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r>
        <w:rPr>
          <w:color w:val="auto"/>
          <w:highlight w:val="none"/>
        </w:rPr>
        <w:tab/>
      </w:r>
      <w:r>
        <w:rPr>
          <w:color w:val="auto"/>
          <w:highlight w:val="none"/>
        </w:rPr>
        <w:fldChar w:fldCharType="begin"/>
      </w:r>
      <w:r>
        <w:rPr>
          <w:color w:val="auto"/>
          <w:highlight w:val="none"/>
        </w:rPr>
        <w:instrText xml:space="preserve"> PAGEREF _Toc6058 \h </w:instrText>
      </w:r>
      <w:r>
        <w:rPr>
          <w:color w:val="auto"/>
          <w:highlight w:val="none"/>
        </w:rPr>
        <w:fldChar w:fldCharType="separate"/>
      </w:r>
      <w:r>
        <w:rPr>
          <w:color w:val="auto"/>
          <w:highlight w:val="none"/>
        </w:rPr>
        <w:t>13</w:t>
      </w:r>
      <w:r>
        <w:rPr>
          <w:color w:val="auto"/>
          <w:highlight w:val="none"/>
        </w:rPr>
        <w:fldChar w:fldCharType="end"/>
      </w:r>
      <w:r>
        <w:rPr>
          <w:rFonts w:hint="eastAsia" w:ascii="宋体" w:hAnsi="宋体" w:eastAsia="宋体" w:cs="宋体"/>
          <w:bCs/>
          <w:color w:val="auto"/>
          <w:szCs w:val="21"/>
          <w:highlight w:val="none"/>
        </w:rPr>
        <w:fldChar w:fldCharType="end"/>
      </w:r>
    </w:p>
    <w:p w14:paraId="52B11BA6">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_Toc6910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r>
        <w:rPr>
          <w:color w:val="auto"/>
          <w:highlight w:val="none"/>
        </w:rPr>
        <w:tab/>
      </w:r>
      <w:r>
        <w:rPr>
          <w:color w:val="auto"/>
          <w:highlight w:val="none"/>
        </w:rPr>
        <w:fldChar w:fldCharType="begin"/>
      </w:r>
      <w:r>
        <w:rPr>
          <w:color w:val="auto"/>
          <w:highlight w:val="none"/>
        </w:rPr>
        <w:instrText xml:space="preserve"> PAGEREF _Toc6910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zCs w:val="21"/>
          <w:highlight w:val="none"/>
        </w:rPr>
        <w:fldChar w:fldCharType="end"/>
      </w:r>
    </w:p>
    <w:p w14:paraId="16E2B640">
      <w:pPr>
        <w:pStyle w:val="27"/>
        <w:tabs>
          <w:tab w:val="right" w:leader="dot" w:pos="1015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_Toc8060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四、投标文件的递交</w:t>
      </w:r>
      <w:r>
        <w:rPr>
          <w:color w:val="auto"/>
          <w:highlight w:val="none"/>
        </w:rPr>
        <w:tab/>
      </w:r>
      <w:r>
        <w:rPr>
          <w:color w:val="auto"/>
          <w:highlight w:val="none"/>
        </w:rPr>
        <w:fldChar w:fldCharType="begin"/>
      </w:r>
      <w:r>
        <w:rPr>
          <w:color w:val="auto"/>
          <w:highlight w:val="none"/>
        </w:rPr>
        <w:instrText xml:space="preserve"> PAGEREF _Toc8060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zCs w:val="21"/>
          <w:highlight w:val="none"/>
        </w:rPr>
        <w:fldChar w:fldCharType="end"/>
      </w:r>
    </w:p>
    <w:p w14:paraId="3B199D0E">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_Toc28199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r>
        <w:rPr>
          <w:color w:val="auto"/>
          <w:highlight w:val="none"/>
        </w:rPr>
        <w:tab/>
      </w:r>
      <w:r>
        <w:rPr>
          <w:color w:val="auto"/>
          <w:highlight w:val="none"/>
        </w:rPr>
        <w:fldChar w:fldCharType="begin"/>
      </w:r>
      <w:r>
        <w:rPr>
          <w:color w:val="auto"/>
          <w:highlight w:val="none"/>
        </w:rPr>
        <w:instrText xml:space="preserve"> PAGEREF _Toc28199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zCs w:val="21"/>
          <w:highlight w:val="none"/>
        </w:rPr>
        <w:fldChar w:fldCharType="end"/>
      </w:r>
    </w:p>
    <w:p w14:paraId="4434C013">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_Toc3329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r>
        <w:rPr>
          <w:color w:val="auto"/>
          <w:highlight w:val="none"/>
        </w:rPr>
        <w:tab/>
      </w:r>
      <w:r>
        <w:rPr>
          <w:color w:val="auto"/>
          <w:highlight w:val="none"/>
        </w:rPr>
        <w:fldChar w:fldCharType="begin"/>
      </w:r>
      <w:r>
        <w:rPr>
          <w:color w:val="auto"/>
          <w:highlight w:val="none"/>
        </w:rPr>
        <w:instrText xml:space="preserve"> PAGEREF _Toc3329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bCs/>
          <w:color w:val="auto"/>
          <w:szCs w:val="21"/>
          <w:highlight w:val="none"/>
        </w:rPr>
        <w:fldChar w:fldCharType="end"/>
      </w:r>
    </w:p>
    <w:p w14:paraId="75B8349C">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_Toc27456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20 迟交的投标文件</w:t>
      </w:r>
      <w:r>
        <w:rPr>
          <w:color w:val="auto"/>
          <w:highlight w:val="none"/>
        </w:rPr>
        <w:tab/>
      </w:r>
      <w:r>
        <w:rPr>
          <w:color w:val="auto"/>
          <w:highlight w:val="none"/>
        </w:rPr>
        <w:fldChar w:fldCharType="begin"/>
      </w:r>
      <w:r>
        <w:rPr>
          <w:color w:val="auto"/>
          <w:highlight w:val="none"/>
        </w:rPr>
        <w:instrText xml:space="preserve"> PAGEREF _Toc27456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color w:val="auto"/>
          <w:szCs w:val="21"/>
          <w:highlight w:val="none"/>
        </w:rPr>
        <w:fldChar w:fldCharType="end"/>
      </w:r>
    </w:p>
    <w:p w14:paraId="3FA81821">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_Toc9164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r>
        <w:rPr>
          <w:color w:val="auto"/>
          <w:highlight w:val="none"/>
        </w:rPr>
        <w:tab/>
      </w:r>
      <w:r>
        <w:rPr>
          <w:color w:val="auto"/>
          <w:highlight w:val="none"/>
        </w:rPr>
        <w:fldChar w:fldCharType="begin"/>
      </w:r>
      <w:r>
        <w:rPr>
          <w:color w:val="auto"/>
          <w:highlight w:val="none"/>
        </w:rPr>
        <w:instrText xml:space="preserve"> PAGEREF _Toc9164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color w:val="auto"/>
          <w:szCs w:val="21"/>
          <w:highlight w:val="none"/>
        </w:rPr>
        <w:fldChar w:fldCharType="end"/>
      </w:r>
    </w:p>
    <w:p w14:paraId="2D434AE6">
      <w:pPr>
        <w:pStyle w:val="27"/>
        <w:tabs>
          <w:tab w:val="right" w:leader="dot" w:pos="1015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_Toc13631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五、开标与评标</w:t>
      </w:r>
      <w:r>
        <w:rPr>
          <w:color w:val="auto"/>
          <w:highlight w:val="none"/>
        </w:rPr>
        <w:tab/>
      </w:r>
      <w:r>
        <w:rPr>
          <w:color w:val="auto"/>
          <w:highlight w:val="none"/>
        </w:rPr>
        <w:fldChar w:fldCharType="begin"/>
      </w:r>
      <w:r>
        <w:rPr>
          <w:color w:val="auto"/>
          <w:highlight w:val="none"/>
        </w:rPr>
        <w:instrText xml:space="preserve"> PAGEREF _Toc13631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color w:val="auto"/>
          <w:szCs w:val="21"/>
          <w:highlight w:val="none"/>
        </w:rPr>
        <w:fldChar w:fldCharType="end"/>
      </w:r>
    </w:p>
    <w:p w14:paraId="2A40FBB7">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_Toc28882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r>
        <w:rPr>
          <w:color w:val="auto"/>
          <w:highlight w:val="none"/>
        </w:rPr>
        <w:tab/>
      </w:r>
      <w:r>
        <w:rPr>
          <w:color w:val="auto"/>
          <w:highlight w:val="none"/>
        </w:rPr>
        <w:fldChar w:fldCharType="begin"/>
      </w:r>
      <w:r>
        <w:rPr>
          <w:color w:val="auto"/>
          <w:highlight w:val="none"/>
        </w:rPr>
        <w:instrText xml:space="preserve"> PAGEREF _Toc28882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color w:val="auto"/>
          <w:szCs w:val="21"/>
          <w:highlight w:val="none"/>
        </w:rPr>
        <w:fldChar w:fldCharType="end"/>
      </w:r>
    </w:p>
    <w:p w14:paraId="2C247EE1">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_Toc19139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r>
        <w:rPr>
          <w:color w:val="auto"/>
          <w:highlight w:val="none"/>
        </w:rPr>
        <w:tab/>
      </w:r>
      <w:r>
        <w:rPr>
          <w:color w:val="auto"/>
          <w:highlight w:val="none"/>
        </w:rPr>
        <w:fldChar w:fldCharType="begin"/>
      </w:r>
      <w:r>
        <w:rPr>
          <w:color w:val="auto"/>
          <w:highlight w:val="none"/>
        </w:rPr>
        <w:instrText xml:space="preserve"> PAGEREF _Toc19139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bCs/>
          <w:color w:val="auto"/>
          <w:szCs w:val="21"/>
          <w:highlight w:val="none"/>
        </w:rPr>
        <w:fldChar w:fldCharType="end"/>
      </w:r>
    </w:p>
    <w:p w14:paraId="6E44CAE2">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_Toc16801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r>
        <w:rPr>
          <w:color w:val="auto"/>
          <w:highlight w:val="none"/>
        </w:rPr>
        <w:tab/>
      </w:r>
      <w:r>
        <w:rPr>
          <w:color w:val="auto"/>
          <w:highlight w:val="none"/>
        </w:rPr>
        <w:fldChar w:fldCharType="begin"/>
      </w:r>
      <w:r>
        <w:rPr>
          <w:color w:val="auto"/>
          <w:highlight w:val="none"/>
        </w:rPr>
        <w:instrText xml:space="preserve"> PAGEREF _Toc16801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zCs w:val="21"/>
          <w:highlight w:val="none"/>
        </w:rPr>
        <w:fldChar w:fldCharType="end"/>
      </w:r>
    </w:p>
    <w:p w14:paraId="4505BD64">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_Toc3818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投标文件的初审</w:t>
      </w:r>
      <w:r>
        <w:rPr>
          <w:color w:val="auto"/>
          <w:highlight w:val="none"/>
        </w:rPr>
        <w:tab/>
      </w:r>
      <w:r>
        <w:rPr>
          <w:color w:val="auto"/>
          <w:highlight w:val="none"/>
        </w:rPr>
        <w:fldChar w:fldCharType="begin"/>
      </w:r>
      <w:r>
        <w:rPr>
          <w:color w:val="auto"/>
          <w:highlight w:val="none"/>
        </w:rPr>
        <w:instrText xml:space="preserve"> PAGEREF _Toc3818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zCs w:val="21"/>
          <w:highlight w:val="none"/>
        </w:rPr>
        <w:fldChar w:fldCharType="end"/>
      </w:r>
    </w:p>
    <w:p w14:paraId="2DD0F4EA">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_Toc4503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r>
        <w:rPr>
          <w:color w:val="auto"/>
          <w:highlight w:val="none"/>
        </w:rPr>
        <w:tab/>
      </w:r>
      <w:r>
        <w:rPr>
          <w:color w:val="auto"/>
          <w:highlight w:val="none"/>
        </w:rPr>
        <w:fldChar w:fldCharType="begin"/>
      </w:r>
      <w:r>
        <w:rPr>
          <w:color w:val="auto"/>
          <w:highlight w:val="none"/>
        </w:rPr>
        <w:instrText xml:space="preserve"> PAGEREF _Toc4503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zCs w:val="21"/>
          <w:highlight w:val="none"/>
        </w:rPr>
        <w:fldChar w:fldCharType="end"/>
      </w:r>
    </w:p>
    <w:p w14:paraId="047EFA4D">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_Toc2405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r>
        <w:rPr>
          <w:color w:val="auto"/>
          <w:highlight w:val="none"/>
        </w:rPr>
        <w:tab/>
      </w:r>
      <w:r>
        <w:rPr>
          <w:color w:val="auto"/>
          <w:highlight w:val="none"/>
        </w:rPr>
        <w:fldChar w:fldCharType="begin"/>
      </w:r>
      <w:r>
        <w:rPr>
          <w:color w:val="auto"/>
          <w:highlight w:val="none"/>
        </w:rPr>
        <w:instrText xml:space="preserve"> PAGEREF _Toc2405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zCs w:val="21"/>
          <w:highlight w:val="none"/>
        </w:rPr>
        <w:fldChar w:fldCharType="end"/>
      </w:r>
    </w:p>
    <w:p w14:paraId="683F52EE">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_Toc9260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r>
        <w:rPr>
          <w:color w:val="auto"/>
          <w:highlight w:val="none"/>
        </w:rPr>
        <w:tab/>
      </w:r>
      <w:r>
        <w:rPr>
          <w:color w:val="auto"/>
          <w:highlight w:val="none"/>
        </w:rPr>
        <w:fldChar w:fldCharType="begin"/>
      </w:r>
      <w:r>
        <w:rPr>
          <w:color w:val="auto"/>
          <w:highlight w:val="none"/>
        </w:rPr>
        <w:instrText xml:space="preserve"> PAGEREF _Toc9260 \h </w:instrText>
      </w:r>
      <w:r>
        <w:rPr>
          <w:color w:val="auto"/>
          <w:highlight w:val="none"/>
        </w:rPr>
        <w:fldChar w:fldCharType="separate"/>
      </w:r>
      <w:r>
        <w:rPr>
          <w:color w:val="auto"/>
          <w:highlight w:val="none"/>
        </w:rPr>
        <w:t>16</w:t>
      </w:r>
      <w:r>
        <w:rPr>
          <w:color w:val="auto"/>
          <w:highlight w:val="none"/>
        </w:rPr>
        <w:fldChar w:fldCharType="end"/>
      </w:r>
      <w:r>
        <w:rPr>
          <w:rFonts w:hint="eastAsia" w:ascii="宋体" w:hAnsi="宋体" w:eastAsia="宋体" w:cs="宋体"/>
          <w:bCs/>
          <w:color w:val="auto"/>
          <w:szCs w:val="21"/>
          <w:highlight w:val="none"/>
        </w:rPr>
        <w:fldChar w:fldCharType="end"/>
      </w:r>
    </w:p>
    <w:p w14:paraId="3BAB0A08">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_Toc2099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r>
        <w:rPr>
          <w:color w:val="auto"/>
          <w:highlight w:val="none"/>
        </w:rPr>
        <w:tab/>
      </w:r>
      <w:r>
        <w:rPr>
          <w:color w:val="auto"/>
          <w:highlight w:val="none"/>
        </w:rPr>
        <w:fldChar w:fldCharType="begin"/>
      </w:r>
      <w:r>
        <w:rPr>
          <w:color w:val="auto"/>
          <w:highlight w:val="none"/>
        </w:rPr>
        <w:instrText xml:space="preserve"> PAGEREF _Toc2099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bCs/>
          <w:color w:val="auto"/>
          <w:szCs w:val="21"/>
          <w:highlight w:val="none"/>
        </w:rPr>
        <w:fldChar w:fldCharType="end"/>
      </w:r>
    </w:p>
    <w:p w14:paraId="312594C6">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_Toc14371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30</w:t>
      </w:r>
      <w:r>
        <w:rPr>
          <w:rFonts w:hint="eastAsia" w:ascii="宋体" w:hAnsi="宋体" w:eastAsia="宋体" w:cs="宋体"/>
          <w:color w:val="auto"/>
          <w:szCs w:val="21"/>
          <w:highlight w:val="none"/>
          <w:lang w:val="zh-CN"/>
        </w:rPr>
        <w:t xml:space="preserve"> 真实性审查</w:t>
      </w:r>
      <w:r>
        <w:rPr>
          <w:color w:val="auto"/>
          <w:highlight w:val="none"/>
        </w:rPr>
        <w:tab/>
      </w:r>
      <w:r>
        <w:rPr>
          <w:color w:val="auto"/>
          <w:highlight w:val="none"/>
        </w:rPr>
        <w:fldChar w:fldCharType="begin"/>
      </w:r>
      <w:r>
        <w:rPr>
          <w:color w:val="auto"/>
          <w:highlight w:val="none"/>
        </w:rPr>
        <w:instrText xml:space="preserve"> PAGEREF _Toc14371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color w:val="auto"/>
          <w:szCs w:val="21"/>
          <w:highlight w:val="none"/>
        </w:rPr>
        <w:fldChar w:fldCharType="end"/>
      </w:r>
    </w:p>
    <w:p w14:paraId="7FB67885">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_Toc20232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r>
        <w:rPr>
          <w:color w:val="auto"/>
          <w:highlight w:val="none"/>
        </w:rPr>
        <w:tab/>
      </w:r>
      <w:r>
        <w:rPr>
          <w:color w:val="auto"/>
          <w:highlight w:val="none"/>
        </w:rPr>
        <w:fldChar w:fldCharType="begin"/>
      </w:r>
      <w:r>
        <w:rPr>
          <w:color w:val="auto"/>
          <w:highlight w:val="none"/>
        </w:rPr>
        <w:instrText xml:space="preserve"> PAGEREF _Toc20232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color w:val="auto"/>
          <w:szCs w:val="21"/>
          <w:highlight w:val="none"/>
        </w:rPr>
        <w:fldChar w:fldCharType="end"/>
      </w:r>
    </w:p>
    <w:p w14:paraId="1331482F">
      <w:pPr>
        <w:pStyle w:val="27"/>
        <w:tabs>
          <w:tab w:val="right" w:leader="dot" w:pos="1015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_Toc12952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21"/>
          <w:highlight w:val="none"/>
          <w:lang w:val="zh-CN"/>
        </w:rPr>
        <w:t>六、授予合同</w:t>
      </w:r>
      <w:r>
        <w:rPr>
          <w:color w:val="auto"/>
          <w:highlight w:val="none"/>
        </w:rPr>
        <w:tab/>
      </w:r>
      <w:r>
        <w:rPr>
          <w:color w:val="auto"/>
          <w:highlight w:val="none"/>
        </w:rPr>
        <w:fldChar w:fldCharType="begin"/>
      </w:r>
      <w:r>
        <w:rPr>
          <w:color w:val="auto"/>
          <w:highlight w:val="none"/>
        </w:rPr>
        <w:instrText xml:space="preserve"> PAGEREF _Toc12952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color w:val="auto"/>
          <w:szCs w:val="21"/>
          <w:highlight w:val="none"/>
        </w:rPr>
        <w:fldChar w:fldCharType="end"/>
      </w:r>
    </w:p>
    <w:p w14:paraId="5F7FEBFF">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_Toc23902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r>
        <w:rPr>
          <w:color w:val="auto"/>
          <w:highlight w:val="none"/>
        </w:rPr>
        <w:tab/>
      </w:r>
      <w:r>
        <w:rPr>
          <w:color w:val="auto"/>
          <w:highlight w:val="none"/>
        </w:rPr>
        <w:fldChar w:fldCharType="begin"/>
      </w:r>
      <w:r>
        <w:rPr>
          <w:color w:val="auto"/>
          <w:highlight w:val="none"/>
        </w:rPr>
        <w:instrText xml:space="preserve"> PAGEREF _Toc23902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color w:val="auto"/>
          <w:szCs w:val="21"/>
          <w:highlight w:val="none"/>
        </w:rPr>
        <w:fldChar w:fldCharType="end"/>
      </w:r>
    </w:p>
    <w:p w14:paraId="0D0B5A29">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_Toc12825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r>
        <w:rPr>
          <w:color w:val="auto"/>
          <w:highlight w:val="none"/>
        </w:rPr>
        <w:tab/>
      </w:r>
      <w:r>
        <w:rPr>
          <w:color w:val="auto"/>
          <w:highlight w:val="none"/>
        </w:rPr>
        <w:fldChar w:fldCharType="begin"/>
      </w:r>
      <w:r>
        <w:rPr>
          <w:color w:val="auto"/>
          <w:highlight w:val="none"/>
        </w:rPr>
        <w:instrText xml:space="preserve"> PAGEREF _Toc12825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bCs/>
          <w:color w:val="auto"/>
          <w:szCs w:val="21"/>
          <w:highlight w:val="none"/>
        </w:rPr>
        <w:fldChar w:fldCharType="end"/>
      </w:r>
    </w:p>
    <w:p w14:paraId="52F77B3D">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_Toc29811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r>
        <w:rPr>
          <w:color w:val="auto"/>
          <w:highlight w:val="none"/>
        </w:rPr>
        <w:tab/>
      </w:r>
      <w:r>
        <w:rPr>
          <w:color w:val="auto"/>
          <w:highlight w:val="none"/>
        </w:rPr>
        <w:fldChar w:fldCharType="begin"/>
      </w:r>
      <w:r>
        <w:rPr>
          <w:color w:val="auto"/>
          <w:highlight w:val="none"/>
        </w:rPr>
        <w:instrText xml:space="preserve"> PAGEREF _Toc29811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color w:val="auto"/>
          <w:szCs w:val="21"/>
          <w:highlight w:val="none"/>
        </w:rPr>
        <w:fldChar w:fldCharType="end"/>
      </w:r>
    </w:p>
    <w:p w14:paraId="6D54F0EA">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_Toc27828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r>
        <w:rPr>
          <w:color w:val="auto"/>
          <w:highlight w:val="none"/>
        </w:rPr>
        <w:tab/>
      </w:r>
      <w:r>
        <w:rPr>
          <w:color w:val="auto"/>
          <w:highlight w:val="none"/>
        </w:rPr>
        <w:fldChar w:fldCharType="begin"/>
      </w:r>
      <w:r>
        <w:rPr>
          <w:color w:val="auto"/>
          <w:highlight w:val="none"/>
        </w:rPr>
        <w:instrText xml:space="preserve"> PAGEREF _Toc27828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bCs/>
          <w:color w:val="auto"/>
          <w:szCs w:val="21"/>
          <w:highlight w:val="none"/>
        </w:rPr>
        <w:fldChar w:fldCharType="end"/>
      </w:r>
    </w:p>
    <w:p w14:paraId="394B007F">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_Toc824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r>
        <w:rPr>
          <w:color w:val="auto"/>
          <w:highlight w:val="none"/>
        </w:rPr>
        <w:tab/>
      </w:r>
      <w:r>
        <w:rPr>
          <w:color w:val="auto"/>
          <w:highlight w:val="none"/>
        </w:rPr>
        <w:fldChar w:fldCharType="begin"/>
      </w:r>
      <w:r>
        <w:rPr>
          <w:color w:val="auto"/>
          <w:highlight w:val="none"/>
        </w:rPr>
        <w:instrText xml:space="preserve"> PAGEREF _Toc824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color w:val="auto"/>
          <w:szCs w:val="21"/>
          <w:highlight w:val="none"/>
        </w:rPr>
        <w:fldChar w:fldCharType="end"/>
      </w:r>
    </w:p>
    <w:p w14:paraId="118C8DED">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_Toc19013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r>
        <w:rPr>
          <w:color w:val="auto"/>
          <w:highlight w:val="none"/>
        </w:rPr>
        <w:tab/>
      </w:r>
      <w:r>
        <w:rPr>
          <w:color w:val="auto"/>
          <w:highlight w:val="none"/>
        </w:rPr>
        <w:fldChar w:fldCharType="begin"/>
      </w:r>
      <w:r>
        <w:rPr>
          <w:color w:val="auto"/>
          <w:highlight w:val="none"/>
        </w:rPr>
        <w:instrText xml:space="preserve"> PAGEREF _Toc19013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color w:val="auto"/>
          <w:szCs w:val="21"/>
          <w:highlight w:val="none"/>
        </w:rPr>
        <w:fldChar w:fldCharType="end"/>
      </w:r>
    </w:p>
    <w:p w14:paraId="57E6D324">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_Toc31743 </w:instrText>
      </w:r>
      <w:r>
        <w:rPr>
          <w:rFonts w:hint="eastAsia" w:ascii="宋体" w:hAnsi="宋体" w:eastAsia="宋体" w:cs="宋体"/>
          <w:bCs/>
          <w:color w:val="auto"/>
          <w:szCs w:val="21"/>
          <w:highlight w:val="none"/>
        </w:rPr>
        <w:fldChar w:fldCharType="separate"/>
      </w: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r>
        <w:rPr>
          <w:color w:val="auto"/>
          <w:highlight w:val="none"/>
        </w:rPr>
        <w:tab/>
      </w:r>
      <w:r>
        <w:rPr>
          <w:color w:val="auto"/>
          <w:highlight w:val="none"/>
        </w:rPr>
        <w:fldChar w:fldCharType="begin"/>
      </w:r>
      <w:r>
        <w:rPr>
          <w:color w:val="auto"/>
          <w:highlight w:val="none"/>
        </w:rPr>
        <w:instrText xml:space="preserve"> PAGEREF _Toc31743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color w:val="auto"/>
          <w:szCs w:val="21"/>
          <w:highlight w:val="none"/>
        </w:rPr>
        <w:fldChar w:fldCharType="end"/>
      </w:r>
    </w:p>
    <w:p w14:paraId="3653198D">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_Toc7707 </w:instrText>
      </w:r>
      <w:r>
        <w:rPr>
          <w:rFonts w:hint="eastAsia" w:ascii="宋体" w:hAnsi="宋体" w:eastAsia="宋体" w:cs="宋体"/>
          <w:bCs/>
          <w:color w:val="auto"/>
          <w:szCs w:val="21"/>
          <w:highlight w:val="none"/>
        </w:rPr>
        <w:fldChar w:fldCharType="separate"/>
      </w:r>
      <w:r>
        <w:rPr>
          <w:rFonts w:ascii="宋体" w:hAnsi="宋体" w:eastAsia="宋体" w:cs="宋体"/>
          <w:color w:val="auto"/>
          <w:szCs w:val="21"/>
          <w:highlight w:val="none"/>
        </w:rPr>
        <w:t>39 招标相关补充约定</w:t>
      </w:r>
      <w:r>
        <w:rPr>
          <w:color w:val="auto"/>
          <w:highlight w:val="none"/>
        </w:rPr>
        <w:tab/>
      </w:r>
      <w:r>
        <w:rPr>
          <w:color w:val="auto"/>
          <w:highlight w:val="none"/>
        </w:rPr>
        <w:fldChar w:fldCharType="begin"/>
      </w:r>
      <w:r>
        <w:rPr>
          <w:color w:val="auto"/>
          <w:highlight w:val="none"/>
        </w:rPr>
        <w:instrText xml:space="preserve"> PAGEREF _Toc7707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color w:val="auto"/>
          <w:szCs w:val="21"/>
          <w:highlight w:val="none"/>
        </w:rPr>
        <w:fldChar w:fldCharType="end"/>
      </w:r>
    </w:p>
    <w:p w14:paraId="3B70F3AF">
      <w:pPr>
        <w:pStyle w:val="20"/>
        <w:tabs>
          <w:tab w:val="right" w:leader="dot" w:pos="10154"/>
          <w:tab w:val="clear" w:pos="1014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_Toc1678 </w:instrText>
      </w:r>
      <w:r>
        <w:rPr>
          <w:rFonts w:hint="eastAsia" w:ascii="宋体" w:hAnsi="宋体" w:eastAsia="宋体" w:cs="宋体"/>
          <w:bCs/>
          <w:color w:val="auto"/>
          <w:szCs w:val="21"/>
          <w:highlight w:val="none"/>
        </w:rPr>
        <w:fldChar w:fldCharType="separate"/>
      </w:r>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r>
        <w:rPr>
          <w:color w:val="auto"/>
          <w:highlight w:val="none"/>
        </w:rPr>
        <w:tab/>
      </w:r>
      <w:r>
        <w:rPr>
          <w:color w:val="auto"/>
          <w:highlight w:val="none"/>
        </w:rPr>
        <w:fldChar w:fldCharType="begin"/>
      </w:r>
      <w:r>
        <w:rPr>
          <w:color w:val="auto"/>
          <w:highlight w:val="none"/>
        </w:rPr>
        <w:instrText xml:space="preserve"> PAGEREF _Toc1678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eastAsia="宋体" w:cs="宋体"/>
          <w:bCs/>
          <w:color w:val="auto"/>
          <w:szCs w:val="21"/>
          <w:highlight w:val="none"/>
        </w:rPr>
        <w:fldChar w:fldCharType="end"/>
      </w:r>
    </w:p>
    <w:p w14:paraId="7E617483">
      <w:pPr>
        <w:pStyle w:val="27"/>
        <w:tabs>
          <w:tab w:val="right" w:leader="dot" w:pos="1015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_Toc24971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第三篇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用户需求书</w:t>
      </w:r>
      <w:r>
        <w:rPr>
          <w:color w:val="auto"/>
          <w:highlight w:val="none"/>
        </w:rPr>
        <w:tab/>
      </w:r>
      <w:r>
        <w:rPr>
          <w:color w:val="auto"/>
          <w:highlight w:val="none"/>
        </w:rPr>
        <w:fldChar w:fldCharType="begin"/>
      </w:r>
      <w:r>
        <w:rPr>
          <w:color w:val="auto"/>
          <w:highlight w:val="none"/>
        </w:rPr>
        <w:instrText xml:space="preserve"> PAGEREF _Toc24971 \h </w:instrText>
      </w:r>
      <w:r>
        <w:rPr>
          <w:color w:val="auto"/>
          <w:highlight w:val="none"/>
        </w:rPr>
        <w:fldChar w:fldCharType="separate"/>
      </w:r>
      <w:r>
        <w:rPr>
          <w:color w:val="auto"/>
          <w:highlight w:val="none"/>
        </w:rPr>
        <w:t>22</w:t>
      </w:r>
      <w:r>
        <w:rPr>
          <w:color w:val="auto"/>
          <w:highlight w:val="none"/>
        </w:rPr>
        <w:fldChar w:fldCharType="end"/>
      </w:r>
      <w:r>
        <w:rPr>
          <w:rFonts w:hint="eastAsia" w:ascii="宋体" w:hAnsi="宋体" w:eastAsia="宋体" w:cs="宋体"/>
          <w:bCs/>
          <w:color w:val="auto"/>
          <w:szCs w:val="21"/>
          <w:highlight w:val="none"/>
        </w:rPr>
        <w:fldChar w:fldCharType="end"/>
      </w:r>
    </w:p>
    <w:p w14:paraId="78AFFED2">
      <w:pPr>
        <w:pStyle w:val="27"/>
        <w:tabs>
          <w:tab w:val="right" w:leader="dot" w:pos="1015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_Toc27270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第四篇</w:t>
      </w:r>
      <w:r>
        <w:rPr>
          <w:rFonts w:ascii="宋体" w:hAnsi="宋体" w:eastAsia="宋体" w:cs="宋体"/>
          <w:bCs/>
          <w:color w:val="auto"/>
          <w:kern w:val="44"/>
          <w:szCs w:val="32"/>
          <w:highlight w:val="none"/>
          <w:lang w:val="zh-CN"/>
        </w:rPr>
        <w:t xml:space="preserve"> </w:t>
      </w:r>
      <w:r>
        <w:rPr>
          <w:rFonts w:hint="eastAsia" w:ascii="宋体" w:hAnsi="宋体" w:eastAsia="宋体" w:cs="宋体"/>
          <w:bCs/>
          <w:color w:val="auto"/>
          <w:kern w:val="44"/>
          <w:szCs w:val="32"/>
          <w:highlight w:val="none"/>
          <w:lang w:val="zh-CN"/>
        </w:rPr>
        <w:t>合同条款格式</w:t>
      </w:r>
      <w:r>
        <w:rPr>
          <w:color w:val="auto"/>
          <w:highlight w:val="none"/>
        </w:rPr>
        <w:tab/>
      </w:r>
      <w:r>
        <w:rPr>
          <w:color w:val="auto"/>
          <w:highlight w:val="none"/>
        </w:rPr>
        <w:fldChar w:fldCharType="begin"/>
      </w:r>
      <w:r>
        <w:rPr>
          <w:color w:val="auto"/>
          <w:highlight w:val="none"/>
        </w:rPr>
        <w:instrText xml:space="preserve"> PAGEREF _Toc27270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bCs/>
          <w:color w:val="auto"/>
          <w:szCs w:val="21"/>
          <w:highlight w:val="none"/>
        </w:rPr>
        <w:fldChar w:fldCharType="end"/>
      </w:r>
    </w:p>
    <w:p w14:paraId="6453EEF0">
      <w:pPr>
        <w:pStyle w:val="27"/>
        <w:tabs>
          <w:tab w:val="right" w:leader="dot" w:pos="1015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_Toc11507 </w:instrText>
      </w:r>
      <w:r>
        <w:rPr>
          <w:rFonts w:hint="eastAsia" w:ascii="宋体" w:hAnsi="宋体" w:eastAsia="宋体" w:cs="宋体"/>
          <w:bCs/>
          <w:color w:val="auto"/>
          <w:szCs w:val="21"/>
          <w:highlight w:val="none"/>
        </w:rPr>
        <w:fldChar w:fldCharType="separate"/>
      </w:r>
      <w:r>
        <w:rPr>
          <w:rFonts w:hint="eastAsia" w:ascii="宋体" w:hAnsi="宋体" w:eastAsia="宋体" w:cs="Times New Roman"/>
          <w:bCs/>
          <w:color w:val="auto"/>
          <w:szCs w:val="32"/>
          <w:highlight w:val="none"/>
          <w:lang w:val="zh-CN"/>
        </w:rPr>
        <w:t>第五篇</w:t>
      </w:r>
      <w:r>
        <w:rPr>
          <w:rFonts w:ascii="宋体" w:hAnsi="宋体" w:eastAsia="宋体" w:cs="Times New Roman"/>
          <w:bCs/>
          <w:color w:val="auto"/>
          <w:szCs w:val="32"/>
          <w:highlight w:val="none"/>
          <w:lang w:val="zh-CN"/>
        </w:rPr>
        <w:t xml:space="preserve"> </w:t>
      </w:r>
      <w:r>
        <w:rPr>
          <w:rFonts w:hint="eastAsia" w:ascii="宋体" w:hAnsi="宋体" w:eastAsia="宋体" w:cs="Times New Roman"/>
          <w:bCs/>
          <w:color w:val="auto"/>
          <w:szCs w:val="32"/>
          <w:highlight w:val="none"/>
          <w:lang w:val="zh-CN"/>
        </w:rPr>
        <w:t>相关保函格式</w:t>
      </w:r>
      <w:r>
        <w:rPr>
          <w:color w:val="auto"/>
          <w:highlight w:val="none"/>
        </w:rPr>
        <w:tab/>
      </w:r>
      <w:r>
        <w:rPr>
          <w:color w:val="auto"/>
          <w:highlight w:val="none"/>
        </w:rPr>
        <w:fldChar w:fldCharType="begin"/>
      </w:r>
      <w:r>
        <w:rPr>
          <w:color w:val="auto"/>
          <w:highlight w:val="none"/>
        </w:rPr>
        <w:instrText xml:space="preserve"> PAGEREF _Toc11507 \h </w:instrText>
      </w:r>
      <w:r>
        <w:rPr>
          <w:color w:val="auto"/>
          <w:highlight w:val="none"/>
        </w:rPr>
        <w:fldChar w:fldCharType="separate"/>
      </w:r>
      <w:r>
        <w:rPr>
          <w:color w:val="auto"/>
          <w:highlight w:val="none"/>
        </w:rPr>
        <w:t>63</w:t>
      </w:r>
      <w:r>
        <w:rPr>
          <w:color w:val="auto"/>
          <w:highlight w:val="none"/>
        </w:rPr>
        <w:fldChar w:fldCharType="end"/>
      </w:r>
      <w:r>
        <w:rPr>
          <w:rFonts w:hint="eastAsia" w:ascii="宋体" w:hAnsi="宋体" w:eastAsia="宋体" w:cs="宋体"/>
          <w:bCs/>
          <w:color w:val="auto"/>
          <w:szCs w:val="21"/>
          <w:highlight w:val="none"/>
        </w:rPr>
        <w:fldChar w:fldCharType="end"/>
      </w:r>
    </w:p>
    <w:p w14:paraId="72565C5B">
      <w:pPr>
        <w:pStyle w:val="27"/>
        <w:tabs>
          <w:tab w:val="right" w:leader="dot" w:pos="1015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_Toc3077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第六篇 投标文件格式</w:t>
      </w:r>
      <w:r>
        <w:rPr>
          <w:color w:val="auto"/>
          <w:highlight w:val="none"/>
        </w:rPr>
        <w:tab/>
      </w:r>
      <w:r>
        <w:rPr>
          <w:color w:val="auto"/>
          <w:highlight w:val="none"/>
        </w:rPr>
        <w:fldChar w:fldCharType="begin"/>
      </w:r>
      <w:r>
        <w:rPr>
          <w:color w:val="auto"/>
          <w:highlight w:val="none"/>
        </w:rPr>
        <w:instrText xml:space="preserve"> PAGEREF _Toc3077 \h </w:instrText>
      </w:r>
      <w:r>
        <w:rPr>
          <w:color w:val="auto"/>
          <w:highlight w:val="none"/>
        </w:rPr>
        <w:fldChar w:fldCharType="separate"/>
      </w:r>
      <w:r>
        <w:rPr>
          <w:color w:val="auto"/>
          <w:highlight w:val="none"/>
        </w:rPr>
        <w:t>66</w:t>
      </w:r>
      <w:r>
        <w:rPr>
          <w:color w:val="auto"/>
          <w:highlight w:val="none"/>
        </w:rPr>
        <w:fldChar w:fldCharType="end"/>
      </w:r>
      <w:r>
        <w:rPr>
          <w:rFonts w:hint="eastAsia" w:ascii="宋体" w:hAnsi="宋体" w:eastAsia="宋体" w:cs="宋体"/>
          <w:bCs/>
          <w:color w:val="auto"/>
          <w:szCs w:val="21"/>
          <w:highlight w:val="none"/>
        </w:rPr>
        <w:fldChar w:fldCharType="end"/>
      </w:r>
    </w:p>
    <w:p w14:paraId="268F3C37">
      <w:pPr>
        <w:pStyle w:val="27"/>
        <w:tabs>
          <w:tab w:val="right" w:leader="dot" w:pos="10154"/>
        </w:tabs>
        <w:rPr>
          <w:color w:val="auto"/>
          <w:highlight w:val="none"/>
        </w:rPr>
      </w:pPr>
      <w:r>
        <w:rPr>
          <w:rFonts w:hint="eastAsia" w:ascii="宋体" w:hAnsi="宋体" w:eastAsia="宋体" w:cs="宋体"/>
          <w:bCs/>
          <w:color w:val="auto"/>
          <w:szCs w:val="21"/>
          <w:highlight w:val="none"/>
        </w:rPr>
        <w:fldChar w:fldCharType="begin"/>
      </w:r>
      <w:r>
        <w:rPr>
          <w:rFonts w:hint="eastAsia" w:ascii="宋体" w:hAnsi="宋体" w:eastAsia="宋体" w:cs="宋体"/>
          <w:bCs/>
          <w:color w:val="auto"/>
          <w:szCs w:val="21"/>
          <w:highlight w:val="none"/>
        </w:rPr>
        <w:instrText xml:space="preserve"> HYPERLINK \l _Toc13594 </w:instrText>
      </w:r>
      <w:r>
        <w:rPr>
          <w:rFonts w:hint="eastAsia" w:ascii="宋体" w:hAnsi="宋体" w:eastAsia="宋体" w:cs="宋体"/>
          <w:bCs/>
          <w:color w:val="auto"/>
          <w:szCs w:val="21"/>
          <w:highlight w:val="none"/>
        </w:rPr>
        <w:fldChar w:fldCharType="separate"/>
      </w:r>
      <w:r>
        <w:rPr>
          <w:rFonts w:hint="eastAsia" w:ascii="宋体" w:hAnsi="宋体" w:eastAsia="宋体" w:cs="宋体"/>
          <w:bCs/>
          <w:color w:val="auto"/>
          <w:kern w:val="44"/>
          <w:szCs w:val="32"/>
          <w:highlight w:val="none"/>
          <w:lang w:val="zh-CN"/>
        </w:rPr>
        <w:t>附件一：评标工作大纲</w:t>
      </w:r>
      <w:r>
        <w:rPr>
          <w:color w:val="auto"/>
          <w:highlight w:val="none"/>
        </w:rPr>
        <w:tab/>
      </w:r>
      <w:r>
        <w:rPr>
          <w:color w:val="auto"/>
          <w:highlight w:val="none"/>
        </w:rPr>
        <w:fldChar w:fldCharType="begin"/>
      </w:r>
      <w:r>
        <w:rPr>
          <w:color w:val="auto"/>
          <w:highlight w:val="none"/>
        </w:rPr>
        <w:instrText xml:space="preserve"> PAGEREF _Toc13594 \h </w:instrText>
      </w:r>
      <w:r>
        <w:rPr>
          <w:color w:val="auto"/>
          <w:highlight w:val="none"/>
        </w:rPr>
        <w:fldChar w:fldCharType="separate"/>
      </w:r>
      <w:r>
        <w:rPr>
          <w:color w:val="auto"/>
          <w:highlight w:val="none"/>
        </w:rPr>
        <w:t>104</w:t>
      </w:r>
      <w:r>
        <w:rPr>
          <w:color w:val="auto"/>
          <w:highlight w:val="none"/>
        </w:rPr>
        <w:fldChar w:fldCharType="end"/>
      </w:r>
      <w:r>
        <w:rPr>
          <w:rFonts w:hint="eastAsia" w:ascii="宋体" w:hAnsi="宋体" w:eastAsia="宋体" w:cs="宋体"/>
          <w:bCs/>
          <w:color w:val="auto"/>
          <w:szCs w:val="21"/>
          <w:highlight w:val="none"/>
        </w:rPr>
        <w:fldChar w:fldCharType="end"/>
      </w:r>
    </w:p>
    <w:p w14:paraId="1B4BF8DD">
      <w:pPr>
        <w:widowControl w:val="0"/>
        <w:tabs>
          <w:tab w:val="left" w:pos="851"/>
          <w:tab w:val="right" w:leader="dot" w:pos="10206"/>
        </w:tabs>
        <w:wordWrap/>
        <w:adjustRightInd/>
        <w:snapToGrid/>
        <w:spacing w:line="360" w:lineRule="auto"/>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Cs/>
          <w:color w:val="auto"/>
          <w:szCs w:val="21"/>
          <w:highlight w:val="none"/>
        </w:rPr>
        <w:fldChar w:fldCharType="end"/>
      </w:r>
    </w:p>
    <w:bookmarkEnd w:id="0"/>
    <w:p w14:paraId="07E206AB">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highlight w:val="none"/>
          <w:lang w:val="zh-CN"/>
        </w:rPr>
      </w:pPr>
      <w:bookmarkStart w:id="1" w:name="_Toc450662846"/>
      <w:bookmarkStart w:id="2" w:name="_Toc32052"/>
      <w:bookmarkStart w:id="3" w:name="_Toc2266"/>
      <w:bookmarkStart w:id="4" w:name="_Toc142508310"/>
      <w:bookmarkStart w:id="5" w:name="_Toc11717"/>
      <w:bookmarkStart w:id="6" w:name="_Toc17326"/>
      <w:bookmarkStart w:id="7" w:name="_Toc20249"/>
      <w:bookmarkStart w:id="8" w:name="_Toc2723_WPSOffice_Level1"/>
      <w:bookmarkStart w:id="9" w:name="_Toc4869"/>
      <w:bookmarkStart w:id="10" w:name="_Toc486167660"/>
      <w:r>
        <w:rPr>
          <w:rFonts w:ascii="宋体" w:hAnsi="宋体" w:eastAsia="宋体" w:cs="Times New Roman"/>
          <w:b/>
          <w:bCs/>
          <w:color w:val="auto"/>
          <w:kern w:val="44"/>
          <w:sz w:val="32"/>
          <w:szCs w:val="32"/>
          <w:highlight w:val="none"/>
          <w:lang w:val="zh-CN"/>
        </w:rPr>
        <w:t>第一篇 招标公告</w:t>
      </w:r>
      <w:bookmarkEnd w:id="1"/>
      <w:bookmarkEnd w:id="2"/>
      <w:bookmarkEnd w:id="3"/>
      <w:bookmarkEnd w:id="4"/>
      <w:bookmarkEnd w:id="5"/>
      <w:bookmarkEnd w:id="6"/>
      <w:bookmarkEnd w:id="7"/>
      <w:bookmarkEnd w:id="8"/>
      <w:bookmarkEnd w:id="9"/>
      <w:bookmarkEnd w:id="10"/>
    </w:p>
    <w:p w14:paraId="7A4E1FC6">
      <w:pPr>
        <w:autoSpaceDE w:val="0"/>
        <w:autoSpaceDN w:val="0"/>
        <w:adjustRightInd w:val="0"/>
        <w:snapToGrid w:val="0"/>
        <w:spacing w:line="360" w:lineRule="auto"/>
        <w:ind w:right="-34" w:firstLine="420" w:firstLineChars="200"/>
        <w:rPr>
          <w:rFonts w:ascii="宋体" w:hAnsi="宋体" w:eastAsia="宋体" w:cs="Times New Roman"/>
          <w:color w:val="auto"/>
          <w:szCs w:val="21"/>
          <w:highlight w:val="none"/>
          <w:lang w:val="zh-CN"/>
        </w:rPr>
      </w:pPr>
      <w:r>
        <w:rPr>
          <w:rFonts w:hint="eastAsia" w:ascii="宋体" w:hAnsi="宋体" w:eastAsia="宋体" w:cs="Times New Roman"/>
          <w:color w:val="auto"/>
          <w:kern w:val="0"/>
          <w:szCs w:val="21"/>
          <w:highlight w:val="none"/>
          <w:lang w:eastAsia="zh-CN"/>
        </w:rPr>
        <w:t>东莞市达盛招标代理有限公司</w:t>
      </w:r>
      <w:r>
        <w:rPr>
          <w:rFonts w:ascii="宋体" w:hAnsi="宋体" w:eastAsia="宋体" w:cs="Times New Roman"/>
          <w:color w:val="auto"/>
          <w:szCs w:val="21"/>
          <w:highlight w:val="none"/>
          <w:lang w:val="zh-CN"/>
        </w:rPr>
        <w:t>（以下简称“招标代理机构”）受</w:t>
      </w:r>
      <w:r>
        <w:rPr>
          <w:rFonts w:hint="eastAsia" w:ascii="宋体" w:hAnsi="宋体" w:eastAsia="宋体" w:cs="Times New Roman"/>
          <w:color w:val="auto"/>
          <w:kern w:val="0"/>
          <w:szCs w:val="21"/>
          <w:highlight w:val="none"/>
          <w:lang w:eastAsia="zh-CN"/>
        </w:rPr>
        <w:t>东莞市水务集团建设管理有限公司</w:t>
      </w:r>
      <w:r>
        <w:rPr>
          <w:rFonts w:ascii="宋体" w:hAnsi="宋体" w:eastAsia="宋体" w:cs="Times New Roman"/>
          <w:color w:val="auto"/>
          <w:szCs w:val="21"/>
          <w:highlight w:val="none"/>
          <w:lang w:val="zh-CN"/>
        </w:rPr>
        <w:t>（以下简称“招标人”）的委托，对</w:t>
      </w:r>
      <w:bookmarkStart w:id="11" w:name="_Hlk41903390"/>
      <w:r>
        <w:rPr>
          <w:rFonts w:hint="eastAsia" w:ascii="宋体" w:hAnsi="宋体" w:eastAsia="宋体" w:cs="Times New Roman"/>
          <w:color w:val="auto"/>
          <w:kern w:val="0"/>
          <w:szCs w:val="21"/>
          <w:highlight w:val="none"/>
          <w:lang w:eastAsia="zh-CN"/>
        </w:rPr>
        <w:t>珠三角水资源配置工程东莞配套芦花坑水厂一期配水管线工程-B标段第三方检测服务采购项目</w:t>
      </w:r>
      <w:r>
        <w:rPr>
          <w:rFonts w:ascii="宋体" w:hAnsi="宋体" w:eastAsia="宋体" w:cs="Times New Roman"/>
          <w:color w:val="auto"/>
          <w:szCs w:val="21"/>
          <w:highlight w:val="none"/>
          <w:lang w:val="zh-CN"/>
        </w:rPr>
        <w:t>(招标编号：</w:t>
      </w:r>
      <w:r>
        <w:rPr>
          <w:rFonts w:hint="eastAsia" w:ascii="宋体" w:hAnsi="宋体" w:eastAsia="宋体" w:cs="Times New Roman"/>
          <w:color w:val="auto"/>
          <w:szCs w:val="21"/>
          <w:highlight w:val="none"/>
          <w:lang w:val="zh-CN"/>
        </w:rPr>
        <w:t>DGDS2025-002</w:t>
      </w:r>
      <w:r>
        <w:rPr>
          <w:rFonts w:ascii="宋体" w:hAnsi="宋体" w:eastAsia="宋体" w:cs="Times New Roman"/>
          <w:color w:val="auto"/>
          <w:szCs w:val="21"/>
          <w:highlight w:val="none"/>
          <w:lang w:val="zh-CN"/>
        </w:rPr>
        <w:t>)</w:t>
      </w:r>
      <w:bookmarkEnd w:id="11"/>
      <w:r>
        <w:rPr>
          <w:rFonts w:ascii="宋体" w:hAnsi="宋体" w:eastAsia="宋体" w:cs="Times New Roman"/>
          <w:color w:val="auto"/>
          <w:szCs w:val="21"/>
          <w:highlight w:val="none"/>
          <w:lang w:val="zh-CN"/>
        </w:rPr>
        <w:t>进行国内公开招标，</w:t>
      </w:r>
      <w:r>
        <w:rPr>
          <w:rFonts w:hint="eastAsia" w:ascii="宋体" w:hAnsi="宋体" w:eastAsia="宋体" w:cs="Times New Roman"/>
          <w:bCs/>
          <w:color w:val="auto"/>
          <w:kern w:val="0"/>
          <w:szCs w:val="21"/>
          <w:highlight w:val="none"/>
        </w:rPr>
        <w:t>详情请参见本招标文件</w:t>
      </w:r>
      <w:r>
        <w:rPr>
          <w:rFonts w:ascii="宋体" w:hAnsi="宋体" w:eastAsia="宋体" w:cs="Times New Roman"/>
          <w:bCs/>
          <w:color w:val="auto"/>
          <w:kern w:val="0"/>
          <w:szCs w:val="21"/>
          <w:highlight w:val="none"/>
        </w:rPr>
        <w:t>。</w:t>
      </w:r>
      <w:r>
        <w:rPr>
          <w:rFonts w:hint="eastAsia" w:ascii="宋体" w:hAnsi="宋体" w:eastAsia="宋体" w:cs="Times New Roman"/>
          <w:color w:val="auto"/>
          <w:kern w:val="0"/>
          <w:szCs w:val="21"/>
          <w:highlight w:val="none"/>
        </w:rPr>
        <w:t>欢迎符合条件的合格投标人参加投标，</w:t>
      </w:r>
      <w:r>
        <w:rPr>
          <w:rFonts w:hint="eastAsia" w:ascii="宋体" w:hAnsi="宋体" w:eastAsia="宋体" w:cs="Times New Roman"/>
          <w:bCs/>
          <w:color w:val="auto"/>
          <w:kern w:val="0"/>
          <w:szCs w:val="21"/>
          <w:highlight w:val="none"/>
        </w:rPr>
        <w:t>有关事项如下：</w:t>
      </w:r>
    </w:p>
    <w:p w14:paraId="7722275A">
      <w:pPr>
        <w:autoSpaceDE w:val="0"/>
        <w:autoSpaceDN w:val="0"/>
        <w:adjustRightInd w:val="0"/>
        <w:spacing w:line="360" w:lineRule="auto"/>
        <w:ind w:right="-29" w:rightChars="-14" w:firstLine="420" w:firstLineChars="200"/>
        <w:rPr>
          <w:rFonts w:ascii="宋体" w:hAnsi="宋体" w:eastAsia="宋体" w:cs="Times New Roman"/>
          <w:color w:val="auto"/>
          <w:szCs w:val="21"/>
          <w:highlight w:val="none"/>
          <w:lang w:val="zh-CN"/>
        </w:rPr>
      </w:pPr>
    </w:p>
    <w:p w14:paraId="310E4A26">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招标范围：本项目由东莞市水务集团建设管理有限公司（以下简称“招标人”或“委托人”）采购一家检测服务单位（以下简称“中标人”或“检测人”）对东莞市水务集团供水有限公司（以下简称“项目业主”）委托招标人代建的</w:t>
      </w:r>
      <w:r>
        <w:rPr>
          <w:rFonts w:hint="eastAsia" w:ascii="宋体" w:hAnsi="宋体" w:eastAsia="宋体" w:cs="Times New Roman"/>
          <w:color w:val="auto"/>
          <w:szCs w:val="21"/>
          <w:highlight w:val="none"/>
          <w:lang w:val="en-US" w:eastAsia="zh-CN"/>
        </w:rPr>
        <w:t>珠三角水资源配置工程东莞配套芦花坑水厂一期配水管线工程-B标段</w:t>
      </w:r>
      <w:r>
        <w:rPr>
          <w:rFonts w:hint="eastAsia" w:ascii="宋体" w:hAnsi="宋体" w:eastAsia="宋体" w:cs="Times New Roman"/>
          <w:color w:val="auto"/>
          <w:szCs w:val="21"/>
          <w:highlight w:val="none"/>
          <w:lang w:val="zh-CN"/>
        </w:rPr>
        <w:t>（以下简称“本工程”）进行地基基础检测、结构实体检测、材料检测、道路检测及相关技术工作。（具体内容详见：第三篇用户需求书）</w:t>
      </w:r>
    </w:p>
    <w:p w14:paraId="03BA3279">
      <w:pPr>
        <w:autoSpaceDE w:val="0"/>
        <w:autoSpaceDN w:val="0"/>
        <w:adjustRightInd w:val="0"/>
        <w:spacing w:line="360" w:lineRule="auto"/>
        <w:ind w:right="-29" w:rightChars="-14"/>
        <w:rPr>
          <w:rFonts w:ascii="宋体" w:hAnsi="宋体" w:eastAsia="宋体" w:cs="Times New Roman"/>
          <w:color w:val="auto"/>
          <w:szCs w:val="21"/>
          <w:highlight w:val="none"/>
          <w:lang w:val="zh-CN"/>
        </w:rPr>
      </w:pPr>
    </w:p>
    <w:p w14:paraId="73974601">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highlight w:val="none"/>
          <w:lang w:val="zh-CN"/>
        </w:rPr>
      </w:pPr>
      <w:r>
        <w:rPr>
          <w:rFonts w:ascii="宋体" w:hAnsi="宋体" w:eastAsia="宋体" w:cs="Times New Roman"/>
          <w:b/>
          <w:color w:val="auto"/>
          <w:szCs w:val="21"/>
          <w:highlight w:val="none"/>
          <w:lang w:val="zh-CN"/>
        </w:rPr>
        <w:t>合格投标人</w:t>
      </w:r>
      <w:r>
        <w:rPr>
          <w:rFonts w:hint="eastAsia" w:ascii="宋体" w:hAnsi="宋体" w:eastAsia="宋体" w:cs="Times New Roman"/>
          <w:b/>
          <w:color w:val="auto"/>
          <w:szCs w:val="21"/>
          <w:highlight w:val="none"/>
          <w:lang w:val="zh-CN"/>
        </w:rPr>
        <w:t>资格要求</w:t>
      </w:r>
      <w:r>
        <w:rPr>
          <w:rFonts w:ascii="宋体" w:hAnsi="宋体" w:eastAsia="宋体" w:cs="Times New Roman"/>
          <w:b/>
          <w:color w:val="auto"/>
          <w:szCs w:val="21"/>
          <w:highlight w:val="none"/>
          <w:lang w:val="zh-CN"/>
        </w:rPr>
        <w:t>：</w:t>
      </w:r>
    </w:p>
    <w:p w14:paraId="481D6E87">
      <w:pPr>
        <w:pStyle w:val="55"/>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lang w:val="zh-CN"/>
        </w:rPr>
        <w:t>2</w:t>
      </w:r>
      <w:r>
        <w:rPr>
          <w:rFonts w:hAnsi="宋体" w:eastAsia="宋体"/>
          <w:b/>
          <w:color w:val="auto"/>
          <w:sz w:val="21"/>
          <w:szCs w:val="21"/>
          <w:highlight w:val="none"/>
          <w:lang w:val="zh-CN"/>
        </w:rPr>
        <w:t xml:space="preserve">.1 </w:t>
      </w:r>
      <w:r>
        <w:rPr>
          <w:rFonts w:hint="eastAsia" w:hAnsi="宋体" w:eastAsia="宋体"/>
          <w:b/>
          <w:color w:val="auto"/>
          <w:sz w:val="21"/>
          <w:szCs w:val="21"/>
          <w:highlight w:val="none"/>
          <w:lang w:val="zh-CN"/>
        </w:rPr>
        <w:t>在中华人民共和国境内登记注册、合法存续、正常经营且具有独立承担民事责任能力的法人或其他组织</w:t>
      </w:r>
      <w:r>
        <w:rPr>
          <w:rFonts w:hAnsi="宋体" w:eastAsia="宋体"/>
          <w:b/>
          <w:color w:val="auto"/>
          <w:sz w:val="21"/>
          <w:szCs w:val="21"/>
          <w:highlight w:val="none"/>
          <w:lang w:val="zh-CN"/>
        </w:rPr>
        <w:t>；</w:t>
      </w:r>
    </w:p>
    <w:p w14:paraId="1D54F4C0">
      <w:pPr>
        <w:pStyle w:val="55"/>
        <w:spacing w:line="360" w:lineRule="auto"/>
        <w:ind w:left="422" w:right="-29" w:rightChars="-14" w:hanging="422" w:hangingChars="200"/>
        <w:jc w:val="both"/>
        <w:rPr>
          <w:rFonts w:hint="eastAsia" w:hAnsi="宋体" w:eastAsia="宋体"/>
          <w:b/>
          <w:color w:val="auto"/>
          <w:sz w:val="21"/>
          <w:szCs w:val="21"/>
          <w:highlight w:val="none"/>
          <w:lang w:val="zh-CN"/>
        </w:rPr>
      </w:pPr>
      <w:bookmarkStart w:id="12" w:name="_Toc25819"/>
      <w:r>
        <w:rPr>
          <w:rFonts w:hint="eastAsia" w:hAnsi="宋体" w:eastAsia="宋体"/>
          <w:b/>
          <w:color w:val="auto"/>
          <w:sz w:val="21"/>
          <w:szCs w:val="21"/>
          <w:highlight w:val="none"/>
          <w:lang w:val="zh-CN"/>
        </w:rPr>
        <w:t>2.2</w:t>
      </w:r>
      <w:r>
        <w:rPr>
          <w:rFonts w:hint="eastAsia" w:hAnsi="宋体" w:eastAsia="宋体"/>
          <w:b/>
          <w:color w:val="auto"/>
          <w:sz w:val="21"/>
          <w:szCs w:val="21"/>
          <w:highlight w:val="none"/>
        </w:rPr>
        <w:t xml:space="preserve"> </w:t>
      </w:r>
      <w:r>
        <w:rPr>
          <w:rFonts w:hint="eastAsia" w:hAnsi="宋体" w:eastAsia="宋体"/>
          <w:b/>
          <w:color w:val="auto"/>
          <w:sz w:val="21"/>
          <w:szCs w:val="21"/>
          <w:highlight w:val="none"/>
          <w:lang w:val="zh-CN"/>
        </w:rPr>
        <w:t>投标人须同时具备由住房和城乡建设部门颁发的并在有效期内的建设工程质量检测机构资质证书（须同时涵盖见证取样检测、地基基础工程检测、主体结构工程现场检测、钢结构工程检测），或者是建设工程质量检测机构综合资质证书，或者是建设工程质量检测机构专项资质证书（须同时取得建筑材料及构配件、钢结构、地基基础、市政工程材料、道路工程</w:t>
      </w:r>
      <w:r>
        <w:rPr>
          <w:rFonts w:hint="eastAsia" w:hAnsi="宋体" w:eastAsia="宋体"/>
          <w:b/>
          <w:color w:val="auto"/>
          <w:sz w:val="21"/>
          <w:szCs w:val="21"/>
          <w:highlight w:val="none"/>
          <w:lang w:val="en-US" w:eastAsia="zh-CN"/>
        </w:rPr>
        <w:t>5</w:t>
      </w:r>
      <w:r>
        <w:rPr>
          <w:rFonts w:hint="eastAsia" w:hAnsi="宋体" w:eastAsia="宋体"/>
          <w:b/>
          <w:color w:val="auto"/>
          <w:sz w:val="21"/>
          <w:szCs w:val="21"/>
          <w:highlight w:val="none"/>
          <w:lang w:val="zh-CN"/>
        </w:rPr>
        <w:t>个专项资质）和计量行政部门颁发的C</w:t>
      </w:r>
      <w:r>
        <w:rPr>
          <w:rFonts w:hint="eastAsia" w:hAnsi="宋体" w:eastAsia="宋体"/>
          <w:b/>
          <w:color w:val="auto"/>
          <w:sz w:val="21"/>
          <w:szCs w:val="21"/>
          <w:highlight w:val="none"/>
          <w:lang w:val="en-US" w:eastAsia="zh-CN"/>
        </w:rPr>
        <w:t>MA</w:t>
      </w:r>
      <w:r>
        <w:rPr>
          <w:rFonts w:hint="eastAsia" w:hAnsi="宋体" w:eastAsia="宋体"/>
          <w:b/>
          <w:color w:val="auto"/>
          <w:sz w:val="21"/>
          <w:szCs w:val="21"/>
          <w:highlight w:val="none"/>
          <w:lang w:val="zh-CN"/>
        </w:rPr>
        <w:t>计量认证证书；</w:t>
      </w:r>
    </w:p>
    <w:p w14:paraId="635B9F48">
      <w:pPr>
        <w:pStyle w:val="55"/>
        <w:spacing w:line="360" w:lineRule="auto"/>
        <w:ind w:left="420" w:leftChars="200" w:right="-29" w:rightChars="-14" w:firstLine="0" w:firstLineChars="0"/>
        <w:jc w:val="both"/>
        <w:rPr>
          <w:rFonts w:hint="default" w:hAnsi="宋体" w:eastAsia="宋体"/>
          <w:b/>
          <w:color w:val="auto"/>
          <w:sz w:val="21"/>
          <w:szCs w:val="21"/>
          <w:highlight w:val="none"/>
          <w:lang w:val="en-US" w:eastAsia="zh-CN"/>
        </w:rPr>
      </w:pPr>
      <w:r>
        <w:rPr>
          <w:rFonts w:hint="eastAsia" w:hAnsi="宋体" w:eastAsia="宋体"/>
          <w:b/>
          <w:color w:val="auto"/>
          <w:sz w:val="21"/>
          <w:szCs w:val="21"/>
          <w:highlight w:val="none"/>
          <w:lang w:val="zh-CN"/>
        </w:rPr>
        <w:t>[注：</w:t>
      </w:r>
      <w:r>
        <w:rPr>
          <w:rFonts w:hint="eastAsia" w:hAnsi="宋体" w:eastAsia="宋体"/>
          <w:b/>
          <w:color w:val="auto"/>
          <w:sz w:val="21"/>
          <w:szCs w:val="21"/>
          <w:highlight w:val="none"/>
          <w:lang w:val="en-US" w:eastAsia="zh-CN"/>
        </w:rPr>
        <w:t>①根据《住房城乡建设部办公厅关于实施《建设工程质量检测管理办法》《建设工程质量检测机构资质标准》有关问题的通知》（建办质〔2024〕36号）规定，“为保障建设工程质量检测新旧资质平稳过渡，新旧资质过渡期延长至2024年10月31日。各省级住房城乡建设主管部门要结合地方实际，制定本地区实施细则”；</w:t>
      </w:r>
      <w:r>
        <w:rPr>
          <w:rFonts w:hint="default" w:hAnsi="宋体" w:eastAsia="宋体"/>
          <w:b/>
          <w:color w:val="auto"/>
          <w:sz w:val="21"/>
          <w:szCs w:val="21"/>
          <w:highlight w:val="none"/>
          <w:lang w:val="zh-CN" w:eastAsia="zh-CN"/>
        </w:rPr>
        <w:t>②属各省内各级住建主管部门审批的资质证书过期的，投标人如能提供该省有关顺延资质资格有效期有关文件且符合文件规定的，则视为仍然有效。③资质证书按规定已失效，未能重新办理核定领取新版资质证书的投标人，也未能提供顺延资质资格有效期有关文件或不符合文件规定的，参与本次项目投标的将作无效投标处理。</w:t>
      </w:r>
      <w:r>
        <w:rPr>
          <w:rFonts w:hint="eastAsia" w:hAnsi="宋体" w:eastAsia="宋体"/>
          <w:b/>
          <w:color w:val="auto"/>
          <w:sz w:val="21"/>
          <w:szCs w:val="21"/>
          <w:highlight w:val="none"/>
          <w:lang w:val="en-US" w:eastAsia="zh-CN"/>
        </w:rPr>
        <w:t>]</w:t>
      </w:r>
    </w:p>
    <w:p w14:paraId="2E9E68A2">
      <w:pPr>
        <w:pStyle w:val="55"/>
        <w:spacing w:line="360" w:lineRule="auto"/>
        <w:ind w:right="-29" w:rightChars="-14" w:firstLine="0" w:firstLineChars="0"/>
        <w:jc w:val="both"/>
        <w:rPr>
          <w:rFonts w:hAnsi="宋体" w:eastAsia="宋体"/>
          <w:b/>
          <w:color w:val="auto"/>
          <w:sz w:val="21"/>
          <w:szCs w:val="21"/>
          <w:highlight w:val="none"/>
          <w:lang w:val="zh-CN"/>
        </w:rPr>
      </w:pPr>
      <w:r>
        <w:rPr>
          <w:rFonts w:hint="eastAsia" w:hAnsi="宋体" w:eastAsia="宋体"/>
          <w:b/>
          <w:color w:val="auto"/>
          <w:sz w:val="21"/>
          <w:szCs w:val="21"/>
          <w:highlight w:val="none"/>
        </w:rPr>
        <w:t xml:space="preserve">2.3 </w:t>
      </w:r>
      <w:r>
        <w:rPr>
          <w:rFonts w:hint="eastAsia" w:hAnsi="宋体" w:eastAsia="宋体"/>
          <w:b/>
          <w:color w:val="auto"/>
          <w:sz w:val="21"/>
          <w:szCs w:val="21"/>
          <w:highlight w:val="none"/>
          <w:lang w:val="zh-CN"/>
        </w:rPr>
        <w:t>投标人20</w:t>
      </w:r>
      <w:r>
        <w:rPr>
          <w:rFonts w:hint="eastAsia" w:hAnsi="宋体" w:eastAsia="宋体"/>
          <w:b/>
          <w:color w:val="auto"/>
          <w:sz w:val="21"/>
          <w:szCs w:val="21"/>
          <w:highlight w:val="none"/>
          <w:lang w:val="en-US" w:eastAsia="zh-CN"/>
        </w:rPr>
        <w:t>20</w:t>
      </w:r>
      <w:r>
        <w:rPr>
          <w:rFonts w:hint="eastAsia" w:hAnsi="宋体" w:eastAsia="宋体"/>
          <w:b/>
          <w:color w:val="auto"/>
          <w:sz w:val="21"/>
          <w:szCs w:val="21"/>
          <w:highlight w:val="none"/>
          <w:lang w:val="zh-CN"/>
        </w:rPr>
        <w:t>年</w:t>
      </w:r>
      <w:r>
        <w:rPr>
          <w:rFonts w:hAnsi="宋体" w:eastAsia="宋体"/>
          <w:b/>
          <w:color w:val="auto"/>
          <w:sz w:val="21"/>
          <w:szCs w:val="21"/>
          <w:highlight w:val="none"/>
          <w:lang w:val="zh-CN"/>
        </w:rPr>
        <w:t>1月1日以来具有一项市政工程检测业绩（合同签订日期为</w:t>
      </w:r>
      <w:r>
        <w:rPr>
          <w:rFonts w:hint="eastAsia" w:hAnsi="宋体" w:eastAsia="宋体"/>
          <w:b/>
          <w:color w:val="auto"/>
          <w:sz w:val="21"/>
          <w:szCs w:val="21"/>
          <w:highlight w:val="none"/>
          <w:lang w:val="zh-CN"/>
        </w:rPr>
        <w:t>20</w:t>
      </w:r>
      <w:r>
        <w:rPr>
          <w:rFonts w:hint="eastAsia" w:hAnsi="宋体" w:eastAsia="宋体"/>
          <w:b/>
          <w:color w:val="auto"/>
          <w:sz w:val="21"/>
          <w:szCs w:val="21"/>
          <w:highlight w:val="none"/>
          <w:lang w:val="en-US" w:eastAsia="zh-CN"/>
        </w:rPr>
        <w:t>20</w:t>
      </w:r>
      <w:r>
        <w:rPr>
          <w:rFonts w:hint="eastAsia" w:hAnsi="宋体" w:eastAsia="宋体"/>
          <w:b/>
          <w:color w:val="auto"/>
          <w:sz w:val="21"/>
          <w:szCs w:val="21"/>
          <w:highlight w:val="none"/>
          <w:lang w:val="zh-CN"/>
        </w:rPr>
        <w:t>年</w:t>
      </w:r>
      <w:r>
        <w:rPr>
          <w:rFonts w:hAnsi="宋体" w:eastAsia="宋体"/>
          <w:b/>
          <w:color w:val="auto"/>
          <w:sz w:val="21"/>
          <w:szCs w:val="21"/>
          <w:highlight w:val="none"/>
          <w:lang w:val="zh-CN"/>
        </w:rPr>
        <w:t>1月1日或以后）</w:t>
      </w:r>
      <w:r>
        <w:rPr>
          <w:rFonts w:hint="eastAsia" w:hAnsi="宋体" w:eastAsia="宋体"/>
          <w:b/>
          <w:color w:val="auto"/>
          <w:sz w:val="21"/>
          <w:szCs w:val="21"/>
          <w:highlight w:val="none"/>
          <w:lang w:val="zh-CN"/>
        </w:rPr>
        <w:t>；</w:t>
      </w:r>
    </w:p>
    <w:p w14:paraId="0BC85E08">
      <w:pPr>
        <w:pStyle w:val="55"/>
        <w:spacing w:line="360" w:lineRule="auto"/>
        <w:ind w:right="-29" w:rightChars="-14" w:firstLine="0" w:firstLineChars="0"/>
        <w:jc w:val="both"/>
        <w:rPr>
          <w:rFonts w:hint="eastAsia" w:hAnsi="宋体" w:eastAsia="宋体"/>
          <w:b/>
          <w:color w:val="auto"/>
          <w:sz w:val="21"/>
          <w:szCs w:val="21"/>
          <w:highlight w:val="none"/>
          <w:lang w:val="zh-CN"/>
        </w:rPr>
      </w:pPr>
      <w:r>
        <w:rPr>
          <w:rFonts w:hint="eastAsia" w:hAnsi="宋体" w:eastAsia="宋体"/>
          <w:b/>
          <w:color w:val="auto"/>
          <w:sz w:val="21"/>
          <w:szCs w:val="21"/>
          <w:highlight w:val="none"/>
          <w:lang w:val="en-US" w:eastAsia="zh-CN"/>
        </w:rPr>
        <w:t xml:space="preserve">2.4 </w:t>
      </w:r>
      <w:r>
        <w:rPr>
          <w:rFonts w:hint="eastAsia" w:hAnsi="宋体" w:eastAsia="宋体"/>
          <w:b/>
          <w:color w:val="auto"/>
          <w:sz w:val="21"/>
          <w:szCs w:val="21"/>
          <w:highlight w:val="none"/>
          <w:lang w:val="zh-CN"/>
        </w:rPr>
        <w:t>本项目不接受联合体投标。</w:t>
      </w:r>
      <w:bookmarkEnd w:id="12"/>
    </w:p>
    <w:p w14:paraId="296955ED">
      <w:pPr>
        <w:pStyle w:val="55"/>
        <w:spacing w:line="360" w:lineRule="auto"/>
        <w:ind w:right="-29" w:rightChars="-14" w:firstLine="0" w:firstLineChars="0"/>
        <w:jc w:val="both"/>
        <w:rPr>
          <w:rFonts w:hint="eastAsia" w:hAnsi="宋体" w:eastAsia="宋体"/>
          <w:b/>
          <w:color w:val="auto"/>
          <w:sz w:val="21"/>
          <w:szCs w:val="21"/>
          <w:highlight w:val="none"/>
          <w:lang w:val="zh-CN"/>
        </w:rPr>
      </w:pPr>
    </w:p>
    <w:p w14:paraId="5FD869BB">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获取招标文件的方式：本项目采用“不记名网上下载”的方式发布招标文件，</w:t>
      </w:r>
      <w:r>
        <w:rPr>
          <w:rFonts w:hint="eastAsia" w:ascii="宋体" w:hAnsi="宋体" w:eastAsia="宋体" w:cs="Times New Roman"/>
          <w:color w:val="auto"/>
          <w:szCs w:val="21"/>
          <w:highlight w:val="none"/>
          <w:lang w:val="zh-CN"/>
        </w:rPr>
        <w:t>有意向的投标人可于本项目投标截止时间前，在本项目招标信息发布媒介</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详见本招标公告第7点（除中国招标投标公共服务平台外）</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lang w:val="zh-CN"/>
        </w:rPr>
        <w:t>下载招标文件。</w:t>
      </w:r>
    </w:p>
    <w:p w14:paraId="009F9DD8">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highlight w:val="none"/>
          <w:lang w:val="zh-CN"/>
        </w:rPr>
      </w:pPr>
    </w:p>
    <w:p w14:paraId="7A6FBB5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招标代理机构</w:t>
      </w:r>
      <w:r>
        <w:rPr>
          <w:rFonts w:hint="eastAsia" w:ascii="宋体" w:hAnsi="宋体" w:eastAsia="宋体" w:cs="Times New Roman"/>
          <w:color w:val="auto"/>
          <w:szCs w:val="21"/>
          <w:highlight w:val="none"/>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highlight w:val="none"/>
          <w:lang w:val="en-US" w:eastAsia="zh-CN"/>
        </w:rPr>
        <w:t>政府采购</w:t>
      </w:r>
      <w:r>
        <w:rPr>
          <w:rFonts w:hint="eastAsia" w:ascii="宋体" w:hAnsi="宋体" w:eastAsia="宋体" w:cs="Times New Roman"/>
          <w:color w:val="auto"/>
          <w:szCs w:val="21"/>
          <w:highlight w:val="none"/>
          <w:lang w:val="zh-CN"/>
        </w:rPr>
        <w:t>严重违法失信行为记录名单的投标人，做好相关记录（处罚期限届满的除外）</w:t>
      </w:r>
      <w:r>
        <w:rPr>
          <w:rFonts w:ascii="宋体" w:hAnsi="宋体" w:eastAsia="宋体" w:cs="Times New Roman"/>
          <w:color w:val="auto"/>
          <w:szCs w:val="21"/>
          <w:highlight w:val="none"/>
          <w:lang w:val="zh-CN"/>
        </w:rPr>
        <w:t>。</w:t>
      </w:r>
    </w:p>
    <w:p w14:paraId="61EAD79E">
      <w:pPr>
        <w:autoSpaceDE w:val="0"/>
        <w:autoSpaceDN w:val="0"/>
        <w:adjustRightInd w:val="0"/>
        <w:spacing w:line="360" w:lineRule="auto"/>
        <w:ind w:right="-29" w:rightChars="-14" w:firstLine="420"/>
        <w:rPr>
          <w:rFonts w:ascii="宋体" w:hAnsi="宋体" w:eastAsia="宋体" w:cs="Times New Roman"/>
          <w:color w:val="auto"/>
          <w:szCs w:val="21"/>
          <w:highlight w:val="none"/>
          <w:lang w:val="zh-CN"/>
        </w:rPr>
      </w:pPr>
    </w:p>
    <w:p w14:paraId="70206F2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投标、开标时间及地点：</w:t>
      </w:r>
    </w:p>
    <w:p w14:paraId="24172A5F">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5.1 </w:t>
      </w:r>
      <w:r>
        <w:rPr>
          <w:rFonts w:ascii="宋体" w:hAnsi="宋体" w:eastAsia="宋体" w:cs="Times New Roman"/>
          <w:color w:val="auto"/>
          <w:szCs w:val="21"/>
          <w:highlight w:val="none"/>
          <w:lang w:val="zh-CN"/>
        </w:rPr>
        <w:t>投标文件递交时间：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 xml:space="preserve"> 4 </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 xml:space="preserve"> 23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13</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30</w:t>
      </w:r>
      <w:r>
        <w:rPr>
          <w:rFonts w:hint="eastAsia" w:ascii="宋体" w:hAnsi="宋体" w:eastAsia="宋体" w:cs="Times New Roman"/>
          <w:bCs/>
          <w:color w:val="auto"/>
          <w:kern w:val="0"/>
          <w:szCs w:val="21"/>
          <w:highlight w:val="none"/>
        </w:rPr>
        <w:t>～</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14:paraId="59C505CA">
      <w:pPr>
        <w:autoSpaceDE w:val="0"/>
        <w:autoSpaceDN w:val="0"/>
        <w:adjustRightInd w:val="0"/>
        <w:spacing w:line="360" w:lineRule="auto"/>
        <w:ind w:right="-29" w:rightChars="-14"/>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 xml:space="preserve">5.2 </w:t>
      </w:r>
      <w:r>
        <w:rPr>
          <w:rFonts w:ascii="宋体" w:hAnsi="宋体" w:eastAsia="宋体" w:cs="Times New Roman"/>
          <w:color w:val="auto"/>
          <w:szCs w:val="21"/>
          <w:highlight w:val="none"/>
          <w:lang w:val="zh-CN"/>
        </w:rPr>
        <w:t>投标截止及开标时间：</w:t>
      </w:r>
      <w:r>
        <w:rPr>
          <w:rFonts w:hint="eastAsia" w:ascii="宋体" w:hAnsi="宋体" w:eastAsia="宋体" w:cs="Times New Roman"/>
          <w:color w:val="auto"/>
          <w:szCs w:val="21"/>
          <w:highlight w:val="none"/>
          <w:u w:val="single"/>
          <w:lang w:val="en-US" w:eastAsia="zh-CN"/>
        </w:rPr>
        <w:t>2025</w:t>
      </w:r>
      <w:r>
        <w:rPr>
          <w:rFonts w:hint="eastAsia" w:ascii="宋体" w:hAnsi="宋体" w:eastAsia="宋体" w:cs="Times New Roman"/>
          <w:bCs/>
          <w:color w:val="auto"/>
          <w:kern w:val="0"/>
          <w:szCs w:val="21"/>
          <w:highlight w:val="none"/>
        </w:rPr>
        <w:t>年</w:t>
      </w:r>
      <w:r>
        <w:rPr>
          <w:rFonts w:hint="eastAsia" w:ascii="宋体" w:hAnsi="宋体" w:eastAsia="宋体" w:cs="Times New Roman"/>
          <w:color w:val="auto"/>
          <w:szCs w:val="21"/>
          <w:highlight w:val="none"/>
          <w:u w:val="single"/>
          <w:lang w:val="en-US" w:eastAsia="zh-CN"/>
        </w:rPr>
        <w:t xml:space="preserve"> 4 </w:t>
      </w:r>
      <w:r>
        <w:rPr>
          <w:rFonts w:hint="eastAsia" w:ascii="宋体" w:hAnsi="宋体" w:eastAsia="宋体" w:cs="Times New Roman"/>
          <w:bCs/>
          <w:color w:val="auto"/>
          <w:kern w:val="0"/>
          <w:szCs w:val="21"/>
          <w:highlight w:val="none"/>
        </w:rPr>
        <w:t>月</w:t>
      </w:r>
      <w:r>
        <w:rPr>
          <w:rFonts w:hint="eastAsia" w:ascii="宋体" w:hAnsi="宋体" w:eastAsia="宋体" w:cs="Times New Roman"/>
          <w:color w:val="auto"/>
          <w:szCs w:val="21"/>
          <w:highlight w:val="none"/>
          <w:u w:val="single"/>
          <w:lang w:val="en-US" w:eastAsia="zh-CN"/>
        </w:rPr>
        <w:t xml:space="preserve"> 23 </w:t>
      </w:r>
      <w:r>
        <w:rPr>
          <w:rFonts w:hint="eastAsia" w:ascii="宋体" w:hAnsi="宋体" w:eastAsia="宋体" w:cs="Times New Roman"/>
          <w:bCs/>
          <w:color w:val="auto"/>
          <w:kern w:val="0"/>
          <w:szCs w:val="21"/>
          <w:highlight w:val="none"/>
        </w:rPr>
        <w:t>日</w:t>
      </w:r>
      <w:r>
        <w:rPr>
          <w:rFonts w:hint="eastAsia" w:ascii="宋体" w:hAnsi="宋体" w:eastAsia="宋体" w:cs="Times New Roman"/>
          <w:color w:val="auto"/>
          <w:szCs w:val="21"/>
          <w:highlight w:val="none"/>
          <w:u w:val="single"/>
          <w:lang w:val="en-US" w:eastAsia="zh-CN"/>
        </w:rPr>
        <w:t>14</w:t>
      </w:r>
      <w:r>
        <w:rPr>
          <w:rFonts w:hint="eastAsia" w:ascii="宋体" w:hAnsi="宋体" w:eastAsia="宋体" w:cs="Times New Roman"/>
          <w:bCs/>
          <w:color w:val="auto"/>
          <w:kern w:val="0"/>
          <w:szCs w:val="21"/>
          <w:highlight w:val="none"/>
          <w:u w:val="single"/>
        </w:rPr>
        <w:t>:</w:t>
      </w:r>
      <w:r>
        <w:rPr>
          <w:rFonts w:hint="eastAsia" w:ascii="宋体" w:hAnsi="宋体" w:eastAsia="宋体" w:cs="Times New Roman"/>
          <w:color w:val="auto"/>
          <w:szCs w:val="21"/>
          <w:highlight w:val="none"/>
          <w:u w:val="single"/>
          <w:lang w:val="en-US" w:eastAsia="zh-CN"/>
        </w:rPr>
        <w:t>00</w:t>
      </w:r>
      <w:r>
        <w:rPr>
          <w:rFonts w:hint="eastAsia" w:ascii="宋体" w:hAnsi="宋体" w:eastAsia="宋体" w:cs="Times New Roman"/>
          <w:bCs/>
          <w:color w:val="auto"/>
          <w:kern w:val="0"/>
          <w:szCs w:val="21"/>
          <w:highlight w:val="none"/>
        </w:rPr>
        <w:t>；</w:t>
      </w:r>
    </w:p>
    <w:p w14:paraId="06EEB6BC">
      <w:pPr>
        <w:autoSpaceDE w:val="0"/>
        <w:autoSpaceDN w:val="0"/>
        <w:adjustRightInd w:val="0"/>
        <w:spacing w:line="360" w:lineRule="auto"/>
        <w:ind w:right="-29" w:rightChars="-14"/>
        <w:rPr>
          <w:rFonts w:ascii="宋体" w:hAnsi="宋体" w:eastAsia="宋体" w:cs="Times New Roman"/>
          <w:color w:val="auto"/>
          <w:kern w:val="0"/>
          <w:szCs w:val="21"/>
          <w:highlight w:val="none"/>
        </w:rPr>
      </w:pPr>
      <w:r>
        <w:rPr>
          <w:rFonts w:ascii="宋体" w:hAnsi="宋体" w:eastAsia="宋体" w:cs="Times New Roman"/>
          <w:color w:val="auto"/>
          <w:szCs w:val="21"/>
          <w:highlight w:val="none"/>
          <w:lang w:val="zh-CN"/>
        </w:rPr>
        <w:t>5.3 投标及开标地点：</w:t>
      </w:r>
      <w:r>
        <w:rPr>
          <w:rFonts w:hint="eastAsia" w:ascii="宋体" w:hAnsi="宋体" w:eastAsia="宋体" w:cs="Times New Roman"/>
          <w:color w:val="auto"/>
          <w:szCs w:val="21"/>
          <w:highlight w:val="none"/>
          <w:u w:val="single"/>
          <w:lang w:val="zh-CN"/>
        </w:rPr>
        <w:t>东莞市东城街道御景大厦303室（东城区政府旁）</w:t>
      </w:r>
      <w:r>
        <w:rPr>
          <w:rFonts w:hint="eastAsia" w:ascii="宋体" w:hAnsi="宋体" w:eastAsia="宋体" w:cs="Times New Roman"/>
          <w:color w:val="auto"/>
          <w:kern w:val="0"/>
          <w:szCs w:val="21"/>
          <w:highlight w:val="none"/>
        </w:rPr>
        <w:t>。</w:t>
      </w:r>
    </w:p>
    <w:p w14:paraId="39DB5CD7">
      <w:pPr>
        <w:autoSpaceDE w:val="0"/>
        <w:autoSpaceDN w:val="0"/>
        <w:adjustRightInd w:val="0"/>
        <w:spacing w:line="360" w:lineRule="auto"/>
        <w:ind w:right="-29" w:rightChars="-14" w:firstLine="210" w:firstLineChars="100"/>
        <w:rPr>
          <w:rFonts w:ascii="宋体" w:hAnsi="宋体" w:eastAsia="宋体" w:cs="Times New Roman"/>
          <w:color w:val="auto"/>
          <w:kern w:val="0"/>
          <w:szCs w:val="21"/>
          <w:highlight w:val="none"/>
        </w:rPr>
      </w:pPr>
    </w:p>
    <w:p w14:paraId="7633A6A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highlight w:val="none"/>
          <w:lang w:val="zh-CN"/>
        </w:rPr>
        <w:t>。电报、传真形式的投标概不接受。</w:t>
      </w:r>
    </w:p>
    <w:p w14:paraId="4F335EC9">
      <w:pPr>
        <w:autoSpaceDE w:val="0"/>
        <w:autoSpaceDN w:val="0"/>
        <w:adjustRightInd w:val="0"/>
        <w:spacing w:line="360" w:lineRule="auto"/>
        <w:ind w:left="210" w:leftChars="100" w:right="-29" w:rightChars="-14"/>
        <w:rPr>
          <w:rFonts w:ascii="宋体" w:hAnsi="宋体" w:eastAsia="宋体" w:cs="Times New Roman"/>
          <w:color w:val="auto"/>
          <w:szCs w:val="21"/>
          <w:highlight w:val="none"/>
          <w:lang w:val="zh-CN"/>
        </w:rPr>
      </w:pPr>
    </w:p>
    <w:p w14:paraId="6EEABB6F">
      <w:pPr>
        <w:numPr>
          <w:ilvl w:val="0"/>
          <w:numId w:val="1"/>
        </w:numPr>
        <w:autoSpaceDE w:val="0"/>
        <w:autoSpaceDN w:val="0"/>
        <w:adjustRightInd w:val="0"/>
        <w:snapToGrid w:val="0"/>
        <w:spacing w:line="360" w:lineRule="auto"/>
        <w:ind w:right="-34"/>
        <w:jc w:val="left"/>
        <w:rPr>
          <w:rFonts w:ascii="宋体" w:hAnsi="宋体" w:eastAsia="宋体" w:cs="Times New Roman"/>
          <w:bCs/>
          <w:color w:val="auto"/>
          <w:szCs w:val="21"/>
          <w:highlight w:val="none"/>
        </w:rPr>
      </w:pPr>
      <w:r>
        <w:rPr>
          <w:rFonts w:hint="eastAsia" w:ascii="宋体" w:hAnsi="宋体" w:eastAsia="宋体" w:cs="Times New Roman"/>
          <w:bCs/>
          <w:color w:val="auto"/>
          <w:szCs w:val="21"/>
          <w:highlight w:val="none"/>
        </w:rPr>
        <w:t>本项目相关公告在以下媒介发布：中国招标投标公共服务平台（www.cebpubservice.com）、东莞市水务集团有限公司网（www.dgswjt.cn）、招标代理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Times New Roman"/>
          <w:bCs/>
          <w:color w:val="auto"/>
          <w:szCs w:val="21"/>
          <w:highlight w:val="none"/>
          <w:lang w:eastAsia="zh-CN"/>
        </w:rPr>
        <w:t>www.dashengtd.com</w:t>
      </w:r>
      <w:r>
        <w:rPr>
          <w:rFonts w:hint="eastAsia" w:ascii="宋体" w:hAnsi="宋体" w:eastAsia="宋体" w:cs="Times New Roman"/>
          <w:bCs/>
          <w:color w:val="auto"/>
          <w:szCs w:val="21"/>
          <w:highlight w:val="none"/>
        </w:rPr>
        <w:t>）</w:t>
      </w:r>
      <w:r>
        <w:rPr>
          <w:rFonts w:ascii="宋体" w:hAnsi="宋体" w:eastAsia="宋体" w:cs="Times New Roman"/>
          <w:color w:val="auto"/>
          <w:szCs w:val="21"/>
          <w:highlight w:val="none"/>
          <w:lang w:val="zh-CN"/>
        </w:rPr>
        <w:t>。</w:t>
      </w:r>
    </w:p>
    <w:p w14:paraId="33A08BB0">
      <w:pPr>
        <w:numPr>
          <w:ilvl w:val="0"/>
          <w:numId w:val="0"/>
        </w:numPr>
        <w:autoSpaceDE w:val="0"/>
        <w:autoSpaceDN w:val="0"/>
        <w:adjustRightInd w:val="0"/>
        <w:snapToGrid w:val="0"/>
        <w:spacing w:line="360" w:lineRule="auto"/>
        <w:ind w:leftChars="0" w:right="-34"/>
        <w:jc w:val="left"/>
        <w:rPr>
          <w:rFonts w:ascii="宋体" w:hAnsi="宋体" w:eastAsia="宋体" w:cs="Times New Roman"/>
          <w:bCs/>
          <w:color w:val="auto"/>
          <w:szCs w:val="21"/>
          <w:highlight w:val="none"/>
        </w:rPr>
      </w:pPr>
    </w:p>
    <w:p w14:paraId="380FEBA0">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bCs/>
          <w:color w:val="auto"/>
          <w:szCs w:val="21"/>
          <w:highlight w:val="none"/>
          <w:lang w:val="zh-CN"/>
        </w:rPr>
        <w:t>招标人联系方式</w:t>
      </w:r>
    </w:p>
    <w:p w14:paraId="696FF7AB">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招标人：</w:t>
      </w:r>
      <w:r>
        <w:rPr>
          <w:rFonts w:hint="eastAsia" w:ascii="宋体" w:hAnsi="宋体" w:eastAsia="宋体" w:cs="Times New Roman"/>
          <w:color w:val="auto"/>
          <w:kern w:val="0"/>
          <w:szCs w:val="21"/>
          <w:highlight w:val="none"/>
          <w:lang w:eastAsia="zh-CN"/>
        </w:rPr>
        <w:t>东莞市水务集团建设管理有限公司</w:t>
      </w:r>
    </w:p>
    <w:p w14:paraId="36E24543">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rPr>
        <w:t>地</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rPr>
        <w:t xml:space="preserve"> 址：</w:t>
      </w:r>
      <w:r>
        <w:rPr>
          <w:rFonts w:hint="eastAsia" w:ascii="宋体" w:hAnsi="宋体" w:eastAsia="宋体" w:cs="Times New Roman"/>
          <w:color w:val="auto"/>
          <w:kern w:val="0"/>
          <w:szCs w:val="21"/>
          <w:highlight w:val="none"/>
          <w:lang w:eastAsia="zh-CN"/>
        </w:rPr>
        <w:t>广东省东莞市南城街道滨河路100号一期1号楼102室</w:t>
      </w:r>
    </w:p>
    <w:p w14:paraId="1F252C79">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highlight w:val="none"/>
          <w:lang w:val="en-US"/>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陈方凯</w:t>
      </w:r>
    </w:p>
    <w:p w14:paraId="4ACC3FD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电  话：</w:t>
      </w:r>
      <w:r>
        <w:rPr>
          <w:rFonts w:hint="eastAsia" w:ascii="宋体" w:hAnsi="宋体" w:eastAsia="宋体" w:cs="Times New Roman"/>
          <w:color w:val="auto"/>
          <w:kern w:val="0"/>
          <w:szCs w:val="21"/>
          <w:highlight w:val="none"/>
        </w:rPr>
        <w:t>0769-22008759</w:t>
      </w:r>
    </w:p>
    <w:p w14:paraId="4A02A8E1">
      <w:pPr>
        <w:autoSpaceDE w:val="0"/>
        <w:autoSpaceDN w:val="0"/>
        <w:adjustRightInd w:val="0"/>
        <w:spacing w:line="360" w:lineRule="auto"/>
        <w:ind w:right="-29" w:rightChars="-14" w:firstLine="420"/>
        <w:rPr>
          <w:rFonts w:ascii="宋体" w:hAnsi="宋体" w:eastAsia="宋体" w:cs="Times New Roman"/>
          <w:color w:val="auto"/>
          <w:kern w:val="0"/>
          <w:szCs w:val="21"/>
          <w:highlight w:val="none"/>
        </w:rPr>
      </w:pPr>
    </w:p>
    <w:p w14:paraId="3A2A8561">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highlight w:val="none"/>
        </w:rPr>
      </w:pPr>
      <w:r>
        <w:rPr>
          <w:rFonts w:ascii="宋体" w:hAnsi="宋体" w:eastAsia="宋体" w:cs="Times New Roman"/>
          <w:color w:val="auto"/>
          <w:szCs w:val="21"/>
          <w:highlight w:val="none"/>
        </w:rPr>
        <w:t>招标代理机构</w:t>
      </w:r>
      <w:r>
        <w:rPr>
          <w:rFonts w:hint="eastAsia" w:ascii="宋体" w:hAnsi="宋体" w:eastAsia="宋体" w:cs="Times New Roman"/>
          <w:color w:val="auto"/>
          <w:szCs w:val="21"/>
          <w:highlight w:val="none"/>
        </w:rPr>
        <w:t>及异议受理</w:t>
      </w:r>
      <w:r>
        <w:rPr>
          <w:rFonts w:ascii="宋体" w:hAnsi="宋体" w:eastAsia="宋体" w:cs="Times New Roman"/>
          <w:color w:val="auto"/>
          <w:szCs w:val="21"/>
          <w:highlight w:val="none"/>
        </w:rPr>
        <w:t>联系方式</w:t>
      </w:r>
    </w:p>
    <w:p w14:paraId="234DF1A0">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eastAsia="zh-CN"/>
        </w:rPr>
      </w:pPr>
      <w:bookmarkStart w:id="13" w:name="_Toc486167661"/>
      <w:bookmarkStart w:id="14" w:name="_Toc31764_WPSOffice_Level1"/>
      <w:bookmarkStart w:id="15" w:name="_Toc450662847"/>
      <w:r>
        <w:rPr>
          <w:rFonts w:ascii="宋体" w:hAnsi="宋体" w:eastAsia="宋体" w:cs="Times New Roman"/>
          <w:color w:val="auto"/>
          <w:kern w:val="0"/>
          <w:szCs w:val="21"/>
          <w:highlight w:val="none"/>
        </w:rPr>
        <w:t>招标代理机构：</w:t>
      </w:r>
      <w:r>
        <w:rPr>
          <w:rFonts w:hint="eastAsia" w:ascii="宋体" w:hAnsi="宋体" w:eastAsia="宋体" w:cs="Times New Roman"/>
          <w:color w:val="auto"/>
          <w:kern w:val="0"/>
          <w:szCs w:val="21"/>
          <w:highlight w:val="none"/>
          <w:lang w:eastAsia="zh-CN"/>
        </w:rPr>
        <w:t>东莞市达盛招标代理有限公司</w:t>
      </w:r>
    </w:p>
    <w:p w14:paraId="59BB4BE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地  址：</w:t>
      </w:r>
      <w:r>
        <w:rPr>
          <w:rFonts w:hint="eastAsia" w:ascii="宋体" w:hAnsi="宋体" w:eastAsia="宋体" w:cs="宋体"/>
          <w:color w:val="auto"/>
          <w:szCs w:val="21"/>
          <w:highlight w:val="none"/>
          <w:lang w:val="zh-CN"/>
        </w:rPr>
        <w:t>东莞市东城街道御景大厦303室（东城区政府旁）</w:t>
      </w:r>
    </w:p>
    <w:p w14:paraId="78EA2301">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rPr>
        <w:t>联系人：</w:t>
      </w:r>
      <w:r>
        <w:rPr>
          <w:rFonts w:hint="eastAsia" w:ascii="宋体" w:hAnsi="宋体" w:eastAsia="宋体" w:cs="Times New Roman"/>
          <w:color w:val="auto"/>
          <w:kern w:val="0"/>
          <w:szCs w:val="21"/>
          <w:highlight w:val="none"/>
          <w:lang w:val="en-US" w:eastAsia="zh-CN"/>
        </w:rPr>
        <w:t>杨浩林</w:t>
      </w:r>
    </w:p>
    <w:p w14:paraId="32752B15">
      <w:pPr>
        <w:widowControl/>
        <w:autoSpaceDE w:val="0"/>
        <w:autoSpaceDN w:val="0"/>
        <w:adjustRightInd w:val="0"/>
        <w:spacing w:line="360" w:lineRule="auto"/>
        <w:ind w:right="-31" w:rightChars="-15" w:firstLine="424" w:firstLineChars="202"/>
        <w:jc w:val="left"/>
        <w:textAlignment w:val="bottom"/>
        <w:rPr>
          <w:rFonts w:hint="eastAsia" w:ascii="宋体" w:hAnsi="宋体" w:eastAsia="宋体" w:cs="宋体"/>
          <w:color w:val="auto"/>
          <w:kern w:val="0"/>
          <w:szCs w:val="21"/>
          <w:highlight w:val="none"/>
          <w:lang w:val="zh-CN"/>
        </w:rPr>
      </w:pPr>
      <w:r>
        <w:rPr>
          <w:rFonts w:hint="eastAsia" w:ascii="宋体" w:hAnsi="宋体" w:eastAsia="宋体" w:cs="Times New Roman"/>
          <w:color w:val="auto"/>
          <w:kern w:val="0"/>
          <w:szCs w:val="21"/>
          <w:highlight w:val="none"/>
        </w:rPr>
        <w:t xml:space="preserve">电 </w:t>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话</w:t>
      </w:r>
      <w:r>
        <w:rPr>
          <w:rFonts w:ascii="宋体" w:hAnsi="宋体" w:eastAsia="宋体" w:cs="Times New Roman"/>
          <w:color w:val="auto"/>
          <w:kern w:val="0"/>
          <w:szCs w:val="21"/>
          <w:highlight w:val="none"/>
        </w:rPr>
        <w:t>：</w:t>
      </w:r>
      <w:r>
        <w:rPr>
          <w:rFonts w:hint="eastAsia" w:ascii="宋体" w:hAnsi="宋体" w:eastAsia="宋体" w:cs="宋体"/>
          <w:color w:val="auto"/>
          <w:szCs w:val="21"/>
          <w:highlight w:val="none"/>
          <w:lang w:val="zh-CN"/>
        </w:rPr>
        <w:t>0769-22113229</w:t>
      </w:r>
    </w:p>
    <w:p w14:paraId="5F74C60B">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highlight w:val="none"/>
        </w:rPr>
      </w:pPr>
      <w:bookmarkStart w:id="16" w:name="_Toc18212"/>
      <w:bookmarkStart w:id="17" w:name="_Toc15111"/>
      <w:bookmarkStart w:id="18" w:name="_Toc25872"/>
      <w:bookmarkStart w:id="19" w:name="_Toc31498"/>
      <w:bookmarkStart w:id="20" w:name="_Toc28248"/>
      <w:bookmarkStart w:id="21" w:name="_Toc15865"/>
      <w:bookmarkStart w:id="22" w:name="_Toc142508311"/>
      <w:r>
        <w:rPr>
          <w:rFonts w:hint="eastAsia" w:ascii="宋体" w:hAnsi="宋体" w:eastAsia="宋体" w:cs="宋体"/>
          <w:b/>
          <w:bCs/>
          <w:color w:val="auto"/>
          <w:kern w:val="44"/>
          <w:sz w:val="32"/>
          <w:szCs w:val="32"/>
          <w:highlight w:val="none"/>
          <w:lang w:val="zh-CN"/>
        </w:rPr>
        <w:t>第二篇</w:t>
      </w:r>
      <w:r>
        <w:rPr>
          <w:rFonts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3"/>
      <w:bookmarkEnd w:id="14"/>
      <w:bookmarkEnd w:id="15"/>
      <w:bookmarkEnd w:id="16"/>
      <w:bookmarkEnd w:id="17"/>
      <w:bookmarkEnd w:id="18"/>
      <w:bookmarkEnd w:id="19"/>
      <w:bookmarkEnd w:id="20"/>
      <w:bookmarkEnd w:id="21"/>
      <w:bookmarkEnd w:id="22"/>
    </w:p>
    <w:p w14:paraId="462D0952">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3" w:name="_Toc15366_WPSOffice_Level2"/>
      <w:bookmarkStart w:id="24" w:name="_Toc486167662"/>
      <w:bookmarkStart w:id="25" w:name="_Toc27426"/>
      <w:bookmarkStart w:id="26" w:name="_Toc24479"/>
      <w:bookmarkStart w:id="27" w:name="_Toc450662848"/>
      <w:bookmarkStart w:id="28" w:name="_Toc140596871"/>
      <w:bookmarkStart w:id="29" w:name="_Toc9555"/>
      <w:bookmarkStart w:id="30" w:name="_Toc142508312"/>
      <w:bookmarkStart w:id="31" w:name="_Toc11520"/>
      <w:bookmarkStart w:id="32" w:name="_Toc10571"/>
      <w:bookmarkStart w:id="33" w:name="_Toc31872"/>
      <w:r>
        <w:rPr>
          <w:rFonts w:hint="eastAsia" w:ascii="宋体" w:hAnsi="宋体" w:eastAsia="宋体" w:cs="宋体"/>
          <w:b/>
          <w:bCs/>
          <w:color w:val="auto"/>
          <w:kern w:val="44"/>
          <w:szCs w:val="21"/>
          <w:highlight w:val="none"/>
          <w:lang w:val="zh-CN"/>
        </w:rPr>
        <w:t>一、总则</w:t>
      </w:r>
      <w:bookmarkEnd w:id="23"/>
      <w:bookmarkEnd w:id="24"/>
      <w:bookmarkEnd w:id="25"/>
      <w:bookmarkEnd w:id="26"/>
      <w:bookmarkEnd w:id="27"/>
      <w:bookmarkEnd w:id="28"/>
      <w:bookmarkEnd w:id="29"/>
      <w:bookmarkEnd w:id="30"/>
      <w:bookmarkEnd w:id="31"/>
      <w:bookmarkEnd w:id="32"/>
      <w:bookmarkEnd w:id="33"/>
    </w:p>
    <w:p w14:paraId="77DB9CCA">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 w:name="_Toc9608"/>
      <w:bookmarkStart w:id="35" w:name="_Toc23333"/>
      <w:bookmarkStart w:id="36" w:name="_Toc450662849"/>
      <w:bookmarkStart w:id="37" w:name="_Toc21710_WPSOffice_Level3"/>
      <w:bookmarkStart w:id="38" w:name="_Toc486167663"/>
      <w:bookmarkStart w:id="39" w:name="_Toc2684"/>
      <w:bookmarkStart w:id="40" w:name="_Toc142508313"/>
      <w:bookmarkStart w:id="41" w:name="_Toc16303"/>
      <w:bookmarkStart w:id="42" w:name="_Toc31645"/>
      <w:bookmarkStart w:id="43" w:name="_Toc18454"/>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资金来源：企业自筹资金。</w:t>
      </w:r>
      <w:bookmarkEnd w:id="34"/>
      <w:bookmarkEnd w:id="35"/>
      <w:bookmarkEnd w:id="36"/>
      <w:bookmarkEnd w:id="37"/>
      <w:bookmarkEnd w:id="38"/>
      <w:bookmarkEnd w:id="39"/>
      <w:bookmarkEnd w:id="40"/>
      <w:bookmarkEnd w:id="41"/>
      <w:bookmarkEnd w:id="42"/>
      <w:bookmarkEnd w:id="43"/>
    </w:p>
    <w:p w14:paraId="694BB136">
      <w:pPr>
        <w:autoSpaceDE w:val="0"/>
        <w:autoSpaceDN w:val="0"/>
        <w:adjustRightInd w:val="0"/>
        <w:jc w:val="left"/>
        <w:rPr>
          <w:rFonts w:ascii="宋体" w:hAnsi="宋体" w:eastAsia="宋体" w:cs="宋体"/>
          <w:color w:val="auto"/>
          <w:kern w:val="0"/>
          <w:sz w:val="24"/>
          <w:szCs w:val="24"/>
          <w:highlight w:val="none"/>
        </w:rPr>
      </w:pPr>
    </w:p>
    <w:p w14:paraId="027922EC">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4" w:name="_Toc21162"/>
      <w:bookmarkStart w:id="45" w:name="_Toc28698"/>
      <w:bookmarkStart w:id="46" w:name="_Toc486167664"/>
      <w:bookmarkStart w:id="47" w:name="_Toc18557"/>
      <w:bookmarkStart w:id="48" w:name="_Toc450662850"/>
      <w:bookmarkStart w:id="49" w:name="_Toc32244"/>
      <w:bookmarkStart w:id="50" w:name="_Toc80_WPSOffice_Level3"/>
      <w:bookmarkStart w:id="51" w:name="_Toc142508314"/>
      <w:bookmarkStart w:id="52" w:name="_Toc20375"/>
      <w:bookmarkStart w:id="53" w:name="_Toc29377"/>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合格的投标人</w:t>
      </w:r>
      <w:bookmarkEnd w:id="44"/>
      <w:bookmarkEnd w:id="45"/>
      <w:bookmarkEnd w:id="46"/>
      <w:bookmarkEnd w:id="47"/>
      <w:bookmarkEnd w:id="48"/>
      <w:bookmarkEnd w:id="49"/>
      <w:bookmarkEnd w:id="50"/>
      <w:bookmarkEnd w:id="51"/>
      <w:bookmarkEnd w:id="52"/>
      <w:bookmarkEnd w:id="53"/>
    </w:p>
    <w:p w14:paraId="19F3059B">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w:t>
      </w:r>
      <w:r>
        <w:rPr>
          <w:rFonts w:ascii="宋体" w:hAnsi="宋体" w:eastAsia="宋体" w:cs="宋体"/>
          <w:b/>
          <w:color w:val="auto"/>
          <w:szCs w:val="21"/>
          <w:highlight w:val="none"/>
          <w:lang w:val="zh-CN"/>
        </w:rPr>
        <w:t>2</w:t>
      </w:r>
      <w:r>
        <w:rPr>
          <w:rFonts w:hint="eastAsia" w:ascii="宋体" w:hAnsi="宋体" w:eastAsia="宋体" w:cs="宋体"/>
          <w:b/>
          <w:color w:val="auto"/>
          <w:szCs w:val="21"/>
          <w:highlight w:val="none"/>
          <w:lang w:val="zh-CN"/>
        </w:rPr>
        <w:t>条的“合格投标人资格要求”及本条以下2.2款至</w:t>
      </w:r>
      <w:r>
        <w:rPr>
          <w:rFonts w:hint="eastAsia" w:ascii="宋体" w:hAnsi="宋体" w:eastAsia="宋体" w:cs="宋体"/>
          <w:b/>
          <w:color w:val="auto"/>
          <w:szCs w:val="21"/>
          <w:highlight w:val="none"/>
          <w:lang w:val="en-US" w:eastAsia="zh-CN"/>
        </w:rPr>
        <w:t>2.5</w:t>
      </w:r>
      <w:r>
        <w:rPr>
          <w:rFonts w:hint="eastAsia" w:ascii="宋体" w:hAnsi="宋体" w:eastAsia="宋体" w:cs="宋体"/>
          <w:b/>
          <w:color w:val="auto"/>
          <w:szCs w:val="21"/>
          <w:highlight w:val="none"/>
          <w:lang w:val="zh-CN"/>
        </w:rPr>
        <w:t>款的通用要求。</w:t>
      </w:r>
    </w:p>
    <w:p w14:paraId="2A0AB6CA">
      <w:pPr>
        <w:autoSpaceDE w:val="0"/>
        <w:autoSpaceDN w:val="0"/>
        <w:adjustRightInd w:val="0"/>
        <w:spacing w:line="360" w:lineRule="auto"/>
        <w:ind w:left="359" w:leftChars="-100" w:hanging="569" w:hangingChars="270"/>
        <w:rPr>
          <w:rFonts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w:t>
      </w:r>
      <w:r>
        <w:rPr>
          <w:rFonts w:hint="eastAsia" w:ascii="宋体" w:hAnsi="宋体" w:eastAsia="宋体" w:cs="Times New Roman"/>
          <w:b/>
          <w:color w:val="auto"/>
          <w:kern w:val="0"/>
          <w:szCs w:val="21"/>
          <w:highlight w:val="none"/>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highlight w:val="none"/>
          <w:lang w:val="zh-CN"/>
        </w:rPr>
        <w:t>处罚说明</w:t>
      </w:r>
      <w:r>
        <w:rPr>
          <w:rFonts w:hint="eastAsia" w:ascii="宋体" w:hAnsi="宋体" w:eastAsia="宋体" w:cs="Times New Roman"/>
          <w:b/>
          <w:color w:val="auto"/>
          <w:kern w:val="0"/>
          <w:szCs w:val="21"/>
          <w:highlight w:val="none"/>
        </w:rPr>
        <w:t>”，如果不主动填报而被事后发现的，将取消其投标（中标）资格，并按有关规定从重处理</w:t>
      </w:r>
      <w:r>
        <w:rPr>
          <w:rFonts w:hint="eastAsia" w:ascii="宋体" w:hAnsi="宋体" w:eastAsia="宋体" w:cs="宋体"/>
          <w:b/>
          <w:color w:val="auto"/>
          <w:kern w:val="0"/>
          <w:szCs w:val="21"/>
          <w:highlight w:val="none"/>
        </w:rPr>
        <w:t>。</w:t>
      </w:r>
    </w:p>
    <w:p w14:paraId="35051DF5">
      <w:pPr>
        <w:autoSpaceDE w:val="0"/>
        <w:autoSpaceDN w:val="0"/>
        <w:adjustRightInd w:val="0"/>
        <w:spacing w:line="360" w:lineRule="auto"/>
        <w:ind w:left="317" w:leftChars="-100" w:hanging="527" w:hangingChars="250"/>
        <w:rPr>
          <w:rFonts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w:t>
      </w:r>
      <w:r>
        <w:rPr>
          <w:rFonts w:ascii="宋体" w:hAnsi="宋体" w:eastAsia="宋体" w:cs="宋体"/>
          <w:b/>
          <w:color w:val="auto"/>
          <w:kern w:val="0"/>
          <w:szCs w:val="21"/>
          <w:highlight w:val="none"/>
          <w:lang w:val="zh-CN"/>
        </w:rPr>
        <w:t>3</w:t>
      </w:r>
      <w:r>
        <w:rPr>
          <w:rFonts w:hint="eastAsia" w:ascii="宋体" w:hAnsi="宋体" w:eastAsia="宋体" w:cs="宋体"/>
          <w:b/>
          <w:color w:val="auto"/>
          <w:kern w:val="0"/>
          <w:szCs w:val="21"/>
          <w:highlight w:val="none"/>
          <w:lang w:val="zh-CN"/>
        </w:rPr>
        <w:t xml:space="preserve">  投标人</w:t>
      </w:r>
      <w:r>
        <w:rPr>
          <w:rFonts w:hint="eastAsia" w:ascii="宋体" w:hAnsi="宋体" w:eastAsia="宋体" w:cs="宋体"/>
          <w:b/>
          <w:color w:val="auto"/>
          <w:szCs w:val="21"/>
          <w:highlight w:val="none"/>
          <w:lang w:val="zh-CN"/>
        </w:rPr>
        <w:t>符合《中华人民共和国招标投标法》第二十六条规定。</w:t>
      </w:r>
    </w:p>
    <w:p w14:paraId="6AAA60B8">
      <w:pPr>
        <w:autoSpaceDE w:val="0"/>
        <w:autoSpaceDN w:val="0"/>
        <w:adjustRightInd w:val="0"/>
        <w:spacing w:line="360" w:lineRule="auto"/>
        <w:ind w:left="359" w:leftChars="-99" w:hanging="567" w:hangingChars="26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w:t>
      </w:r>
      <w:r>
        <w:rPr>
          <w:rFonts w:ascii="宋体" w:hAnsi="宋体" w:eastAsia="宋体" w:cs="宋体"/>
          <w:b/>
          <w:color w:val="auto"/>
          <w:kern w:val="0"/>
          <w:szCs w:val="21"/>
          <w:highlight w:val="none"/>
        </w:rPr>
        <w:t>4</w:t>
      </w:r>
      <w:r>
        <w:rPr>
          <w:rFonts w:hint="eastAsia" w:ascii="宋体" w:hAnsi="宋体" w:eastAsia="宋体" w:cs="宋体"/>
          <w:b/>
          <w:color w:val="auto"/>
          <w:kern w:val="0"/>
          <w:szCs w:val="21"/>
          <w:highlight w:val="none"/>
        </w:rPr>
        <w:t xml:space="preserve">  </w:t>
      </w:r>
      <w:r>
        <w:rPr>
          <w:rFonts w:hint="eastAsia" w:ascii="宋体" w:hAnsi="宋体" w:eastAsia="宋体" w:cs="Times New Roman"/>
          <w:b/>
          <w:color w:val="auto"/>
          <w:kern w:val="0"/>
          <w:szCs w:val="21"/>
          <w:highlight w:val="none"/>
        </w:rPr>
        <w:t>投标人（含其不具有独立法人资格的分支机构）未被列入“信用中国”网站（ www.creditchina.gov.cn）失信被执行人、重大税收违法失信主体、</w:t>
      </w:r>
      <w:r>
        <w:rPr>
          <w:rFonts w:hint="eastAsia" w:ascii="宋体" w:hAnsi="宋体" w:eastAsia="宋体" w:cs="Times New Roman"/>
          <w:b/>
          <w:color w:val="auto"/>
          <w:kern w:val="0"/>
          <w:szCs w:val="21"/>
          <w:highlight w:val="none"/>
          <w:lang w:val="en-US" w:eastAsia="zh-CN"/>
        </w:rPr>
        <w:t>政府采购</w:t>
      </w:r>
      <w:r>
        <w:rPr>
          <w:rFonts w:hint="eastAsia" w:ascii="宋体" w:hAnsi="宋体" w:eastAsia="宋体" w:cs="Times New Roman"/>
          <w:b/>
          <w:color w:val="auto"/>
          <w:kern w:val="0"/>
          <w:szCs w:val="21"/>
          <w:highlight w:val="none"/>
        </w:rPr>
        <w:t>严重违法失信行为记录名单（处罚期限届满的除外）</w:t>
      </w:r>
      <w:r>
        <w:rPr>
          <w:rFonts w:hint="eastAsia" w:ascii="宋体" w:hAnsi="宋体" w:eastAsia="宋体" w:cs="宋体"/>
          <w:b/>
          <w:color w:val="auto"/>
          <w:kern w:val="0"/>
          <w:szCs w:val="21"/>
          <w:highlight w:val="none"/>
        </w:rPr>
        <w:t>。</w:t>
      </w:r>
    </w:p>
    <w:p w14:paraId="1E1B52A7">
      <w:pPr>
        <w:autoSpaceDE w:val="0"/>
        <w:autoSpaceDN w:val="0"/>
        <w:adjustRightInd w:val="0"/>
        <w:spacing w:line="360" w:lineRule="auto"/>
        <w:ind w:left="317" w:leftChars="-100" w:hanging="527" w:hangingChars="250"/>
        <w:rPr>
          <w:rFonts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2.</w:t>
      </w:r>
      <w:r>
        <w:rPr>
          <w:rFonts w:ascii="宋体" w:hAnsi="宋体" w:eastAsia="宋体" w:cs="宋体"/>
          <w:b/>
          <w:color w:val="auto"/>
          <w:szCs w:val="21"/>
          <w:highlight w:val="none"/>
          <w:lang w:val="zh-CN"/>
        </w:rPr>
        <w:t>5</w:t>
      </w:r>
      <w:r>
        <w:rPr>
          <w:rFonts w:hint="eastAsia" w:ascii="宋体" w:hAnsi="宋体" w:eastAsia="宋体" w:cs="宋体"/>
          <w:b/>
          <w:color w:val="auto"/>
          <w:szCs w:val="21"/>
          <w:highlight w:val="none"/>
          <w:lang w:val="zh-CN"/>
        </w:rPr>
        <w:t xml:space="preserve">  </w:t>
      </w:r>
      <w:r>
        <w:rPr>
          <w:rFonts w:hint="eastAsia" w:ascii="宋体" w:hAnsi="宋体" w:eastAsia="宋体" w:cs="Times New Roman"/>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0E2EE053">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highlight w:val="none"/>
        </w:rPr>
      </w:pPr>
    </w:p>
    <w:p w14:paraId="576FFB07">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54" w:name="_Toc23847_WPSOffice_Level3"/>
      <w:bookmarkStart w:id="55" w:name="_Toc142508315"/>
      <w:bookmarkStart w:id="56" w:name="_Toc5793"/>
      <w:bookmarkStart w:id="57" w:name="_Toc11689"/>
      <w:bookmarkStart w:id="58" w:name="_Toc16100"/>
      <w:bookmarkStart w:id="59" w:name="_Toc19774"/>
      <w:bookmarkStart w:id="60" w:name="_Toc13702"/>
      <w:bookmarkStart w:id="61" w:name="_Toc8618"/>
      <w:bookmarkStart w:id="62" w:name="_Toc486167665"/>
      <w:bookmarkStart w:id="63" w:name="_Toc450662851"/>
      <w:r>
        <w:rPr>
          <w:rFonts w:hint="eastAsia" w:ascii="宋体" w:hAnsi="宋体" w:eastAsia="宋体" w:cs="宋体"/>
          <w:b/>
          <w:color w:val="auto"/>
          <w:szCs w:val="21"/>
          <w:highlight w:val="none"/>
          <w:lang w:val="zh-CN"/>
        </w:rPr>
        <w:t>3</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合格的</w:t>
      </w:r>
      <w:bookmarkEnd w:id="54"/>
      <w:bookmarkEnd w:id="55"/>
      <w:r>
        <w:rPr>
          <w:rFonts w:hint="eastAsia" w:ascii="宋体" w:hAnsi="宋体" w:eastAsia="宋体" w:cs="宋体"/>
          <w:b/>
          <w:color w:val="auto"/>
          <w:szCs w:val="21"/>
          <w:highlight w:val="none"/>
          <w:lang w:val="en-US" w:eastAsia="zh-CN"/>
        </w:rPr>
        <w:t>服务</w:t>
      </w:r>
      <w:bookmarkEnd w:id="56"/>
      <w:bookmarkEnd w:id="57"/>
      <w:bookmarkEnd w:id="58"/>
      <w:bookmarkEnd w:id="59"/>
      <w:bookmarkEnd w:id="60"/>
      <w:bookmarkEnd w:id="61"/>
    </w:p>
    <w:p w14:paraId="673DEFFD">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ascii="宋体" w:hAnsi="宋体" w:eastAsia="宋体" w:cs="Times New Roman"/>
          <w:color w:val="auto"/>
          <w:szCs w:val="21"/>
          <w:highlight w:val="none"/>
          <w:lang w:val="zh-CN"/>
        </w:rPr>
        <w:t>3.</w:t>
      </w:r>
      <w:r>
        <w:rPr>
          <w:rFonts w:hint="eastAsia" w:ascii="宋体" w:hAnsi="宋体" w:eastAsia="宋体" w:cs="Times New Roman"/>
          <w:color w:val="auto"/>
          <w:szCs w:val="21"/>
          <w:highlight w:val="none"/>
          <w:lang w:val="zh-CN"/>
        </w:rPr>
        <w:t>1</w:t>
      </w:r>
      <w:r>
        <w:rPr>
          <w:rFonts w:ascii="宋体" w:hAnsi="宋体" w:eastAsia="宋体" w:cs="Times New Roman"/>
          <w:color w:val="auto"/>
          <w:szCs w:val="21"/>
          <w:highlight w:val="none"/>
        </w:rPr>
        <w:t xml:space="preserve"> </w:t>
      </w:r>
      <w:r>
        <w:rPr>
          <w:rFonts w:hint="eastAsia" w:ascii="宋体" w:hAnsi="宋体" w:eastAsia="宋体" w:cs="Times New Roman"/>
          <w:color w:val="auto"/>
          <w:szCs w:val="21"/>
          <w:highlight w:val="none"/>
        </w:rPr>
        <w:t>“服务”是指投标人按招标文件规定完成的全部服务内容，其中包括完成服务所需的货物和工程，及须承担的技术支持、培训和其它伴随服务。</w:t>
      </w:r>
    </w:p>
    <w:p w14:paraId="1EF8221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4" w:name="_Toc533708063"/>
      <w:bookmarkStart w:id="65" w:name="_Toc1977663"/>
      <w:r>
        <w:rPr>
          <w:rFonts w:hint="eastAsia" w:ascii="宋体" w:hAnsi="宋体" w:eastAsia="宋体" w:cs="宋体"/>
          <w:color w:val="auto"/>
          <w:szCs w:val="21"/>
          <w:highlight w:val="none"/>
          <w:lang w:val="zh-CN"/>
        </w:rPr>
        <w:t xml:space="preserve">3.2  </w:t>
      </w:r>
      <w:bookmarkEnd w:id="64"/>
      <w:bookmarkEnd w:id="65"/>
      <w:bookmarkStart w:id="66" w:name="_Toc533708065"/>
      <w:bookmarkStart w:id="67" w:name="_Toc1977665"/>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必须保证提供的所有</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或</w:t>
      </w:r>
      <w:r>
        <w:rPr>
          <w:rFonts w:hint="eastAsia" w:ascii="宋体" w:hAnsi="宋体" w:eastAsia="宋体" w:cs="Times New Roman"/>
          <w:color w:val="auto"/>
          <w:szCs w:val="21"/>
          <w:highlight w:val="none"/>
          <w:lang w:val="en-US" w:eastAsia="zh-CN"/>
        </w:rPr>
        <w:t>服务</w:t>
      </w:r>
      <w:r>
        <w:rPr>
          <w:rFonts w:hint="eastAsia" w:ascii="宋体" w:hAnsi="宋体" w:eastAsia="宋体" w:cs="Times New Roman"/>
          <w:color w:val="auto"/>
          <w:szCs w:val="21"/>
          <w:highlight w:val="none"/>
          <w:lang w:val="zh-CN"/>
        </w:rPr>
        <w:t>的任何部分均为最新正式版本</w:t>
      </w:r>
      <w:r>
        <w:rPr>
          <w:rFonts w:hint="eastAsia" w:ascii="宋体" w:hAnsi="宋体" w:eastAsia="宋体" w:cs="宋体"/>
          <w:color w:val="auto"/>
          <w:szCs w:val="21"/>
          <w:highlight w:val="none"/>
          <w:lang w:val="zh-CN"/>
        </w:rPr>
        <w:t>。</w:t>
      </w:r>
      <w:bookmarkEnd w:id="66"/>
      <w:bookmarkEnd w:id="67"/>
    </w:p>
    <w:p w14:paraId="2E116D8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68" w:name="_Toc1977666"/>
      <w:bookmarkStart w:id="69" w:name="_Toc5337080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68"/>
      <w:bookmarkEnd w:id="69"/>
      <w:bookmarkStart w:id="70" w:name="_Toc1977667"/>
      <w:bookmarkStart w:id="71" w:name="_Toc533708067"/>
      <w:r>
        <w:rPr>
          <w:rFonts w:hint="eastAsia" w:ascii="宋体" w:hAnsi="宋体" w:eastAsia="宋体" w:cs="宋体"/>
          <w:color w:val="auto"/>
          <w:szCs w:val="21"/>
          <w:highlight w:val="none"/>
          <w:lang w:val="zh-CN"/>
        </w:rPr>
        <w:t>投标人</w:t>
      </w:r>
      <w:r>
        <w:rPr>
          <w:rFonts w:hint="eastAsia" w:ascii="宋体" w:hAnsi="宋体" w:eastAsia="宋体" w:cs="Times New Roman"/>
          <w:color w:val="auto"/>
          <w:kern w:val="0"/>
          <w:szCs w:val="21"/>
          <w:highlight w:val="none"/>
        </w:rPr>
        <w:t>应保证招标人在中华人民共和国使用</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或</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70"/>
      <w:bookmarkEnd w:id="71"/>
    </w:p>
    <w:p w14:paraId="2003D3A0">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72" w:name="_Toc533708068"/>
      <w:bookmarkStart w:id="73"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72"/>
      <w:bookmarkEnd w:id="73"/>
      <w:r>
        <w:rPr>
          <w:rFonts w:hint="eastAsia" w:ascii="宋体" w:hAnsi="宋体" w:eastAsia="宋体" w:cs="宋体"/>
          <w:color w:val="auto"/>
          <w:szCs w:val="21"/>
          <w:highlight w:val="none"/>
          <w:lang w:val="zh-CN"/>
        </w:rPr>
        <w:t>无论投标人</w:t>
      </w:r>
      <w:r>
        <w:rPr>
          <w:rFonts w:hint="eastAsia" w:ascii="宋体" w:hAnsi="宋体" w:eastAsia="宋体" w:cs="Times New Roman"/>
          <w:color w:val="auto"/>
          <w:kern w:val="0"/>
          <w:szCs w:val="21"/>
          <w:highlight w:val="none"/>
        </w:rPr>
        <w:t>是否在投标报价表中明示，均视为投标报价已包含所有应支付的对专利权</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Times New Roman"/>
          <w:color w:val="auto"/>
          <w:kern w:val="0"/>
          <w:szCs w:val="21"/>
          <w:highlight w:val="none"/>
          <w:lang w:val="en-US" w:eastAsia="zh-CN"/>
        </w:rPr>
        <w:t>的</w:t>
      </w:r>
      <w:r>
        <w:rPr>
          <w:rFonts w:hint="eastAsia" w:ascii="宋体" w:hAnsi="宋体" w:eastAsia="宋体" w:cs="Times New Roman"/>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29D47327">
      <w:pPr>
        <w:autoSpaceDE w:val="0"/>
        <w:autoSpaceDN w:val="0"/>
        <w:adjustRightInd w:val="0"/>
        <w:spacing w:line="360" w:lineRule="auto"/>
        <w:jc w:val="left"/>
        <w:rPr>
          <w:rFonts w:ascii="宋体" w:hAnsi="宋体" w:eastAsia="宋体" w:cs="宋体"/>
          <w:color w:val="auto"/>
          <w:szCs w:val="21"/>
          <w:highlight w:val="none"/>
          <w:lang w:val="zh-CN"/>
        </w:rPr>
      </w:pPr>
    </w:p>
    <w:p w14:paraId="1428A2C5">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74" w:name="_Toc9658_WPSOffice_Level3"/>
      <w:bookmarkStart w:id="75" w:name="_Toc142508316"/>
      <w:bookmarkStart w:id="76" w:name="_Toc9753"/>
      <w:bookmarkStart w:id="77" w:name="_Toc11533"/>
      <w:bookmarkStart w:id="78" w:name="_Toc3404"/>
      <w:bookmarkStart w:id="79" w:name="_Toc1957"/>
      <w:bookmarkStart w:id="80" w:name="_Toc22033"/>
      <w:bookmarkStart w:id="81" w:name="_Toc17052"/>
      <w:r>
        <w:rPr>
          <w:rFonts w:hint="eastAsia" w:ascii="宋体" w:hAnsi="宋体" w:eastAsia="宋体" w:cs="宋体"/>
          <w:color w:val="auto"/>
          <w:szCs w:val="21"/>
          <w:highlight w:val="none"/>
          <w:lang w:val="zh-CN"/>
        </w:rPr>
        <w:t>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其它说明</w:t>
      </w:r>
      <w:bookmarkEnd w:id="74"/>
      <w:bookmarkEnd w:id="75"/>
      <w:bookmarkEnd w:id="76"/>
      <w:bookmarkEnd w:id="77"/>
      <w:bookmarkEnd w:id="78"/>
      <w:bookmarkEnd w:id="79"/>
      <w:bookmarkEnd w:id="80"/>
      <w:bookmarkEnd w:id="81"/>
    </w:p>
    <w:p w14:paraId="44BAB169">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2" w:name="_Toc1977670"/>
      <w:bookmarkStart w:id="83" w:name="_Toc533708070"/>
      <w:r>
        <w:rPr>
          <w:rFonts w:hint="eastAsia" w:ascii="宋体" w:hAnsi="宋体" w:eastAsia="宋体" w:cs="宋体"/>
          <w:color w:val="auto"/>
          <w:szCs w:val="21"/>
          <w:highlight w:val="none"/>
          <w:lang w:val="zh-CN"/>
        </w:rPr>
        <w:t>4.1  投标费用</w:t>
      </w:r>
      <w:bookmarkEnd w:id="82"/>
      <w:bookmarkEnd w:id="83"/>
    </w:p>
    <w:p w14:paraId="16B5408F">
      <w:pPr>
        <w:autoSpaceDE w:val="0"/>
        <w:autoSpaceDN w:val="0"/>
        <w:adjustRightInd w:val="0"/>
        <w:spacing w:line="360" w:lineRule="auto"/>
        <w:ind w:left="210" w:leftChars="100" w:firstLine="420" w:firstLineChars="200"/>
        <w:rPr>
          <w:rFonts w:ascii="宋体" w:hAnsi="宋体" w:eastAsia="宋体" w:cs="宋体"/>
          <w:color w:val="auto"/>
          <w:szCs w:val="21"/>
          <w:highlight w:val="none"/>
          <w:lang w:val="zh-CN"/>
        </w:rPr>
      </w:pPr>
      <w:bookmarkStart w:id="84" w:name="_Toc533708072"/>
      <w:bookmarkStart w:id="85" w:name="_Toc1977672"/>
      <w:r>
        <w:rPr>
          <w:rFonts w:hint="eastAsia" w:ascii="宋体" w:hAnsi="宋体" w:eastAsia="宋体" w:cs="Times New Roman"/>
          <w:color w:val="auto"/>
          <w:szCs w:val="21"/>
          <w:highlight w:val="none"/>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highlight w:val="none"/>
          <w:lang w:val="zh-CN"/>
        </w:rPr>
        <w:t>。</w:t>
      </w:r>
      <w:bookmarkEnd w:id="84"/>
      <w:bookmarkEnd w:id="85"/>
    </w:p>
    <w:p w14:paraId="3DA9026F">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bookmarkStart w:id="86" w:name="_Toc533708073"/>
      <w:bookmarkStart w:id="87" w:name="_Toc1977673"/>
      <w:r>
        <w:rPr>
          <w:rFonts w:hint="eastAsia" w:ascii="宋体" w:hAnsi="宋体" w:eastAsia="宋体" w:cs="宋体"/>
          <w:color w:val="auto"/>
          <w:szCs w:val="21"/>
          <w:highlight w:val="none"/>
          <w:lang w:val="zh-CN"/>
        </w:rPr>
        <w:t>4.2  踏勘现场</w:t>
      </w:r>
      <w:bookmarkEnd w:id="86"/>
      <w:bookmarkEnd w:id="87"/>
    </w:p>
    <w:p w14:paraId="55216C7E">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bookmarkStart w:id="88" w:name="_Toc1977676"/>
      <w:bookmarkStart w:id="89" w:name="_Toc533708076"/>
      <w:r>
        <w:rPr>
          <w:rFonts w:hint="eastAsia" w:ascii="宋体" w:hAnsi="宋体" w:eastAsia="宋体" w:cs="Times New Roman"/>
          <w:color w:val="auto"/>
          <w:kern w:val="0"/>
          <w:szCs w:val="21"/>
          <w:highlight w:val="none"/>
        </w:rPr>
        <w:t>（1）本项目不组织集中踏勘现场和答疑，投标人应自行到实地踏勘考察。</w:t>
      </w:r>
    </w:p>
    <w:p w14:paraId="1F3CD799">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（2）潜在投标人应承担踏勘现场自身所发生的费用。</w:t>
      </w:r>
    </w:p>
    <w:p w14:paraId="74EFFD17">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4AD0C4E7">
      <w:pPr>
        <w:spacing w:line="360" w:lineRule="auto"/>
        <w:ind w:left="300" w:leftChars="-59" w:hanging="424" w:hangingChars="202"/>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40EB422A">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62"/>
      <w:bookmarkEnd w:id="63"/>
      <w:bookmarkEnd w:id="88"/>
      <w:bookmarkEnd w:id="89"/>
    </w:p>
    <w:p w14:paraId="2AC712C5">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（1）获得本招标文件的投标人，不得用作本次投标以外的任何用途。</w:t>
      </w:r>
    </w:p>
    <w:p w14:paraId="18E898E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（2</w:t>
      </w:r>
      <w:r>
        <w:rPr>
          <w:rFonts w:hint="eastAsia" w:ascii="宋体" w:hAnsi="宋体" w:eastAsia="宋体" w:cs="Times New Roman"/>
          <w:color w:val="auto"/>
          <w:kern w:val="0"/>
          <w:szCs w:val="21"/>
          <w:highlight w:val="none"/>
        </w:rPr>
        <w:t>）凡参与招标工作的有关人员均应自觉接受有关主管部门的监督，不得向他人透露可能影响公平竞争的情况。</w:t>
      </w:r>
    </w:p>
    <w:p w14:paraId="5AA2EED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（3）开标后，直至向中标人</w:t>
      </w:r>
      <w:r>
        <w:rPr>
          <w:rFonts w:hint="eastAsia" w:ascii="宋体" w:hAnsi="宋体" w:eastAsia="宋体" w:cs="Times New Roman"/>
          <w:color w:val="auto"/>
          <w:kern w:val="0"/>
          <w:szCs w:val="21"/>
          <w:highlight w:val="none"/>
          <w:lang w:eastAsia="zh-CN"/>
        </w:rPr>
        <w:t>授予合同期间</w:t>
      </w:r>
      <w:r>
        <w:rPr>
          <w:rFonts w:hint="eastAsia" w:ascii="宋体" w:hAnsi="宋体" w:eastAsia="宋体" w:cs="Times New Roman"/>
          <w:color w:val="auto"/>
          <w:kern w:val="0"/>
          <w:szCs w:val="21"/>
          <w:highlight w:val="none"/>
        </w:rPr>
        <w:t>，凡与审查、澄清、评价和比较报价的有关资料以及授标意见等，参与评标工作的有关人员均不得向投标人及与评标无关的其他人透露。</w:t>
      </w:r>
    </w:p>
    <w:p w14:paraId="783C0EE6">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2B2595A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05BE59F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（6）投标人不得串通作弊，以不正当的手段妨碍、排挤其他投标人，扰乱采购市场，破坏公平竞争原则。</w:t>
      </w:r>
    </w:p>
    <w:p w14:paraId="1BFE0875">
      <w:pPr>
        <w:autoSpaceDE w:val="0"/>
        <w:autoSpaceDN w:val="0"/>
        <w:adjustRightInd w:val="0"/>
        <w:spacing w:line="360" w:lineRule="auto"/>
        <w:ind w:left="315" w:leftChars="-100" w:hanging="525" w:hangingChars="250"/>
        <w:rPr>
          <w:rFonts w:ascii="宋体" w:hAnsi="宋体" w:eastAsia="宋体" w:cs="宋体"/>
          <w:color w:val="auto"/>
          <w:szCs w:val="21"/>
          <w:highlight w:val="none"/>
        </w:rPr>
      </w:pPr>
    </w:p>
    <w:p w14:paraId="7E87C4D6">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90" w:name="_Toc1565"/>
      <w:bookmarkStart w:id="91" w:name="_Toc450662853"/>
      <w:bookmarkStart w:id="92" w:name="_Toc21912"/>
      <w:bookmarkStart w:id="93" w:name="_Toc26481"/>
      <w:bookmarkStart w:id="94" w:name="_Toc140596876"/>
      <w:bookmarkStart w:id="95" w:name="_Toc23213"/>
      <w:bookmarkStart w:id="96" w:name="_Toc486167667"/>
      <w:bookmarkStart w:id="97" w:name="_Toc142508317"/>
      <w:bookmarkStart w:id="98" w:name="_Toc30507_WPSOffice_Level2"/>
      <w:bookmarkStart w:id="99" w:name="_Toc5395"/>
      <w:bookmarkStart w:id="100" w:name="_Toc1674"/>
      <w:r>
        <w:rPr>
          <w:rFonts w:hint="eastAsia" w:ascii="宋体" w:hAnsi="宋体" w:eastAsia="宋体" w:cs="宋体"/>
          <w:b/>
          <w:bCs/>
          <w:color w:val="auto"/>
          <w:kern w:val="44"/>
          <w:szCs w:val="21"/>
          <w:highlight w:val="none"/>
          <w:lang w:val="zh-CN"/>
        </w:rPr>
        <w:t>二、招标文件</w:t>
      </w:r>
      <w:bookmarkEnd w:id="90"/>
      <w:bookmarkEnd w:id="91"/>
      <w:bookmarkEnd w:id="92"/>
      <w:bookmarkEnd w:id="93"/>
      <w:bookmarkEnd w:id="94"/>
      <w:bookmarkEnd w:id="95"/>
      <w:bookmarkEnd w:id="96"/>
      <w:bookmarkEnd w:id="97"/>
      <w:bookmarkEnd w:id="98"/>
      <w:bookmarkEnd w:id="99"/>
      <w:bookmarkEnd w:id="100"/>
    </w:p>
    <w:p w14:paraId="06746D1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01" w:name="_Toc3978"/>
      <w:bookmarkStart w:id="102" w:name="_Toc450662854"/>
      <w:bookmarkStart w:id="103" w:name="_Toc14841"/>
      <w:bookmarkStart w:id="104" w:name="_Toc2406"/>
      <w:bookmarkStart w:id="105" w:name="_Toc26635_WPSOffice_Level3"/>
      <w:bookmarkStart w:id="106" w:name="_Toc486167668"/>
      <w:bookmarkStart w:id="107" w:name="_Toc28893"/>
      <w:bookmarkStart w:id="108" w:name="_Toc142508318"/>
      <w:bookmarkStart w:id="109" w:name="_Toc27389"/>
      <w:bookmarkStart w:id="110" w:name="_Toc28643"/>
      <w:r>
        <w:rPr>
          <w:rFonts w:hint="eastAsia" w:ascii="宋体" w:hAnsi="宋体" w:eastAsia="宋体" w:cs="宋体"/>
          <w:color w:val="auto"/>
          <w:szCs w:val="21"/>
          <w:highlight w:val="none"/>
          <w:lang w:val="zh-CN"/>
        </w:rPr>
        <w:t>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招标文件的构成</w:t>
      </w:r>
      <w:bookmarkEnd w:id="101"/>
      <w:bookmarkEnd w:id="102"/>
      <w:bookmarkEnd w:id="103"/>
      <w:bookmarkEnd w:id="104"/>
      <w:bookmarkEnd w:id="105"/>
      <w:bookmarkEnd w:id="106"/>
      <w:bookmarkEnd w:id="107"/>
      <w:bookmarkEnd w:id="108"/>
      <w:bookmarkEnd w:id="109"/>
      <w:bookmarkEnd w:id="110"/>
    </w:p>
    <w:p w14:paraId="305FA57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700CEE2A">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第一篇 招标公告</w:t>
      </w:r>
    </w:p>
    <w:p w14:paraId="4E448DD1">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第二篇 投标人须知</w:t>
      </w:r>
    </w:p>
    <w:p w14:paraId="03463258">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第三篇 用户需求书</w:t>
      </w:r>
    </w:p>
    <w:p w14:paraId="01221BE9">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第四篇 合同条款</w:t>
      </w:r>
    </w:p>
    <w:p w14:paraId="0EB6CA96">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第五篇 相关保函格式</w:t>
      </w:r>
    </w:p>
    <w:p w14:paraId="1239DCB2">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第六篇 投标文件格式</w:t>
      </w:r>
    </w:p>
    <w:p w14:paraId="6D74E60C">
      <w:pPr>
        <w:tabs>
          <w:tab w:val="left" w:pos="1890"/>
        </w:tabs>
        <w:autoSpaceDE w:val="0"/>
        <w:autoSpaceDN w:val="0"/>
        <w:adjustRightInd w:val="0"/>
        <w:spacing w:line="360" w:lineRule="auto"/>
        <w:ind w:firstLine="424" w:firstLineChars="202"/>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lang w:val="zh-CN"/>
        </w:rPr>
        <w:t>附件一：评标工作大纲</w:t>
      </w:r>
    </w:p>
    <w:p w14:paraId="2E0F45C8">
      <w:pPr>
        <w:autoSpaceDE w:val="0"/>
        <w:autoSpaceDN w:val="0"/>
        <w:adjustRightInd w:val="0"/>
        <w:spacing w:line="360" w:lineRule="auto"/>
        <w:ind w:left="356" w:leftChars="-99" w:hanging="564" w:hangingChars="26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w:t>
      </w:r>
      <w:r>
        <w:rPr>
          <w:rFonts w:hint="eastAsia" w:ascii="宋体" w:hAnsi="宋体" w:eastAsia="宋体" w:cs="Times New Roman"/>
          <w:b/>
          <w:bCs/>
          <w:color w:val="auto"/>
          <w:szCs w:val="21"/>
          <w:highlight w:val="none"/>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highlight w:val="none"/>
          <w:u w:val="single"/>
          <w:lang w:val="zh-CN"/>
        </w:rPr>
        <w:t>★</w:t>
      </w:r>
      <w:r>
        <w:rPr>
          <w:rFonts w:hint="eastAsia" w:ascii="宋体" w:hAnsi="宋体" w:eastAsia="宋体" w:cs="Times New Roman"/>
          <w:b/>
          <w:bCs/>
          <w:color w:val="auto"/>
          <w:szCs w:val="21"/>
          <w:highlight w:val="none"/>
          <w:u w:val="single"/>
          <w:lang w:val="zh-CN"/>
        </w:rPr>
        <w:t>标志的部分为投标人、投标拟供服务必备的条件或重要指示），那么投标人的投标文件将有可能被拒绝接收或评审为无效投标文件</w:t>
      </w:r>
      <w:r>
        <w:rPr>
          <w:rFonts w:hint="eastAsia" w:ascii="宋体" w:hAnsi="宋体" w:eastAsia="宋体" w:cs="宋体"/>
          <w:b/>
          <w:bCs/>
          <w:color w:val="auto"/>
          <w:szCs w:val="21"/>
          <w:highlight w:val="none"/>
          <w:u w:val="single"/>
          <w:lang w:val="zh-CN"/>
        </w:rPr>
        <w:t>。</w:t>
      </w:r>
    </w:p>
    <w:p w14:paraId="6A63942D">
      <w:pPr>
        <w:autoSpaceDE w:val="0"/>
        <w:autoSpaceDN w:val="0"/>
        <w:adjustRightInd w:val="0"/>
        <w:spacing w:line="360" w:lineRule="auto"/>
        <w:ind w:left="356" w:leftChars="-99" w:hanging="564" w:hangingChars="269"/>
        <w:rPr>
          <w:rFonts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3720E13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（1）“招标人”指</w:t>
      </w:r>
      <w:r>
        <w:rPr>
          <w:rFonts w:hint="eastAsia" w:ascii="宋体" w:hAnsi="宋体" w:eastAsia="宋体" w:cs="Times New Roman"/>
          <w:color w:val="auto"/>
          <w:kern w:val="0"/>
          <w:szCs w:val="21"/>
          <w:highlight w:val="none"/>
          <w:lang w:eastAsia="zh-CN"/>
        </w:rPr>
        <w:t>东莞市水务集团建设管理有限公司</w:t>
      </w:r>
      <w:r>
        <w:rPr>
          <w:rFonts w:hint="eastAsia" w:ascii="宋体" w:hAnsi="宋体" w:eastAsia="宋体" w:cs="Times New Roman"/>
          <w:color w:val="auto"/>
          <w:kern w:val="0"/>
          <w:szCs w:val="21"/>
          <w:highlight w:val="none"/>
        </w:rPr>
        <w:t>；</w:t>
      </w:r>
    </w:p>
    <w:p w14:paraId="3F032A7C">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lang w:eastAsia="zh-CN"/>
        </w:rPr>
      </w:pP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“项目业主”指</w:t>
      </w:r>
      <w:r>
        <w:rPr>
          <w:rFonts w:hint="eastAsia" w:ascii="宋体" w:hAnsi="宋体" w:eastAsia="宋体" w:cs="Times New Roman"/>
          <w:color w:val="auto"/>
          <w:kern w:val="0"/>
          <w:szCs w:val="21"/>
          <w:highlight w:val="none"/>
          <w:lang w:eastAsia="zh-CN"/>
        </w:rPr>
        <w:t>东莞市水务集团供水有限公司；</w:t>
      </w:r>
    </w:p>
    <w:p w14:paraId="128B63C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）“招标代理机构”指</w:t>
      </w:r>
      <w:r>
        <w:rPr>
          <w:rFonts w:hint="eastAsia" w:ascii="宋体" w:hAnsi="宋体" w:eastAsia="宋体" w:cs="Times New Roman"/>
          <w:color w:val="auto"/>
          <w:kern w:val="0"/>
          <w:szCs w:val="21"/>
          <w:highlight w:val="none"/>
          <w:lang w:eastAsia="zh-CN"/>
        </w:rPr>
        <w:t>东莞市达盛招标代理有限公司</w:t>
      </w:r>
      <w:r>
        <w:rPr>
          <w:rFonts w:hint="eastAsia" w:ascii="宋体" w:hAnsi="宋体" w:eastAsia="宋体" w:cs="Times New Roman"/>
          <w:color w:val="auto"/>
          <w:kern w:val="0"/>
          <w:szCs w:val="21"/>
          <w:highlight w:val="none"/>
        </w:rPr>
        <w:t>；</w:t>
      </w:r>
    </w:p>
    <w:p w14:paraId="1B6CEB60">
      <w:pPr>
        <w:autoSpaceDE w:val="0"/>
        <w:autoSpaceDN w:val="0"/>
        <w:adjustRightInd w:val="0"/>
        <w:spacing w:line="360" w:lineRule="auto"/>
        <w:ind w:left="441" w:leftChars="-60" w:hanging="567" w:hangingChars="270"/>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4</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eastAsia="zh-CN"/>
        </w:rPr>
        <w:t>“投标人”指</w:t>
      </w:r>
      <w:r>
        <w:rPr>
          <w:rFonts w:hint="eastAsia" w:ascii="宋体" w:hAnsi="宋体" w:eastAsia="宋体" w:cs="Times New Roman"/>
          <w:color w:val="auto"/>
          <w:kern w:val="0"/>
          <w:szCs w:val="21"/>
          <w:highlight w:val="none"/>
        </w:rPr>
        <w:t>在参加</w:t>
      </w:r>
      <w:r>
        <w:rPr>
          <w:rFonts w:hint="eastAsia" w:ascii="宋体" w:hAnsi="宋体" w:eastAsia="宋体" w:cs="Times New Roman"/>
          <w:color w:val="auto"/>
          <w:kern w:val="0"/>
          <w:szCs w:val="21"/>
          <w:highlight w:val="none"/>
          <w:lang w:eastAsia="zh-CN"/>
        </w:rPr>
        <w:t>珠三角水资源配置工程东莞配套芦花坑水厂一期配水管线工程-B标段第三方检测服务采购项目</w:t>
      </w:r>
      <w:r>
        <w:rPr>
          <w:rFonts w:hint="eastAsia" w:ascii="宋体" w:hAnsi="宋体" w:eastAsia="宋体" w:cs="Times New Roman"/>
          <w:color w:val="auto"/>
          <w:kern w:val="0"/>
          <w:szCs w:val="21"/>
          <w:highlight w:val="none"/>
        </w:rPr>
        <w:t>所需的</w:t>
      </w:r>
      <w:r>
        <w:rPr>
          <w:rFonts w:hint="eastAsia" w:ascii="宋体" w:hAnsi="宋体" w:eastAsia="宋体" w:cs="Times New Roman"/>
          <w:color w:val="auto"/>
          <w:kern w:val="0"/>
          <w:szCs w:val="21"/>
          <w:highlight w:val="none"/>
          <w:lang w:val="en-US" w:eastAsia="zh-CN"/>
        </w:rPr>
        <w:t>服务</w:t>
      </w:r>
      <w:r>
        <w:rPr>
          <w:rFonts w:hint="eastAsia" w:ascii="宋体" w:hAnsi="宋体" w:eastAsia="宋体" w:cs="Times New Roman"/>
          <w:color w:val="auto"/>
          <w:kern w:val="0"/>
          <w:szCs w:val="21"/>
          <w:highlight w:val="none"/>
        </w:rPr>
        <w:t>的投标，并向招标代理机构提交投标文件的当事人；</w:t>
      </w:r>
    </w:p>
    <w:p w14:paraId="6A2B5A0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5</w:t>
      </w:r>
      <w:r>
        <w:rPr>
          <w:rFonts w:hint="eastAsia" w:ascii="宋体" w:hAnsi="宋体" w:eastAsia="宋体" w:cs="Times New Roman"/>
          <w:color w:val="auto"/>
          <w:kern w:val="0"/>
          <w:szCs w:val="21"/>
          <w:highlight w:val="none"/>
        </w:rPr>
        <w:t>）“评标委员会”是依照《中华人民共和国招标投标法》等法规组建的专门负责本次评标工作的临时性机构；</w:t>
      </w:r>
    </w:p>
    <w:p w14:paraId="66CC72C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6</w:t>
      </w:r>
      <w:r>
        <w:rPr>
          <w:rFonts w:hint="eastAsia" w:ascii="宋体" w:hAnsi="宋体" w:eastAsia="宋体" w:cs="Times New Roman"/>
          <w:color w:val="auto"/>
          <w:kern w:val="0"/>
          <w:szCs w:val="21"/>
          <w:highlight w:val="none"/>
        </w:rPr>
        <w:t>）“中标人”指其投标被招标人接受，并与招标人签订合同的当事人；</w:t>
      </w:r>
    </w:p>
    <w:p w14:paraId="774AE46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7</w:t>
      </w:r>
      <w:r>
        <w:rPr>
          <w:rFonts w:hint="eastAsia" w:ascii="宋体" w:hAnsi="宋体" w:eastAsia="宋体" w:cs="Times New Roman"/>
          <w:color w:val="auto"/>
          <w:kern w:val="0"/>
          <w:szCs w:val="21"/>
          <w:highlight w:val="none"/>
        </w:rPr>
        <w:t>）“甲方”指在合同条款中指明的购买服务的单位，即</w:t>
      </w:r>
      <w:r>
        <w:rPr>
          <w:rFonts w:hint="eastAsia" w:ascii="宋体" w:hAnsi="宋体" w:eastAsia="宋体" w:cs="Times New Roman"/>
          <w:color w:val="auto"/>
          <w:kern w:val="0"/>
          <w:szCs w:val="21"/>
          <w:highlight w:val="none"/>
          <w:lang w:eastAsia="zh-CN"/>
        </w:rPr>
        <w:t>东莞市水务集团建设管理有限公司</w:t>
      </w:r>
      <w:r>
        <w:rPr>
          <w:rFonts w:hint="eastAsia" w:ascii="宋体" w:hAnsi="宋体" w:eastAsia="宋体" w:cs="Times New Roman"/>
          <w:color w:val="auto"/>
          <w:kern w:val="0"/>
          <w:szCs w:val="21"/>
          <w:highlight w:val="none"/>
        </w:rPr>
        <w:t>；</w:t>
      </w:r>
    </w:p>
    <w:p w14:paraId="5E39B11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8</w:t>
      </w:r>
      <w:r>
        <w:rPr>
          <w:rFonts w:hint="eastAsia" w:ascii="宋体" w:hAnsi="宋体" w:eastAsia="宋体" w:cs="Times New Roman"/>
          <w:color w:val="auto"/>
          <w:kern w:val="0"/>
          <w:szCs w:val="21"/>
          <w:highlight w:val="none"/>
        </w:rPr>
        <w:t>）“乙方”指在合同条款中指明的本合同项下提供服务的公司或实体；</w:t>
      </w:r>
    </w:p>
    <w:p w14:paraId="3362A00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9</w:t>
      </w:r>
      <w:r>
        <w:rPr>
          <w:rFonts w:hint="eastAsia" w:ascii="宋体" w:hAnsi="宋体" w:eastAsia="宋体" w:cs="Times New Roman"/>
          <w:color w:val="auto"/>
          <w:kern w:val="0"/>
          <w:szCs w:val="21"/>
          <w:highlight w:val="none"/>
        </w:rPr>
        <w:t>）“招标文件”指由招标代理机构发出的本招标文件，包括全部章节和附件；</w:t>
      </w:r>
    </w:p>
    <w:p w14:paraId="6560F67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10</w:t>
      </w:r>
      <w:r>
        <w:rPr>
          <w:rFonts w:hint="eastAsia" w:ascii="宋体" w:hAnsi="宋体" w:eastAsia="宋体" w:cs="Times New Roman"/>
          <w:color w:val="auto"/>
          <w:kern w:val="0"/>
          <w:szCs w:val="21"/>
          <w:highlight w:val="none"/>
        </w:rPr>
        <w:t>）“投标文件”指投标人根据本招标文件向招标代理机构提交的全部文件；</w:t>
      </w:r>
    </w:p>
    <w:p w14:paraId="4900CF1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1</w:t>
      </w:r>
      <w:r>
        <w:rPr>
          <w:rFonts w:hint="eastAsia" w:ascii="宋体" w:hAnsi="宋体" w:eastAsia="宋体" w:cs="Times New Roman"/>
          <w:color w:val="auto"/>
          <w:kern w:val="0"/>
          <w:szCs w:val="21"/>
          <w:highlight w:val="none"/>
        </w:rPr>
        <w:t>）“书面函件”指手写、打字或印刷的函件，包括电传、电报和传真；</w:t>
      </w:r>
    </w:p>
    <w:p w14:paraId="4832AA6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lang w:val="en-US" w:eastAsia="zh-CN"/>
        </w:rPr>
        <w:t>2</w:t>
      </w:r>
      <w:r>
        <w:rPr>
          <w:rFonts w:hint="eastAsia" w:ascii="宋体" w:hAnsi="宋体" w:eastAsia="宋体" w:cs="Times New Roman"/>
          <w:color w:val="auto"/>
          <w:kern w:val="0"/>
          <w:szCs w:val="21"/>
          <w:highlight w:val="none"/>
        </w:rPr>
        <w:t>）“合同”指由本次招标所产生的合同或合约文件；</w:t>
      </w:r>
    </w:p>
    <w:p w14:paraId="538DC38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13</w:t>
      </w:r>
      <w:r>
        <w:rPr>
          <w:rFonts w:hint="eastAsia" w:ascii="宋体" w:hAnsi="宋体" w:eastAsia="宋体" w:cs="Times New Roman"/>
          <w:color w:val="auto"/>
          <w:kern w:val="0"/>
          <w:szCs w:val="21"/>
          <w:highlight w:val="none"/>
        </w:rPr>
        <w:t>）“日期”指公历日，“时间”指北京时间；</w:t>
      </w:r>
    </w:p>
    <w:p w14:paraId="4528196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14</w:t>
      </w:r>
      <w:r>
        <w:rPr>
          <w:rFonts w:hint="eastAsia" w:ascii="宋体" w:hAnsi="宋体" w:eastAsia="宋体" w:cs="Times New Roman"/>
          <w:color w:val="auto"/>
          <w:kern w:val="0"/>
          <w:szCs w:val="21"/>
          <w:highlight w:val="none"/>
        </w:rPr>
        <w:t>）本招标文件中的“境内”特指中华人民共和国海关关境以内，“境外”特指中华人民共和国海关关境以外；</w:t>
      </w:r>
    </w:p>
    <w:p w14:paraId="7E68843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15</w:t>
      </w:r>
      <w:r>
        <w:rPr>
          <w:rFonts w:hint="eastAsia" w:ascii="宋体" w:hAnsi="宋体" w:eastAsia="宋体" w:cs="Times New Roman"/>
          <w:color w:val="auto"/>
          <w:kern w:val="0"/>
          <w:szCs w:val="21"/>
          <w:highlight w:val="none"/>
        </w:rPr>
        <w:t>）不含税价，即为《中华人民共和国增值税暂行条例》（国务院令第6</w:t>
      </w:r>
      <w:r>
        <w:rPr>
          <w:rFonts w:ascii="宋体" w:hAnsi="宋体" w:eastAsia="宋体" w:cs="Times New Roman"/>
          <w:color w:val="auto"/>
          <w:kern w:val="0"/>
          <w:szCs w:val="21"/>
          <w:highlight w:val="none"/>
        </w:rPr>
        <w:t>91</w:t>
      </w:r>
      <w:r>
        <w:rPr>
          <w:rFonts w:hint="eastAsia" w:ascii="宋体" w:hAnsi="宋体" w:eastAsia="宋体" w:cs="Times New Roman"/>
          <w:color w:val="auto"/>
          <w:kern w:val="0"/>
          <w:szCs w:val="21"/>
          <w:highlight w:val="none"/>
        </w:rPr>
        <w:t>号修订版）规定的销售额。本招标文件所称的</w:t>
      </w:r>
      <w:r>
        <w:rPr>
          <w:rFonts w:hint="eastAsia" w:ascii="宋体" w:hAnsi="宋体" w:eastAsia="宋体" w:cs="Times New Roman"/>
          <w:color w:val="auto"/>
          <w:szCs w:val="21"/>
          <w:highlight w:val="none"/>
          <w:lang w:val="zh-CN"/>
        </w:rPr>
        <w:t>不含税</w:t>
      </w:r>
      <w:r>
        <w:rPr>
          <w:rFonts w:hint="eastAsia" w:ascii="宋体" w:hAnsi="宋体" w:eastAsia="宋体" w:cs="宋体"/>
          <w:color w:val="auto"/>
          <w:sz w:val="21"/>
          <w:szCs w:val="21"/>
          <w:highlight w:val="none"/>
        </w:rPr>
        <w:t>综合单价</w:t>
      </w:r>
      <w:r>
        <w:rPr>
          <w:rFonts w:hint="eastAsia" w:ascii="宋体" w:hAnsi="宋体" w:eastAsia="宋体" w:cs="Times New Roman"/>
          <w:color w:val="auto"/>
          <w:szCs w:val="21"/>
          <w:highlight w:val="none"/>
          <w:lang w:val="zh-CN"/>
        </w:rPr>
        <w:t>和</w:t>
      </w:r>
      <w:r>
        <w:rPr>
          <w:rFonts w:hint="eastAsia" w:ascii="宋体" w:hAnsi="宋体" w:eastAsia="宋体" w:cs="宋体"/>
          <w:color w:val="auto"/>
          <w:szCs w:val="21"/>
          <w:highlight w:val="none"/>
        </w:rPr>
        <w:t>暂定总合同价</w:t>
      </w:r>
      <w:r>
        <w:rPr>
          <w:rFonts w:hint="eastAsia" w:ascii="宋体" w:hAnsi="宋体" w:eastAsia="宋体" w:cs="宋体"/>
          <w:color w:val="auto"/>
          <w:szCs w:val="21"/>
          <w:highlight w:val="none"/>
          <w:lang w:val="en-US" w:eastAsia="zh-CN"/>
        </w:rPr>
        <w:t>款</w:t>
      </w:r>
      <w:r>
        <w:rPr>
          <w:rFonts w:hint="eastAsia" w:ascii="宋体" w:hAnsi="宋体" w:eastAsia="宋体" w:cs="Times New Roman"/>
          <w:color w:val="auto"/>
          <w:kern w:val="0"/>
          <w:szCs w:val="21"/>
          <w:highlight w:val="none"/>
        </w:rPr>
        <w:t>是指不含本采购项目投标人的销项税额，包含了投标人完成合同义务（含投标人代缴代扣、分包及委外服务、施工、采购货物等所产生的价税）的其他全部费用。本采购项目投标人的销项税额由</w:t>
      </w:r>
      <w:r>
        <w:rPr>
          <w:rFonts w:hint="eastAsia" w:ascii="宋体" w:hAnsi="宋体" w:eastAsia="宋体" w:cs="宋体"/>
          <w:color w:val="auto"/>
          <w:szCs w:val="21"/>
          <w:highlight w:val="none"/>
          <w:lang w:val="zh-CN"/>
        </w:rPr>
        <w:t>项目业主或招标人</w:t>
      </w:r>
      <w:r>
        <w:rPr>
          <w:rFonts w:hint="eastAsia" w:ascii="宋体" w:hAnsi="宋体" w:eastAsia="宋体" w:cs="Times New Roman"/>
          <w:color w:val="auto"/>
          <w:kern w:val="0"/>
          <w:szCs w:val="21"/>
          <w:highlight w:val="none"/>
        </w:rPr>
        <w:t>承担，不计入投标报价。</w:t>
      </w:r>
    </w:p>
    <w:p w14:paraId="79831EF6">
      <w:pPr>
        <w:autoSpaceDE w:val="0"/>
        <w:autoSpaceDN w:val="0"/>
        <w:adjustRightInd w:val="0"/>
        <w:spacing w:line="360" w:lineRule="auto"/>
        <w:ind w:left="951" w:leftChars="78" w:hanging="787" w:hangingChars="375"/>
        <w:rPr>
          <w:rFonts w:ascii="宋体" w:hAnsi="宋体" w:eastAsia="宋体" w:cs="宋体"/>
          <w:color w:val="auto"/>
          <w:szCs w:val="21"/>
          <w:highlight w:val="none"/>
          <w:lang w:val="zh-CN"/>
        </w:rPr>
      </w:pPr>
    </w:p>
    <w:p w14:paraId="58AD665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11" w:name="_Toc11346"/>
      <w:bookmarkStart w:id="112" w:name="_Toc486167669"/>
      <w:bookmarkStart w:id="113" w:name="_Toc142508319"/>
      <w:bookmarkStart w:id="114" w:name="_Toc450662855"/>
      <w:bookmarkStart w:id="115" w:name="_Toc23939"/>
      <w:bookmarkStart w:id="116" w:name="_Toc29125_WPSOffice_Level3"/>
      <w:bookmarkStart w:id="117" w:name="_Toc1433"/>
      <w:bookmarkStart w:id="118" w:name="_Toc3727"/>
      <w:bookmarkStart w:id="119" w:name="_Toc2192"/>
      <w:bookmarkStart w:id="120" w:name="_Toc2029"/>
      <w:r>
        <w:rPr>
          <w:rFonts w:hint="eastAsia" w:ascii="宋体" w:hAnsi="宋体" w:eastAsia="宋体" w:cs="宋体"/>
          <w:color w:val="auto"/>
          <w:szCs w:val="21"/>
          <w:highlight w:val="none"/>
          <w:lang w:val="zh-CN"/>
        </w:rPr>
        <w:t>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招标文件的异议</w:t>
      </w:r>
      <w:bookmarkEnd w:id="111"/>
      <w:bookmarkEnd w:id="112"/>
      <w:bookmarkEnd w:id="113"/>
      <w:bookmarkEnd w:id="114"/>
      <w:bookmarkEnd w:id="115"/>
      <w:bookmarkEnd w:id="116"/>
      <w:bookmarkEnd w:id="117"/>
      <w:bookmarkEnd w:id="118"/>
      <w:bookmarkEnd w:id="119"/>
      <w:bookmarkEnd w:id="120"/>
    </w:p>
    <w:p w14:paraId="708BC565">
      <w:pPr>
        <w:autoSpaceDE w:val="0"/>
        <w:autoSpaceDN w:val="0"/>
        <w:adjustRightInd w:val="0"/>
        <w:spacing w:line="360" w:lineRule="auto"/>
        <w:ind w:left="288" w:leftChars="137" w:firstLine="420" w:firstLineChars="200"/>
        <w:rPr>
          <w:rFonts w:ascii="宋体" w:hAnsi="宋体" w:eastAsia="宋体" w:cs="宋体"/>
          <w:bCs/>
          <w:color w:val="auto"/>
          <w:szCs w:val="21"/>
          <w:highlight w:val="none"/>
          <w:lang w:val="zh-CN"/>
        </w:rPr>
      </w:pPr>
      <w:r>
        <w:rPr>
          <w:rFonts w:hint="eastAsia" w:ascii="宋体" w:hAnsi="宋体" w:eastAsia="宋体" w:cs="Times New Roman"/>
          <w:bCs/>
          <w:color w:val="auto"/>
          <w:szCs w:val="21"/>
          <w:highlight w:val="none"/>
          <w:lang w:val="zh-CN"/>
        </w:rPr>
        <w:t>投标人或者其他利害关系人对招标文件有异议的，应当在投标截止时间10日前</w:t>
      </w:r>
      <w:r>
        <w:rPr>
          <w:rFonts w:ascii="宋体" w:hAnsi="宋体" w:eastAsia="宋体" w:cs="Times New Roman"/>
          <w:color w:val="auto"/>
          <w:szCs w:val="21"/>
          <w:highlight w:val="none"/>
          <w:lang w:val="zh-CN"/>
        </w:rPr>
        <w:t>以书面形式向</w:t>
      </w:r>
      <w:r>
        <w:rPr>
          <w:rFonts w:hint="eastAsia" w:ascii="宋体" w:hAnsi="宋体" w:eastAsia="宋体" w:cs="Times New Roman"/>
          <w:color w:val="auto"/>
          <w:szCs w:val="21"/>
          <w:highlight w:val="none"/>
          <w:lang w:val="zh-CN"/>
        </w:rPr>
        <w:t>招标代理机构</w:t>
      </w:r>
      <w:r>
        <w:rPr>
          <w:rFonts w:ascii="宋体" w:hAnsi="宋体" w:eastAsia="宋体" w:cs="Times New Roman"/>
          <w:color w:val="auto"/>
          <w:szCs w:val="21"/>
          <w:highlight w:val="none"/>
          <w:lang w:val="zh-CN"/>
        </w:rPr>
        <w:t>提出</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w:t>
      </w:r>
      <w:r>
        <w:rPr>
          <w:rFonts w:ascii="宋体" w:hAnsi="宋体" w:eastAsia="宋体" w:cs="Times New Roman"/>
          <w:color w:val="auto"/>
          <w:szCs w:val="21"/>
          <w:highlight w:val="none"/>
          <w:lang w:val="zh-CN"/>
        </w:rPr>
        <w:t>招标文件所有内容</w:t>
      </w:r>
      <w:r>
        <w:rPr>
          <w:rFonts w:hint="eastAsia" w:ascii="宋体" w:hAnsi="宋体" w:eastAsia="宋体" w:cs="Times New Roman"/>
          <w:color w:val="auto"/>
          <w:szCs w:val="21"/>
          <w:highlight w:val="none"/>
          <w:lang w:val="zh-CN"/>
        </w:rPr>
        <w:t>无异议</w:t>
      </w:r>
      <w:r>
        <w:rPr>
          <w:rFonts w:ascii="宋体" w:hAnsi="宋体" w:eastAsia="宋体" w:cs="Times New Roman"/>
          <w:color w:val="auto"/>
          <w:szCs w:val="21"/>
          <w:highlight w:val="none"/>
          <w:lang w:val="zh-CN"/>
        </w:rPr>
        <w:t>。</w:t>
      </w:r>
      <w:r>
        <w:rPr>
          <w:rFonts w:hint="eastAsia" w:ascii="宋体" w:hAnsi="宋体" w:eastAsia="宋体" w:cs="Times New Roman"/>
          <w:bCs/>
          <w:color w:val="auto"/>
          <w:szCs w:val="21"/>
          <w:highlight w:val="none"/>
          <w:lang w:val="zh-CN"/>
        </w:rPr>
        <w:t>异议</w:t>
      </w:r>
      <w:r>
        <w:rPr>
          <w:rFonts w:hint="eastAsia" w:ascii="宋体" w:hAnsi="宋体" w:eastAsia="宋体" w:cs="Times New Roman"/>
          <w:color w:val="auto"/>
          <w:szCs w:val="21"/>
          <w:highlight w:val="none"/>
          <w:lang w:val="zh-CN"/>
        </w:rPr>
        <w:t>书面材料必须</w:t>
      </w:r>
      <w:r>
        <w:rPr>
          <w:rFonts w:ascii="宋体" w:hAnsi="宋体" w:eastAsia="宋体" w:cs="Times New Roman"/>
          <w:color w:val="auto"/>
          <w:szCs w:val="21"/>
          <w:highlight w:val="none"/>
          <w:lang w:val="zh-CN"/>
        </w:rPr>
        <w:t>加盖投标人</w:t>
      </w:r>
      <w:r>
        <w:rPr>
          <w:rFonts w:hint="eastAsia" w:ascii="宋体" w:hAnsi="宋体" w:eastAsia="宋体" w:cs="Times New Roman"/>
          <w:color w:val="auto"/>
          <w:szCs w:val="21"/>
          <w:highlight w:val="none"/>
          <w:lang w:val="zh-CN"/>
        </w:rPr>
        <w:t>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w:t>
      </w:r>
      <w:r>
        <w:rPr>
          <w:rFonts w:hint="eastAsia" w:ascii="宋体" w:hAnsi="宋体" w:eastAsia="宋体" w:cs="Times New Roman"/>
          <w:bCs/>
          <w:color w:val="auto"/>
          <w:szCs w:val="21"/>
          <w:highlight w:val="none"/>
          <w:lang w:val="zh-CN"/>
        </w:rPr>
        <w:t>超出</w:t>
      </w:r>
      <w:r>
        <w:rPr>
          <w:rFonts w:hint="eastAsia" w:ascii="宋体" w:hAnsi="宋体" w:eastAsia="宋体" w:cs="Times New Roman"/>
          <w:color w:val="auto"/>
          <w:szCs w:val="21"/>
          <w:highlight w:val="none"/>
          <w:lang w:val="zh-CN"/>
        </w:rPr>
        <w:t>提交接收异议截止时间而</w:t>
      </w:r>
      <w:r>
        <w:rPr>
          <w:rFonts w:hint="eastAsia" w:ascii="宋体" w:hAnsi="宋体" w:eastAsia="宋体" w:cs="Times New Roman"/>
          <w:bCs/>
          <w:color w:val="auto"/>
          <w:szCs w:val="21"/>
          <w:highlight w:val="none"/>
          <w:lang w:val="zh-CN"/>
        </w:rPr>
        <w:t>提出的任何疑问，招标代理机构可不予答复。</w:t>
      </w:r>
      <w:r>
        <w:rPr>
          <w:rFonts w:hint="eastAsia" w:ascii="宋体" w:hAnsi="宋体" w:eastAsia="宋体" w:cs="Times New Roman"/>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26AAAB0A">
      <w:pPr>
        <w:autoSpaceDE w:val="0"/>
        <w:autoSpaceDN w:val="0"/>
        <w:adjustRightInd w:val="0"/>
        <w:spacing w:line="360" w:lineRule="auto"/>
        <w:ind w:left="290" w:leftChars="137" w:hanging="2" w:hangingChars="1"/>
        <w:rPr>
          <w:rFonts w:ascii="宋体" w:hAnsi="宋体" w:eastAsia="宋体" w:cs="宋体"/>
          <w:b/>
          <w:bCs/>
          <w:color w:val="auto"/>
          <w:szCs w:val="21"/>
          <w:highlight w:val="none"/>
          <w:lang w:val="zh-CN"/>
        </w:rPr>
      </w:pPr>
    </w:p>
    <w:p w14:paraId="1D85F91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21" w:name="_Toc450662856"/>
      <w:bookmarkStart w:id="122" w:name="_Toc29864"/>
      <w:bookmarkStart w:id="123" w:name="_Toc3794"/>
      <w:bookmarkStart w:id="124" w:name="_Toc23483_WPSOffice_Level3"/>
      <w:bookmarkStart w:id="125" w:name="_Toc17145"/>
      <w:bookmarkStart w:id="126" w:name="_Toc486167670"/>
      <w:bookmarkStart w:id="127" w:name="_Toc39"/>
      <w:bookmarkStart w:id="128" w:name="_Toc142508320"/>
      <w:bookmarkStart w:id="129" w:name="_Toc2437"/>
      <w:bookmarkStart w:id="130" w:name="_Toc10526"/>
      <w:r>
        <w:rPr>
          <w:rFonts w:hint="eastAsia" w:ascii="宋体" w:hAnsi="宋体" w:eastAsia="宋体" w:cs="宋体"/>
          <w:color w:val="auto"/>
          <w:szCs w:val="21"/>
          <w:highlight w:val="none"/>
          <w:lang w:val="zh-CN"/>
        </w:rPr>
        <w:t>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招标文件的澄清及修改</w:t>
      </w:r>
      <w:bookmarkEnd w:id="121"/>
      <w:bookmarkEnd w:id="122"/>
      <w:bookmarkEnd w:id="123"/>
      <w:bookmarkEnd w:id="124"/>
      <w:bookmarkEnd w:id="125"/>
      <w:bookmarkEnd w:id="126"/>
      <w:bookmarkEnd w:id="127"/>
      <w:bookmarkEnd w:id="128"/>
      <w:bookmarkEnd w:id="129"/>
      <w:bookmarkEnd w:id="130"/>
    </w:p>
    <w:p w14:paraId="631FC8C0">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640FB34C">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7677521F">
      <w:pPr>
        <w:tabs>
          <w:tab w:val="left" w:pos="567"/>
        </w:tabs>
        <w:autoSpaceDE w:val="0"/>
        <w:autoSpaceDN w:val="0"/>
        <w:adjustRightInd w:val="0"/>
        <w:spacing w:line="360" w:lineRule="auto"/>
        <w:ind w:left="357" w:leftChars="-100" w:hanging="567"/>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Times New Roman"/>
          <w:bCs/>
          <w:color w:val="auto"/>
          <w:szCs w:val="21"/>
          <w:highlight w:val="none"/>
        </w:rPr>
        <w:t>中国招标投标公共服务平台（www.cebpubservice.com）、东莞市水务集团有限公司网（www.dgswjt.cn）、招标代理</w:t>
      </w:r>
      <w:r>
        <w:rPr>
          <w:rFonts w:hint="eastAsia" w:ascii="宋体" w:hAnsi="宋体" w:eastAsia="宋体" w:cs="Times New Roman"/>
          <w:bCs/>
          <w:color w:val="auto"/>
          <w:szCs w:val="21"/>
          <w:highlight w:val="none"/>
          <w:lang w:val="en-US" w:eastAsia="zh-CN"/>
        </w:rPr>
        <w:t>机构</w:t>
      </w:r>
      <w:r>
        <w:rPr>
          <w:rFonts w:hint="eastAsia" w:ascii="宋体" w:hAnsi="宋体" w:eastAsia="宋体" w:cs="Times New Roman"/>
          <w:bCs/>
          <w:color w:val="auto"/>
          <w:szCs w:val="21"/>
          <w:highlight w:val="none"/>
        </w:rPr>
        <w:t>网站（</w:t>
      </w:r>
      <w:r>
        <w:rPr>
          <w:rFonts w:hint="eastAsia" w:ascii="宋体" w:hAnsi="宋体" w:eastAsia="宋体" w:cs="Times New Roman"/>
          <w:bCs/>
          <w:color w:val="auto"/>
          <w:szCs w:val="21"/>
          <w:highlight w:val="none"/>
          <w:lang w:eastAsia="zh-CN"/>
        </w:rPr>
        <w:t>www.dashengtd.com</w:t>
      </w:r>
      <w:r>
        <w:rPr>
          <w:rFonts w:hint="eastAsia" w:ascii="宋体" w:hAnsi="宋体" w:eastAsia="宋体" w:cs="Times New Roman"/>
          <w:bCs/>
          <w:color w:val="auto"/>
          <w:szCs w:val="21"/>
          <w:highlight w:val="none"/>
        </w:rPr>
        <w:t>）</w:t>
      </w:r>
      <w:r>
        <w:rPr>
          <w:rFonts w:hint="eastAsia" w:ascii="宋体" w:hAnsi="宋体" w:eastAsia="宋体" w:cs="宋体"/>
          <w:color w:val="auto"/>
          <w:szCs w:val="21"/>
          <w:highlight w:val="none"/>
          <w:lang w:val="zh-CN"/>
        </w:rPr>
        <w:t>公布，请各投标人密切留意。</w:t>
      </w:r>
    </w:p>
    <w:p w14:paraId="47DFBFDE">
      <w:pPr>
        <w:autoSpaceDE w:val="0"/>
        <w:autoSpaceDN w:val="0"/>
        <w:adjustRightInd w:val="0"/>
        <w:spacing w:line="360" w:lineRule="auto"/>
        <w:ind w:left="357" w:leftChars="-100" w:hanging="567"/>
        <w:rPr>
          <w:rFonts w:ascii="宋体" w:hAnsi="宋体" w:eastAsia="宋体" w:cs="宋体"/>
          <w:color w:val="auto"/>
          <w:szCs w:val="21"/>
          <w:highlight w:val="none"/>
        </w:rPr>
      </w:pPr>
    </w:p>
    <w:p w14:paraId="2F96D741">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131" w:name="_Toc29659_WPSOffice_Level2"/>
      <w:bookmarkStart w:id="132" w:name="_Toc486167671"/>
      <w:bookmarkStart w:id="133" w:name="_Toc8711"/>
      <w:bookmarkStart w:id="134" w:name="_Toc140596880"/>
      <w:bookmarkStart w:id="135" w:name="_Toc26321"/>
      <w:bookmarkStart w:id="136" w:name="_Toc23342"/>
      <w:bookmarkStart w:id="137" w:name="_Toc27196"/>
      <w:bookmarkStart w:id="138" w:name="_Toc24774"/>
      <w:bookmarkStart w:id="139" w:name="_Toc20817"/>
      <w:bookmarkStart w:id="140" w:name="_Toc142508321"/>
      <w:bookmarkStart w:id="141" w:name="_Toc450662857"/>
      <w:r>
        <w:rPr>
          <w:rFonts w:hint="eastAsia" w:ascii="宋体" w:hAnsi="宋体" w:eastAsia="宋体" w:cs="宋体"/>
          <w:b/>
          <w:bCs/>
          <w:color w:val="auto"/>
          <w:kern w:val="44"/>
          <w:szCs w:val="21"/>
          <w:highlight w:val="none"/>
          <w:lang w:val="zh-CN"/>
        </w:rPr>
        <w:t>三、投标文件的编制</w:t>
      </w:r>
      <w:bookmarkEnd w:id="131"/>
      <w:bookmarkEnd w:id="132"/>
      <w:bookmarkEnd w:id="133"/>
      <w:bookmarkEnd w:id="134"/>
      <w:bookmarkEnd w:id="135"/>
      <w:bookmarkEnd w:id="136"/>
      <w:bookmarkEnd w:id="137"/>
      <w:bookmarkEnd w:id="138"/>
      <w:bookmarkEnd w:id="139"/>
      <w:bookmarkEnd w:id="140"/>
      <w:bookmarkEnd w:id="141"/>
    </w:p>
    <w:p w14:paraId="6928DD6B">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42" w:name="_Toc7168"/>
      <w:bookmarkStart w:id="143" w:name="_Toc450662858"/>
      <w:bookmarkStart w:id="144" w:name="_Toc6244"/>
      <w:bookmarkStart w:id="145" w:name="_Toc486167672"/>
      <w:bookmarkStart w:id="146" w:name="_Toc142508322"/>
      <w:bookmarkStart w:id="147" w:name="_Toc10015_WPSOffice_Level3"/>
      <w:bookmarkStart w:id="148" w:name="_Toc3827"/>
      <w:bookmarkStart w:id="149" w:name="_Toc31162"/>
      <w:bookmarkStart w:id="150" w:name="_Toc22291"/>
      <w:bookmarkStart w:id="151" w:name="_Toc7767"/>
      <w:r>
        <w:rPr>
          <w:rFonts w:hint="eastAsia" w:ascii="宋体" w:hAnsi="宋体" w:eastAsia="宋体" w:cs="宋体"/>
          <w:color w:val="auto"/>
          <w:szCs w:val="21"/>
          <w:highlight w:val="none"/>
          <w:lang w:val="zh-CN"/>
        </w:rPr>
        <w:t>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投标使用的文字及度量衡单位</w:t>
      </w:r>
      <w:bookmarkEnd w:id="142"/>
      <w:bookmarkEnd w:id="143"/>
      <w:bookmarkEnd w:id="144"/>
      <w:bookmarkEnd w:id="145"/>
      <w:bookmarkEnd w:id="146"/>
      <w:bookmarkEnd w:id="147"/>
      <w:bookmarkEnd w:id="148"/>
      <w:bookmarkEnd w:id="149"/>
      <w:bookmarkEnd w:id="150"/>
      <w:bookmarkEnd w:id="151"/>
    </w:p>
    <w:p w14:paraId="6410B4D7">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6081EDA4">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3492B71A">
      <w:pPr>
        <w:autoSpaceDE w:val="0"/>
        <w:autoSpaceDN w:val="0"/>
        <w:adjustRightInd w:val="0"/>
        <w:spacing w:line="360" w:lineRule="auto"/>
        <w:rPr>
          <w:rFonts w:ascii="宋体" w:hAnsi="宋体" w:eastAsia="宋体" w:cs="宋体"/>
          <w:color w:val="auto"/>
          <w:szCs w:val="21"/>
          <w:highlight w:val="none"/>
          <w:lang w:val="zh-CN"/>
        </w:rPr>
      </w:pPr>
    </w:p>
    <w:p w14:paraId="281EC62B">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highlight w:val="none"/>
          <w:lang w:val="zh-CN"/>
        </w:rPr>
      </w:pPr>
      <w:bookmarkStart w:id="152" w:name="_Toc142508323"/>
      <w:bookmarkStart w:id="153" w:name="_Toc26462"/>
      <w:bookmarkStart w:id="154" w:name="_Toc538"/>
      <w:bookmarkStart w:id="155" w:name="_Toc486167673"/>
      <w:bookmarkStart w:id="156" w:name="_Toc14943"/>
      <w:bookmarkStart w:id="157" w:name="_Toc24916_WPSOffice_Level3"/>
      <w:bookmarkStart w:id="158" w:name="_Toc7348"/>
      <w:bookmarkStart w:id="159" w:name="_Toc450662859"/>
      <w:bookmarkStart w:id="160" w:name="_Toc8363"/>
      <w:bookmarkStart w:id="161" w:name="_Toc27540"/>
      <w:r>
        <w:rPr>
          <w:rFonts w:hint="eastAsia" w:ascii="宋体" w:hAnsi="宋体" w:eastAsia="宋体" w:cs="宋体"/>
          <w:color w:val="auto"/>
          <w:szCs w:val="21"/>
          <w:highlight w:val="none"/>
          <w:lang w:val="zh-CN"/>
        </w:rPr>
        <w:t>9</w:t>
      </w:r>
      <w:r>
        <w:rPr>
          <w:rFonts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52"/>
      <w:bookmarkEnd w:id="153"/>
      <w:bookmarkEnd w:id="154"/>
      <w:bookmarkEnd w:id="155"/>
      <w:bookmarkEnd w:id="156"/>
      <w:bookmarkEnd w:id="157"/>
      <w:bookmarkEnd w:id="158"/>
      <w:bookmarkEnd w:id="159"/>
      <w:bookmarkEnd w:id="160"/>
      <w:bookmarkEnd w:id="161"/>
    </w:p>
    <w:p w14:paraId="7524C5A4">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Times New Roman"/>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highlight w:val="none"/>
        </w:rPr>
        <w:t>。</w:t>
      </w:r>
    </w:p>
    <w:p w14:paraId="37985910">
      <w:pPr>
        <w:autoSpaceDE w:val="0"/>
        <w:autoSpaceDN w:val="0"/>
        <w:adjustRightInd w:val="0"/>
        <w:spacing w:line="360" w:lineRule="auto"/>
        <w:ind w:left="422" w:leftChars="-100" w:hanging="632" w:hangingChars="300"/>
        <w:rPr>
          <w:rFonts w:ascii="宋体" w:hAnsi="宋体" w:eastAsia="宋体" w:cs="Times New Roman"/>
          <w:b/>
          <w:color w:val="auto"/>
          <w:kern w:val="0"/>
          <w:szCs w:val="21"/>
          <w:highlight w:val="none"/>
        </w:rPr>
      </w:pPr>
      <w:r>
        <w:rPr>
          <w:rFonts w:hint="eastAsia" w:ascii="宋体" w:hAnsi="宋体" w:eastAsia="宋体" w:cs="宋体"/>
          <w:b/>
          <w:color w:val="auto"/>
          <w:kern w:val="0"/>
          <w:szCs w:val="24"/>
          <w:highlight w:val="none"/>
        </w:rPr>
        <w:t>9.1.1 商务文件：</w:t>
      </w:r>
    </w:p>
    <w:p w14:paraId="35A68E97">
      <w:pPr>
        <w:autoSpaceDE w:val="0"/>
        <w:autoSpaceDN w:val="0"/>
        <w:adjustRightInd w:val="0"/>
        <w:spacing w:line="360" w:lineRule="auto"/>
        <w:jc w:val="left"/>
        <w:rPr>
          <w:rFonts w:ascii="宋体" w:hAnsi="宋体" w:eastAsia="宋体" w:cs="Times New Roman"/>
          <w:b/>
          <w:color w:val="auto"/>
          <w:kern w:val="0"/>
          <w:szCs w:val="21"/>
          <w:highlight w:val="none"/>
          <w:lang w:val="zh-CN"/>
        </w:rPr>
      </w:pPr>
      <w:r>
        <w:rPr>
          <w:rFonts w:hint="eastAsia" w:ascii="宋体" w:hAnsi="宋体" w:eastAsia="宋体" w:cs="Times New Roman"/>
          <w:color w:val="auto"/>
          <w:kern w:val="0"/>
          <w:sz w:val="24"/>
          <w:szCs w:val="24"/>
          <w:highlight w:val="none"/>
          <w:lang w:val="zh-CN"/>
        </w:rPr>
        <w:t xml:space="preserve">  </w:t>
      </w:r>
      <w:r>
        <w:rPr>
          <w:rFonts w:ascii="宋体" w:hAnsi="宋体" w:eastAsia="宋体" w:cs="Times New Roman"/>
          <w:color w:val="auto"/>
          <w:kern w:val="0"/>
          <w:sz w:val="24"/>
          <w:szCs w:val="24"/>
          <w:highlight w:val="none"/>
          <w:lang w:val="zh-CN"/>
        </w:rPr>
        <w:t xml:space="preserve"> </w:t>
      </w:r>
      <w:r>
        <w:rPr>
          <w:rFonts w:hint="eastAsia" w:ascii="宋体" w:hAnsi="宋体" w:eastAsia="宋体" w:cs="Times New Roman"/>
          <w:b/>
          <w:color w:val="auto"/>
          <w:kern w:val="0"/>
          <w:szCs w:val="21"/>
          <w:highlight w:val="none"/>
          <w:lang w:val="zh-CN"/>
        </w:rPr>
        <w:t>目录：</w:t>
      </w:r>
    </w:p>
    <w:p w14:paraId="2E09FC8E">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1E9A82A3">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349FDFA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）供货及/或提供服务过程承诺函；</w:t>
      </w:r>
    </w:p>
    <w:p w14:paraId="7D6F705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w:t>
      </w:r>
    </w:p>
    <w:p w14:paraId="084AD2C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6E270639">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ascii="宋体" w:hAnsi="宋体" w:eastAsia="宋体" w:cs="Times New Roman"/>
          <w:color w:val="auto"/>
          <w:szCs w:val="21"/>
          <w:highlight w:val="none"/>
          <w:lang w:val="zh-CN"/>
        </w:rPr>
        <w:t>1）多证合一营业执照</w:t>
      </w:r>
      <w:r>
        <w:rPr>
          <w:rFonts w:hint="eastAsia" w:ascii="宋体" w:hAnsi="宋体" w:eastAsia="宋体" w:cs="Times New Roman"/>
          <w:color w:val="auto"/>
          <w:kern w:val="0"/>
          <w:szCs w:val="21"/>
          <w:highlight w:val="none"/>
        </w:rPr>
        <w:t>（或事业单位法人证书）</w:t>
      </w:r>
      <w:r>
        <w:rPr>
          <w:rFonts w:ascii="宋体" w:hAnsi="宋体" w:eastAsia="宋体" w:cs="Times New Roman"/>
          <w:color w:val="auto"/>
          <w:szCs w:val="21"/>
          <w:highlight w:val="none"/>
          <w:lang w:val="zh-CN"/>
        </w:rPr>
        <w:t>复印件；</w:t>
      </w:r>
    </w:p>
    <w:p w14:paraId="03A7E3E9">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开户许可证复印件（基本存款账户）</w:t>
      </w:r>
      <w:r>
        <w:rPr>
          <w:rFonts w:hint="eastAsia" w:ascii="宋体" w:hAnsi="宋体" w:eastAsia="宋体" w:cs="Times New Roman"/>
          <w:color w:val="auto"/>
          <w:szCs w:val="21"/>
          <w:highlight w:val="none"/>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highlight w:val="none"/>
          <w:lang w:val="zh-CN"/>
        </w:rPr>
        <w:t>；</w:t>
      </w:r>
    </w:p>
    <w:p w14:paraId="49E439A8">
      <w:pPr>
        <w:autoSpaceDE w:val="0"/>
        <w:autoSpaceDN w:val="0"/>
        <w:adjustRightInd w:val="0"/>
        <w:spacing w:line="360" w:lineRule="auto"/>
        <w:ind w:left="283" w:hanging="283" w:hangingChars="135"/>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rPr>
        <w:t>3</w:t>
      </w:r>
      <w:r>
        <w:rPr>
          <w:rFonts w:ascii="宋体" w:hAnsi="宋体" w:eastAsia="宋体" w:cs="Times New Roman"/>
          <w:color w:val="auto"/>
          <w:szCs w:val="21"/>
          <w:highlight w:val="none"/>
          <w:lang w:val="zh-CN"/>
        </w:rPr>
        <w:t>）法定代表人身份证明书和法定代表人授权书原件（法定代表人投标时只提供法定代表人身份证明书，委托</w:t>
      </w:r>
      <w:r>
        <w:rPr>
          <w:rFonts w:ascii="宋体" w:hAnsi="宋体" w:eastAsia="宋体" w:cs="Times New Roman"/>
          <w:color w:val="auto"/>
          <w:szCs w:val="21"/>
          <w:highlight w:val="none"/>
        </w:rPr>
        <w:t>他人</w:t>
      </w:r>
      <w:r>
        <w:rPr>
          <w:rFonts w:ascii="宋体" w:hAnsi="宋体" w:eastAsia="宋体" w:cs="Times New Roman"/>
          <w:color w:val="auto"/>
          <w:szCs w:val="21"/>
          <w:highlight w:val="none"/>
          <w:lang w:val="zh-CN"/>
        </w:rPr>
        <w:t>为投标代表时同时提供法定代表人授权书）；</w:t>
      </w:r>
    </w:p>
    <w:p w14:paraId="665FC03F">
      <w:pPr>
        <w:tabs>
          <w:tab w:val="left" w:pos="1276"/>
        </w:tabs>
        <w:spacing w:line="360" w:lineRule="auto"/>
        <w:ind w:left="283" w:hanging="283" w:hangingChars="135"/>
        <w:rPr>
          <w:rFonts w:ascii="宋体" w:hAnsi="宋体" w:eastAsia="宋体" w:cs="Times New Roman"/>
          <w:color w:val="auto"/>
          <w:szCs w:val="21"/>
          <w:highlight w:val="none"/>
        </w:rPr>
      </w:pPr>
      <w:r>
        <w:rPr>
          <w:rFonts w:hint="eastAsia" w:ascii="宋体" w:hAnsi="宋体" w:eastAsia="宋体" w:cs="Times New Roman"/>
          <w:color w:val="auto"/>
          <w:szCs w:val="21"/>
          <w:highlight w:val="none"/>
          <w:lang w:val="zh-CN"/>
        </w:rPr>
        <w:t>4</w:t>
      </w:r>
      <w:r>
        <w:rPr>
          <w:rFonts w:hint="eastAsia" w:ascii="宋体" w:hAnsi="宋体" w:eastAsia="宋体" w:cs="宋体"/>
          <w:color w:val="auto"/>
          <w:szCs w:val="21"/>
          <w:highlight w:val="none"/>
        </w:rPr>
        <w:t>）</w:t>
      </w:r>
      <w:r>
        <w:rPr>
          <w:rFonts w:hint="eastAsia" w:hAnsi="宋体" w:eastAsia="宋体"/>
          <w:b/>
          <w:color w:val="auto"/>
          <w:sz w:val="21"/>
          <w:szCs w:val="21"/>
          <w:highlight w:val="none"/>
          <w:lang w:val="zh-CN"/>
        </w:rPr>
        <w:t>投标人须同时具备由住房和城乡建设部门颁发的并在有效期内的建设工程质量检测机构资质证书（须同时涵盖见证取样检测、地基基础工程检测、主体结构工程现场检测、钢结构工程检测），或者是建设工程质量检测机构综合资质证书，或者是建设工程质量检测机构专项资质证书（须同时取得建筑材料及构配件、钢结构、地基基础、市政工程材料、道路工程</w:t>
      </w:r>
      <w:r>
        <w:rPr>
          <w:rFonts w:hint="eastAsia" w:hAnsi="宋体" w:eastAsia="宋体"/>
          <w:b/>
          <w:color w:val="auto"/>
          <w:sz w:val="21"/>
          <w:szCs w:val="21"/>
          <w:highlight w:val="none"/>
          <w:lang w:val="en-US" w:eastAsia="zh-CN"/>
        </w:rPr>
        <w:t>5</w:t>
      </w:r>
      <w:r>
        <w:rPr>
          <w:rFonts w:hint="eastAsia" w:hAnsi="宋体" w:eastAsia="宋体"/>
          <w:b/>
          <w:color w:val="auto"/>
          <w:sz w:val="21"/>
          <w:szCs w:val="21"/>
          <w:highlight w:val="none"/>
          <w:lang w:val="zh-CN"/>
        </w:rPr>
        <w:t>个专项资质）和计量行政部门颁发的CMA计量认证证书；</w:t>
      </w:r>
    </w:p>
    <w:p w14:paraId="317258BF">
      <w:pPr>
        <w:tabs>
          <w:tab w:val="left" w:pos="1276"/>
        </w:tabs>
        <w:spacing w:line="360" w:lineRule="auto"/>
        <w:ind w:left="283" w:hanging="283" w:hangingChars="135"/>
        <w:rPr>
          <w:rFonts w:hint="eastAsia" w:ascii="宋体" w:hAnsi="宋体" w:eastAsia="宋体" w:cs="宋体"/>
          <w:color w:val="auto"/>
          <w:szCs w:val="21"/>
          <w:highlight w:val="none"/>
          <w:lang w:eastAsia="zh-CN"/>
        </w:rPr>
      </w:pPr>
      <w:r>
        <w:rPr>
          <w:rFonts w:hint="eastAsia" w:ascii="宋体" w:hAnsi="宋体" w:eastAsia="宋体" w:cs="Times New Roman"/>
          <w:color w:val="auto"/>
          <w:szCs w:val="21"/>
          <w:highlight w:val="none"/>
        </w:rPr>
        <w:t>5</w:t>
      </w:r>
      <w:r>
        <w:rPr>
          <w:rFonts w:hint="eastAsia" w:ascii="宋体" w:hAnsi="宋体" w:eastAsia="宋体" w:cs="宋体"/>
          <w:color w:val="auto"/>
          <w:szCs w:val="21"/>
          <w:highlight w:val="none"/>
        </w:rPr>
        <w:t>）</w:t>
      </w:r>
      <w:r>
        <w:rPr>
          <w:rFonts w:hint="eastAsia" w:ascii="宋体" w:hAnsi="宋体" w:eastAsia="宋体"/>
          <w:color w:val="auto"/>
          <w:szCs w:val="21"/>
          <w:highlight w:val="none"/>
        </w:rPr>
        <w:t>资格业绩</w:t>
      </w:r>
      <w:r>
        <w:rPr>
          <w:rFonts w:hint="default" w:ascii="宋体" w:hAnsi="宋体" w:eastAsia="宋体" w:cs="Times New Roman"/>
          <w:color w:val="auto"/>
          <w:szCs w:val="21"/>
          <w:highlight w:val="none"/>
          <w:lang w:val="zh-CN"/>
        </w:rPr>
        <w:t>【</w:t>
      </w:r>
      <w:r>
        <w:rPr>
          <w:rFonts w:hint="default" w:ascii="宋体" w:hAnsi="宋体" w:eastAsia="宋体" w:cs="Times New Roman"/>
          <w:color w:val="auto"/>
          <w:sz w:val="21"/>
          <w:szCs w:val="21"/>
          <w:highlight w:val="none"/>
          <w:lang w:val="zh-CN"/>
        </w:rPr>
        <w:t>投标人</w:t>
      </w:r>
      <w:r>
        <w:rPr>
          <w:rFonts w:hint="eastAsia" w:ascii="宋体" w:hAnsi="宋体" w:eastAsia="宋体" w:cs="Times New Roman"/>
          <w:color w:val="auto"/>
          <w:sz w:val="21"/>
          <w:szCs w:val="21"/>
          <w:highlight w:val="none"/>
          <w:lang w:val="zh-CN" w:eastAsia="zh-CN"/>
        </w:rPr>
        <w:t>2020年</w:t>
      </w:r>
      <w:r>
        <w:rPr>
          <w:rFonts w:hint="default" w:ascii="宋体" w:hAnsi="宋体" w:eastAsia="宋体" w:cs="Times New Roman"/>
          <w:color w:val="auto"/>
          <w:sz w:val="21"/>
          <w:szCs w:val="21"/>
          <w:highlight w:val="none"/>
          <w:lang w:val="zh-CN"/>
        </w:rPr>
        <w:t>1月1日以来具有一项市政工程检测业绩（合同签订日期为</w:t>
      </w:r>
      <w:r>
        <w:rPr>
          <w:rFonts w:hint="eastAsia" w:ascii="宋体" w:hAnsi="宋体" w:eastAsia="宋体" w:cs="Times New Roman"/>
          <w:color w:val="auto"/>
          <w:sz w:val="21"/>
          <w:szCs w:val="21"/>
          <w:highlight w:val="none"/>
          <w:lang w:val="zh-CN" w:eastAsia="zh-CN"/>
        </w:rPr>
        <w:t>2020年</w:t>
      </w:r>
      <w:r>
        <w:rPr>
          <w:rFonts w:hint="default" w:ascii="宋体" w:hAnsi="宋体" w:eastAsia="宋体" w:cs="Times New Roman"/>
          <w:color w:val="auto"/>
          <w:sz w:val="21"/>
          <w:szCs w:val="21"/>
          <w:highlight w:val="none"/>
          <w:lang w:val="zh-CN"/>
        </w:rPr>
        <w:t>1月1日或以后）</w:t>
      </w:r>
      <w:r>
        <w:rPr>
          <w:rFonts w:hint="default" w:ascii="宋体" w:hAnsi="宋体" w:eastAsia="宋体" w:cs="Times New Roman"/>
          <w:color w:val="auto"/>
          <w:szCs w:val="21"/>
          <w:highlight w:val="none"/>
          <w:lang w:val="zh-CN"/>
        </w:rPr>
        <w:t>，资格业绩证明材料提交要求详见招标文件第六篇投标文件格式</w:t>
      </w:r>
      <w:r>
        <w:rPr>
          <w:rFonts w:hint="eastAsia" w:ascii="宋体" w:hAnsi="宋体" w:eastAsia="宋体" w:cs="Times New Roman"/>
          <w:color w:val="auto"/>
          <w:szCs w:val="21"/>
          <w:highlight w:val="none"/>
          <w:u w:val="none"/>
          <w:lang w:val="en-US" w:eastAsia="zh-CN"/>
        </w:rPr>
        <w:t>5</w:t>
      </w:r>
      <w:r>
        <w:rPr>
          <w:rFonts w:hint="default" w:ascii="宋体" w:hAnsi="宋体" w:eastAsia="宋体" w:cs="Times New Roman"/>
          <w:color w:val="auto"/>
          <w:szCs w:val="21"/>
          <w:highlight w:val="none"/>
          <w:u w:val="none"/>
          <w:lang w:val="zh-CN"/>
        </w:rPr>
        <w:t>.</w:t>
      </w:r>
      <w:r>
        <w:rPr>
          <w:rFonts w:hint="eastAsia" w:ascii="宋体" w:hAnsi="宋体" w:eastAsia="宋体" w:cs="Times New Roman"/>
          <w:color w:val="auto"/>
          <w:szCs w:val="21"/>
          <w:highlight w:val="none"/>
          <w:u w:val="none"/>
          <w:lang w:val="en-US" w:eastAsia="zh-CN"/>
        </w:rPr>
        <w:t>5</w:t>
      </w:r>
      <w:r>
        <w:rPr>
          <w:rFonts w:hint="default" w:ascii="宋体" w:hAnsi="宋体" w:eastAsia="宋体" w:cs="Times New Roman"/>
          <w:color w:val="auto"/>
          <w:szCs w:val="21"/>
          <w:highlight w:val="none"/>
          <w:lang w:val="zh-CN"/>
        </w:rPr>
        <w:t>】</w:t>
      </w:r>
      <w:r>
        <w:rPr>
          <w:rFonts w:hint="eastAsia" w:ascii="宋体" w:hAnsi="宋体" w:eastAsia="宋体"/>
          <w:color w:val="auto"/>
          <w:szCs w:val="21"/>
          <w:highlight w:val="none"/>
          <w:lang w:eastAsia="zh-CN"/>
        </w:rPr>
        <w:t>；</w:t>
      </w:r>
    </w:p>
    <w:p w14:paraId="6A564BD4">
      <w:pPr>
        <w:autoSpaceDE w:val="0"/>
        <w:autoSpaceDN w:val="0"/>
        <w:adjustRightInd w:val="0"/>
        <w:spacing w:line="360" w:lineRule="auto"/>
        <w:ind w:left="913" w:hanging="913" w:hangingChars="435"/>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5B8C758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3A00060C">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729CA32A">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）合同条款响应程度（合同条款偏离表）；</w:t>
      </w:r>
    </w:p>
    <w:p w14:paraId="3715BDF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lang w:val="zh-CN"/>
        </w:rPr>
        <w:t>）业绩表；</w:t>
      </w:r>
    </w:p>
    <w:p w14:paraId="50622DAA">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）拟投入人员情况；</w:t>
      </w:r>
    </w:p>
    <w:p w14:paraId="20FBF48D">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）投标保证金汇入情况说明；</w:t>
      </w:r>
    </w:p>
    <w:p w14:paraId="1CFE1E6C">
      <w:pPr>
        <w:tabs>
          <w:tab w:val="left" w:pos="567"/>
        </w:tabs>
        <w:autoSpaceDE w:val="0"/>
        <w:autoSpaceDN w:val="0"/>
        <w:adjustRightInd w:val="0"/>
        <w:spacing w:line="360" w:lineRule="auto"/>
        <w:ind w:left="315" w:leftChars="-100" w:hanging="525" w:hangingChars="25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en-US" w:eastAsia="zh-CN"/>
        </w:rPr>
        <w:t>12）投标人“东莞市工程质量检测监管平台”完成注册备案相关网页截图或中标后在7个工作日内完成备案的承诺函；</w:t>
      </w:r>
    </w:p>
    <w:p w14:paraId="21217B2C">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5245471F">
      <w:pPr>
        <w:autoSpaceDE w:val="0"/>
        <w:autoSpaceDN w:val="0"/>
        <w:adjustRightInd w:val="0"/>
        <w:spacing w:line="360" w:lineRule="auto"/>
        <w:ind w:left="422" w:leftChars="-100" w:hanging="632" w:hangingChars="300"/>
        <w:rPr>
          <w:rFonts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275E87F0">
      <w:pPr>
        <w:autoSpaceDE w:val="0"/>
        <w:autoSpaceDN w:val="0"/>
        <w:adjustRightInd w:val="0"/>
        <w:spacing w:line="360" w:lineRule="auto"/>
        <w:ind w:right="-23" w:rightChars="-11"/>
        <w:jc w:val="left"/>
        <w:rPr>
          <w:rFonts w:ascii="宋体" w:hAnsi="宋体" w:eastAsia="宋体" w:cs="Times New Roman"/>
          <w:b/>
          <w:bCs/>
          <w:color w:val="auto"/>
          <w:kern w:val="0"/>
          <w:szCs w:val="21"/>
          <w:highlight w:val="none"/>
          <w:lang w:val="zh-CN"/>
        </w:rPr>
      </w:pPr>
      <w:r>
        <w:rPr>
          <w:rFonts w:hint="eastAsia" w:ascii="宋体" w:hAnsi="宋体" w:eastAsia="宋体" w:cs="Times New Roman"/>
          <w:b/>
          <w:bCs/>
          <w:color w:val="auto"/>
          <w:kern w:val="0"/>
          <w:szCs w:val="21"/>
          <w:highlight w:val="none"/>
          <w:lang w:val="zh-CN"/>
        </w:rPr>
        <w:t xml:space="preserve"> </w:t>
      </w:r>
      <w:r>
        <w:rPr>
          <w:rFonts w:ascii="宋体" w:hAnsi="宋体" w:eastAsia="宋体" w:cs="Times New Roman"/>
          <w:b/>
          <w:bCs/>
          <w:color w:val="auto"/>
          <w:kern w:val="0"/>
          <w:szCs w:val="21"/>
          <w:highlight w:val="none"/>
          <w:lang w:val="zh-CN"/>
        </w:rPr>
        <w:t xml:space="preserve">   </w:t>
      </w:r>
      <w:r>
        <w:rPr>
          <w:rFonts w:hint="eastAsia" w:ascii="宋体" w:hAnsi="宋体" w:eastAsia="宋体" w:cs="Times New Roman"/>
          <w:b/>
          <w:bCs/>
          <w:color w:val="auto"/>
          <w:kern w:val="0"/>
          <w:szCs w:val="21"/>
          <w:highlight w:val="none"/>
          <w:lang w:val="zh-CN"/>
        </w:rPr>
        <w:t>目录：</w:t>
      </w:r>
    </w:p>
    <w:p w14:paraId="6EC45377">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（1）用户需求响应程度（即用户需求偏离表格式）；</w:t>
      </w:r>
    </w:p>
    <w:p w14:paraId="3EA42762">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（2）检测方案</w:t>
      </w:r>
      <w:r>
        <w:rPr>
          <w:rFonts w:hint="eastAsia" w:ascii="宋体" w:hAnsi="宋体" w:eastAsia="宋体" w:cs="Times New Roman"/>
          <w:color w:val="auto"/>
          <w:kern w:val="0"/>
          <w:szCs w:val="21"/>
          <w:highlight w:val="none"/>
          <w:lang w:val="zh-CN"/>
        </w:rPr>
        <w:t>；</w:t>
      </w:r>
    </w:p>
    <w:p w14:paraId="791672CE">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）检测设备；</w:t>
      </w:r>
    </w:p>
    <w:p w14:paraId="238CDBF2">
      <w:pPr>
        <w:spacing w:line="360" w:lineRule="auto"/>
        <w:ind w:left="315" w:leftChars="-100" w:hanging="525" w:hangingChars="25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）检测场所及环境；</w:t>
      </w:r>
    </w:p>
    <w:p w14:paraId="0BFC4C9D">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检测成果准确性承诺书；</w:t>
      </w:r>
    </w:p>
    <w:p w14:paraId="452C6944">
      <w:pPr>
        <w:spacing w:line="360" w:lineRule="auto"/>
        <w:ind w:left="315" w:leftChars="-100" w:hanging="525" w:hangingChars="25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服务响应时间承诺书；</w:t>
      </w:r>
    </w:p>
    <w:p w14:paraId="56FA74DC">
      <w:pPr>
        <w:tabs>
          <w:tab w:val="left" w:pos="567"/>
        </w:tabs>
        <w:autoSpaceDE w:val="0"/>
        <w:autoSpaceDN w:val="0"/>
        <w:adjustRightInd w:val="0"/>
        <w:spacing w:line="360" w:lineRule="auto"/>
        <w:ind w:left="105" w:leftChars="-100" w:hanging="315" w:hanging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）投标人认为有必要提供的其它材料（不做强制要求）。</w:t>
      </w:r>
    </w:p>
    <w:p w14:paraId="5607182D">
      <w:pPr>
        <w:autoSpaceDE w:val="0"/>
        <w:autoSpaceDN w:val="0"/>
        <w:adjustRightInd w:val="0"/>
        <w:spacing w:line="360" w:lineRule="auto"/>
        <w:ind w:left="422" w:leftChars="-100" w:hanging="632" w:hangingChars="300"/>
        <w:rPr>
          <w:rFonts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w:t>
      </w:r>
      <w:r>
        <w:rPr>
          <w:rFonts w:ascii="宋体" w:hAnsi="宋体" w:eastAsia="宋体" w:cs="宋体"/>
          <w:color w:val="auto"/>
          <w:kern w:val="0"/>
          <w:szCs w:val="21"/>
          <w:highlight w:val="none"/>
          <w:lang w:val="zh-CN"/>
        </w:rPr>
        <w:t>5</w:t>
      </w:r>
      <w:r>
        <w:rPr>
          <w:rFonts w:hint="eastAsia" w:ascii="宋体" w:hAnsi="宋体" w:eastAsia="宋体" w:cs="宋体"/>
          <w:color w:val="auto"/>
          <w:kern w:val="0"/>
          <w:szCs w:val="21"/>
          <w:highlight w:val="none"/>
          <w:lang w:val="zh-CN"/>
        </w:rPr>
        <w:t>款）</w:t>
      </w:r>
    </w:p>
    <w:p w14:paraId="7548BFC5">
      <w:pPr>
        <w:autoSpaceDE w:val="0"/>
        <w:autoSpaceDN w:val="0"/>
        <w:adjustRightInd w:val="0"/>
        <w:spacing w:line="360" w:lineRule="auto"/>
        <w:ind w:left="35" w:leftChars="-118" w:hanging="283" w:hangingChars="135"/>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4D2A0B93">
      <w:pPr>
        <w:autoSpaceDE w:val="0"/>
        <w:autoSpaceDN w:val="0"/>
        <w:adjustRightInd w:val="0"/>
        <w:spacing w:line="360" w:lineRule="auto"/>
        <w:ind w:left="422" w:leftChars="-100" w:hanging="632" w:hangingChars="300"/>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68085B55">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5A2A93CA">
      <w:pPr>
        <w:spacing w:line="360" w:lineRule="auto"/>
        <w:ind w:left="105" w:leftChars="-100" w:hanging="315" w:hangingChars="15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（2）投标保证金汇入情况说明（一式两份）。</w:t>
      </w:r>
    </w:p>
    <w:p w14:paraId="08B80E54">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36A2EE48">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w:t>
      </w:r>
      <w:r>
        <w:rPr>
          <w:rFonts w:hint="eastAsia" w:ascii="宋体" w:hAnsi="宋体" w:eastAsia="宋体" w:cs="Times New Roman"/>
          <w:b/>
          <w:color w:val="auto"/>
          <w:szCs w:val="21"/>
          <w:highlight w:val="none"/>
          <w:u w:val="single"/>
          <w:lang w:val="zh-CN"/>
        </w:rPr>
        <w:t>发票、照片</w:t>
      </w:r>
      <w:r>
        <w:rPr>
          <w:rFonts w:hint="eastAsia" w:ascii="宋体" w:hAnsi="宋体" w:eastAsia="宋体" w:cs="宋体"/>
          <w:b/>
          <w:color w:val="auto"/>
          <w:szCs w:val="21"/>
          <w:highlight w:val="none"/>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758F4178">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p>
    <w:p w14:paraId="5958647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62" w:name="_Toc450662860"/>
      <w:bookmarkStart w:id="163" w:name="_Toc8675_WPSOffice_Level3"/>
      <w:bookmarkStart w:id="164" w:name="_Toc486167674"/>
      <w:bookmarkStart w:id="165" w:name="_Toc13214"/>
      <w:bookmarkStart w:id="166" w:name="_Toc11170"/>
      <w:bookmarkStart w:id="167" w:name="_Toc142508324"/>
      <w:bookmarkStart w:id="168" w:name="_Toc18247"/>
      <w:bookmarkStart w:id="169" w:name="_Toc31771"/>
      <w:bookmarkStart w:id="170" w:name="_Toc7257"/>
      <w:bookmarkStart w:id="171" w:name="_Toc5977"/>
      <w:r>
        <w:rPr>
          <w:rFonts w:hint="eastAsia" w:ascii="宋体" w:hAnsi="宋体" w:eastAsia="宋体" w:cs="宋体"/>
          <w:color w:val="auto"/>
          <w:szCs w:val="21"/>
          <w:highlight w:val="none"/>
          <w:lang w:val="zh-CN"/>
        </w:rPr>
        <w:t>10</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投标函</w:t>
      </w:r>
      <w:bookmarkEnd w:id="162"/>
      <w:bookmarkEnd w:id="163"/>
      <w:bookmarkEnd w:id="164"/>
      <w:bookmarkEnd w:id="165"/>
      <w:bookmarkEnd w:id="166"/>
      <w:bookmarkEnd w:id="167"/>
      <w:bookmarkEnd w:id="168"/>
      <w:bookmarkEnd w:id="169"/>
      <w:bookmarkEnd w:id="170"/>
      <w:bookmarkEnd w:id="171"/>
    </w:p>
    <w:p w14:paraId="64A33B62">
      <w:pPr>
        <w:autoSpaceDE w:val="0"/>
        <w:autoSpaceDN w:val="0"/>
        <w:adjustRightInd w:val="0"/>
        <w:spacing w:line="360" w:lineRule="auto"/>
        <w:ind w:left="265" w:leftChars="119" w:hanging="15"/>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2B50980C">
      <w:pPr>
        <w:autoSpaceDE w:val="0"/>
        <w:autoSpaceDN w:val="0"/>
        <w:adjustRightInd w:val="0"/>
        <w:spacing w:line="360" w:lineRule="auto"/>
        <w:ind w:left="265" w:leftChars="119" w:hanging="15"/>
        <w:rPr>
          <w:rFonts w:ascii="宋体" w:hAnsi="宋体" w:eastAsia="宋体" w:cs="宋体"/>
          <w:color w:val="auto"/>
          <w:szCs w:val="21"/>
          <w:highlight w:val="none"/>
          <w:lang w:val="zh-CN"/>
        </w:rPr>
      </w:pPr>
    </w:p>
    <w:p w14:paraId="6A1976A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72" w:name="_Toc24311"/>
      <w:bookmarkStart w:id="173" w:name="_Toc20186"/>
      <w:bookmarkStart w:id="174" w:name="_Toc14340"/>
      <w:bookmarkStart w:id="175" w:name="_Toc15427"/>
      <w:bookmarkStart w:id="176" w:name="_Toc450662861"/>
      <w:bookmarkStart w:id="177" w:name="_Toc142508325"/>
      <w:bookmarkStart w:id="178" w:name="_Toc4385_WPSOffice_Level3"/>
      <w:bookmarkStart w:id="179" w:name="_Toc486167675"/>
      <w:bookmarkStart w:id="180" w:name="_Toc17954"/>
      <w:bookmarkStart w:id="181" w:name="_Toc2119"/>
      <w:r>
        <w:rPr>
          <w:rFonts w:hint="eastAsia" w:ascii="宋体" w:hAnsi="宋体" w:eastAsia="宋体" w:cs="宋体"/>
          <w:color w:val="auto"/>
          <w:szCs w:val="21"/>
          <w:highlight w:val="none"/>
          <w:lang w:val="zh-CN"/>
        </w:rPr>
        <w:t>11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投标报价</w:t>
      </w:r>
      <w:bookmarkEnd w:id="172"/>
      <w:bookmarkEnd w:id="173"/>
      <w:bookmarkEnd w:id="174"/>
      <w:bookmarkEnd w:id="175"/>
      <w:bookmarkEnd w:id="176"/>
      <w:bookmarkEnd w:id="177"/>
      <w:bookmarkEnd w:id="178"/>
      <w:bookmarkEnd w:id="179"/>
      <w:bookmarkEnd w:id="180"/>
      <w:bookmarkEnd w:id="181"/>
    </w:p>
    <w:p w14:paraId="525D6C55">
      <w:pPr>
        <w:tabs>
          <w:tab w:val="left" w:pos="567"/>
        </w:tabs>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本项目的投标报价采用填报服务系数的方式，投标人须报出检测服务系数。本项目</w:t>
      </w:r>
      <w:r>
        <w:rPr>
          <w:rFonts w:hint="eastAsia" w:ascii="宋体" w:hAnsi="宋体" w:eastAsia="宋体" w:cs="Times New Roman"/>
          <w:b/>
          <w:color w:val="auto"/>
          <w:szCs w:val="21"/>
          <w:highlight w:val="none"/>
          <w:lang w:val="zh-CN"/>
        </w:rPr>
        <w:t>只允许有一个报价价格，任何有选择的或</w:t>
      </w:r>
      <w:r>
        <w:rPr>
          <w:rFonts w:hint="eastAsia" w:ascii="宋体" w:hAnsi="宋体" w:eastAsia="宋体" w:cs="Times New Roman"/>
          <w:b/>
          <w:color w:val="auto"/>
          <w:kern w:val="0"/>
          <w:szCs w:val="21"/>
          <w:highlight w:val="none"/>
          <w:lang w:val="zh-CN"/>
        </w:rPr>
        <w:t>不是固定价的</w:t>
      </w:r>
      <w:r>
        <w:rPr>
          <w:rFonts w:hint="eastAsia" w:ascii="宋体" w:hAnsi="宋体" w:eastAsia="宋体" w:cs="Times New Roman"/>
          <w:b/>
          <w:color w:val="auto"/>
          <w:szCs w:val="21"/>
          <w:highlight w:val="none"/>
          <w:lang w:val="zh-CN"/>
        </w:rPr>
        <w:t>投标报价将不予接受，</w:t>
      </w:r>
      <w:r>
        <w:rPr>
          <w:rFonts w:hint="eastAsia" w:ascii="宋体" w:hAnsi="宋体" w:eastAsia="宋体" w:cs="Times New Roman"/>
          <w:b/>
          <w:color w:val="auto"/>
          <w:kern w:val="0"/>
          <w:szCs w:val="21"/>
          <w:highlight w:val="none"/>
          <w:lang w:val="zh-CN"/>
        </w:rPr>
        <w:t>作为非实质性响应投标而予以拒绝。</w:t>
      </w:r>
      <w:r>
        <w:rPr>
          <w:rFonts w:hint="eastAsia" w:ascii="宋体" w:hAnsi="宋体" w:eastAsia="宋体" w:cs="Times New Roman"/>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742E6120">
      <w:pPr>
        <w:tabs>
          <w:tab w:val="left" w:pos="567"/>
        </w:tabs>
        <w:autoSpaceDE w:val="0"/>
        <w:autoSpaceDN w:val="0"/>
        <w:adjustRightInd w:val="0"/>
        <w:spacing w:line="360" w:lineRule="auto"/>
        <w:ind w:firstLine="567"/>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30209305">
      <w:pPr>
        <w:tabs>
          <w:tab w:val="left" w:pos="567"/>
        </w:tabs>
        <w:autoSpaceDE w:val="0"/>
        <w:autoSpaceDN w:val="0"/>
        <w:adjustRightInd w:val="0"/>
        <w:spacing w:line="360" w:lineRule="auto"/>
        <w:ind w:firstLine="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657AF2D8">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本项目的投标报价采用检测服务系数报价，合同履约过程中，工程量清单计价表中检测项目</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不含税综合单价按以下方式计算：</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不含税综合单价=不含税综合单价×中标检测服务系数，以实际工作量进行结算，但最终结算价不得超出暂定总合同价款（含税），</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不含税综合单价出现小数点，保留小数点后</w:t>
      </w:r>
      <w:r>
        <w:rPr>
          <w:rFonts w:hint="default" w:ascii="宋体" w:hAnsi="宋体" w:eastAsia="宋体" w:cs="宋体"/>
          <w:color w:val="auto"/>
          <w:szCs w:val="21"/>
          <w:highlight w:val="none"/>
          <w:lang w:val="en-US"/>
        </w:rPr>
        <w:t>两</w:t>
      </w:r>
      <w:r>
        <w:rPr>
          <w:rFonts w:hint="eastAsia" w:ascii="宋体" w:hAnsi="宋体" w:eastAsia="宋体" w:cs="宋体"/>
          <w:color w:val="auto"/>
          <w:szCs w:val="21"/>
          <w:highlight w:val="none"/>
          <w:lang w:val="zh-CN"/>
        </w:rPr>
        <w:t>位，从小数点后第3位四舍五入。</w:t>
      </w:r>
      <w:r>
        <w:rPr>
          <w:rFonts w:hint="eastAsia" w:ascii="宋体" w:hAnsi="宋体" w:eastAsia="宋体" w:cs="Times New Roman"/>
          <w:color w:val="auto"/>
          <w:szCs w:val="21"/>
          <w:highlight w:val="none"/>
          <w:lang w:val="zh-CN"/>
        </w:rPr>
        <w:t>本招标文件所称的不含税</w:t>
      </w:r>
      <w:r>
        <w:rPr>
          <w:rFonts w:hint="eastAsia" w:ascii="宋体" w:hAnsi="宋体" w:eastAsia="宋体" w:cs="宋体"/>
          <w:color w:val="auto"/>
          <w:sz w:val="21"/>
          <w:szCs w:val="21"/>
          <w:highlight w:val="none"/>
        </w:rPr>
        <w:t>综合单价</w:t>
      </w:r>
      <w:r>
        <w:rPr>
          <w:rFonts w:hint="eastAsia" w:ascii="宋体" w:hAnsi="宋体" w:eastAsia="宋体" w:cs="Times New Roman"/>
          <w:color w:val="auto"/>
          <w:szCs w:val="21"/>
          <w:highlight w:val="none"/>
          <w:lang w:val="zh-CN"/>
        </w:rPr>
        <w:t>和</w:t>
      </w:r>
      <w:r>
        <w:rPr>
          <w:rFonts w:hint="eastAsia" w:ascii="宋体" w:hAnsi="宋体" w:eastAsia="宋体" w:cs="宋体"/>
          <w:color w:val="auto"/>
          <w:szCs w:val="21"/>
          <w:highlight w:val="none"/>
        </w:rPr>
        <w:t>暂定总合同价</w:t>
      </w:r>
      <w:r>
        <w:rPr>
          <w:rFonts w:hint="eastAsia" w:ascii="宋体" w:hAnsi="宋体" w:eastAsia="宋体" w:cs="宋体"/>
          <w:color w:val="auto"/>
          <w:szCs w:val="21"/>
          <w:highlight w:val="none"/>
          <w:lang w:val="en-US" w:eastAsia="zh-CN"/>
        </w:rPr>
        <w:t>款</w:t>
      </w:r>
      <w:r>
        <w:rPr>
          <w:rFonts w:hint="eastAsia" w:ascii="宋体" w:hAnsi="宋体" w:eastAsia="宋体" w:cs="Times New Roman"/>
          <w:color w:val="auto"/>
          <w:szCs w:val="21"/>
          <w:highlight w:val="none"/>
          <w:lang w:val="zh-CN"/>
        </w:rPr>
        <w:t>是指不含本采购项目投标人的销项税额，包含了投标人完成合同义务（含投标人代缴代扣、分包及委外服务、安装、采购货物等所产生的价税）的其他全部费用。本采购项目的销项税额由</w:t>
      </w:r>
      <w:r>
        <w:rPr>
          <w:rFonts w:hint="eastAsia" w:ascii="宋体" w:hAnsi="宋体" w:eastAsia="宋体" w:cs="宋体"/>
          <w:color w:val="auto"/>
          <w:szCs w:val="21"/>
          <w:highlight w:val="none"/>
          <w:lang w:val="zh-CN"/>
        </w:rPr>
        <w:t>项目业主或招标人</w:t>
      </w:r>
      <w:r>
        <w:rPr>
          <w:rFonts w:hint="eastAsia" w:ascii="宋体" w:hAnsi="宋体" w:eastAsia="宋体" w:cs="Times New Roman"/>
          <w:color w:val="auto"/>
          <w:szCs w:val="21"/>
          <w:highlight w:val="none"/>
          <w:lang w:val="zh-CN"/>
        </w:rPr>
        <w:t>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0B7F598F">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检测人销项税额以外的税金等，报价过程产生的费用、办理履约担保费用、水电及进退场、差旅、驻地、办公设施、用品、食宿费、交通、通讯、施工配合费、保险费、风险费、检测方案的审查及专家论证费等完成本项目服务相关的直接及间接费用；</w:t>
      </w:r>
    </w:p>
    <w:p w14:paraId="256EAD10">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（2）检测时，如需土建施工单位配合或向其租借设备时，中标人自行与施工单位协调，配合及租借费用；</w:t>
      </w:r>
    </w:p>
    <w:p w14:paraId="5864072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）法律法规、商业公认、招标文件规定由投标人承担的其他直接及间接费用。</w:t>
      </w:r>
    </w:p>
    <w:p w14:paraId="431551B6">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11.3</w:t>
      </w:r>
      <w:r>
        <w:rPr>
          <w:rFonts w:ascii="宋体" w:hAnsi="宋体" w:eastAsia="宋体" w:cs="宋体"/>
          <w:color w:val="auto"/>
          <w:kern w:val="0"/>
          <w:szCs w:val="21"/>
          <w:highlight w:val="none"/>
        </w:rPr>
        <w:t xml:space="preserve"> </w:t>
      </w:r>
      <w:r>
        <w:rPr>
          <w:rFonts w:hint="eastAsia" w:ascii="宋体" w:hAnsi="宋体" w:eastAsia="宋体" w:cs="Times New Roman"/>
          <w:color w:val="auto"/>
          <w:szCs w:val="21"/>
          <w:highlight w:val="none"/>
          <w:lang w:val="zh-CN"/>
        </w:rPr>
        <w:t>投标人根据</w:t>
      </w:r>
      <w:r>
        <w:rPr>
          <w:color w:val="auto"/>
          <w:highlight w:val="none"/>
        </w:rPr>
        <w:fldChar w:fldCharType="begin"/>
      </w:r>
      <w:r>
        <w:rPr>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highlight w:val="none"/>
        </w:rPr>
        <w:fldChar w:fldCharType="separate"/>
      </w:r>
      <w:r>
        <w:rPr>
          <w:rFonts w:hint="eastAsia" w:ascii="宋体" w:hAnsi="宋体" w:eastAsia="宋体" w:cs="Times New Roman"/>
          <w:color w:val="auto"/>
          <w:szCs w:val="21"/>
          <w:highlight w:val="none"/>
          <w:lang w:val="zh-CN"/>
        </w:rPr>
        <w:t>第</w:t>
      </w:r>
      <w:r>
        <w:rPr>
          <w:rFonts w:ascii="宋体" w:hAnsi="宋体" w:eastAsia="宋体" w:cs="Times New Roman"/>
          <w:color w:val="auto"/>
          <w:szCs w:val="21"/>
          <w:highlight w:val="none"/>
          <w:lang w:val="zh-CN"/>
        </w:rPr>
        <w:t>11.</w:t>
      </w: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款</w:t>
      </w:r>
      <w:r>
        <w:rPr>
          <w:rFonts w:hint="eastAsia" w:ascii="宋体" w:hAnsi="宋体" w:eastAsia="宋体" w:cs="Times New Roman"/>
          <w:color w:val="auto"/>
          <w:szCs w:val="21"/>
          <w:highlight w:val="none"/>
          <w:lang w:val="zh-CN"/>
        </w:rPr>
        <w:fldChar w:fldCharType="end"/>
      </w:r>
      <w:r>
        <w:rPr>
          <w:rFonts w:hint="eastAsia" w:ascii="宋体" w:hAnsi="宋体" w:eastAsia="宋体" w:cs="Times New Roman"/>
          <w:color w:val="auto"/>
          <w:szCs w:val="21"/>
          <w:highlight w:val="none"/>
          <w:lang w:val="zh-CN"/>
        </w:rPr>
        <w:t>所报的价格分项仅供评标委员会评审时使用；在任何情况下不限制投标人以不同的条件中标的权利。</w:t>
      </w:r>
    </w:p>
    <w:p w14:paraId="1F1E4A0C">
      <w:pPr>
        <w:autoSpaceDE w:val="0"/>
        <w:autoSpaceDN w:val="0"/>
        <w:adjustRightInd w:val="0"/>
        <w:spacing w:line="360" w:lineRule="auto"/>
        <w:ind w:left="268" w:leftChars="-100" w:hanging="478" w:hangingChars="228"/>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Times New Roman"/>
          <w:color w:val="auto"/>
          <w:kern w:val="0"/>
          <w:szCs w:val="21"/>
          <w:highlight w:val="none"/>
          <w:lang w:val="zh-CN"/>
        </w:rPr>
        <w:t>。</w:t>
      </w:r>
      <w:r>
        <w:rPr>
          <w:rFonts w:hint="eastAsia" w:ascii="宋体" w:hAnsi="宋体" w:eastAsia="宋体" w:cs="宋体"/>
          <w:color w:val="auto"/>
          <w:kern w:val="0"/>
          <w:szCs w:val="21"/>
          <w:highlight w:val="none"/>
        </w:rPr>
        <w:t xml:space="preserve"> </w:t>
      </w:r>
    </w:p>
    <w:p w14:paraId="3F23AA19">
      <w:pPr>
        <w:autoSpaceDE w:val="0"/>
        <w:autoSpaceDN w:val="0"/>
        <w:adjustRightInd w:val="0"/>
        <w:spacing w:line="360" w:lineRule="auto"/>
        <w:ind w:left="357" w:leftChars="-100" w:hanging="567"/>
        <w:rPr>
          <w:rFonts w:ascii="宋体" w:hAnsi="宋体" w:eastAsia="宋体" w:cs="Times New Roman"/>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Times New Roman"/>
          <w:b/>
          <w:bCs/>
          <w:color w:val="auto"/>
          <w:szCs w:val="21"/>
          <w:highlight w:val="none"/>
          <w:lang w:val="zh-CN"/>
        </w:rPr>
        <w:t>合同项下，招标人需要的</w:t>
      </w:r>
      <w:r>
        <w:rPr>
          <w:rFonts w:hint="eastAsia" w:ascii="宋体" w:hAnsi="宋体" w:eastAsia="宋体" w:cs="Times New Roman"/>
          <w:b/>
          <w:bCs/>
          <w:color w:val="auto"/>
          <w:szCs w:val="21"/>
          <w:highlight w:val="none"/>
          <w:lang w:val="en-US" w:eastAsia="zh-CN"/>
        </w:rPr>
        <w:t>相关</w:t>
      </w:r>
      <w:r>
        <w:rPr>
          <w:rFonts w:hint="eastAsia" w:ascii="宋体" w:hAnsi="宋体" w:eastAsia="宋体" w:cs="Times New Roman"/>
          <w:b/>
          <w:bCs/>
          <w:color w:val="auto"/>
          <w:szCs w:val="21"/>
          <w:highlight w:val="none"/>
          <w:lang w:val="zh-CN"/>
        </w:rPr>
        <w:t>服务所需的费用，投标人都应计入投标报价总价。</w:t>
      </w:r>
    </w:p>
    <w:p w14:paraId="56062F5E">
      <w:pPr>
        <w:autoSpaceDE w:val="0"/>
        <w:autoSpaceDN w:val="0"/>
        <w:adjustRightInd w:val="0"/>
        <w:spacing w:line="360" w:lineRule="auto"/>
        <w:ind w:left="357" w:leftChars="-100" w:hanging="567"/>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Times New Roman"/>
          <w:b/>
          <w:bCs/>
          <w:color w:val="auto"/>
          <w:szCs w:val="21"/>
          <w:highlight w:val="none"/>
          <w:u w:val="single"/>
        </w:rPr>
        <w:t xml:space="preserve"> 投标人</w:t>
      </w:r>
      <w:r>
        <w:rPr>
          <w:rFonts w:hint="eastAsia" w:ascii="宋体" w:hAnsi="宋体" w:eastAsia="宋体" w:cs="Times New Roman"/>
          <w:b/>
          <w:bCs/>
          <w:color w:val="auto"/>
          <w:szCs w:val="21"/>
          <w:highlight w:val="none"/>
          <w:u w:val="single"/>
          <w:lang w:val="en-US" w:eastAsia="zh-CN"/>
        </w:rPr>
        <w:t>检测</w:t>
      </w:r>
      <w:r>
        <w:rPr>
          <w:rFonts w:hint="eastAsia" w:ascii="宋体" w:hAnsi="宋体" w:eastAsia="宋体" w:cs="Times New Roman"/>
          <w:b/>
          <w:bCs/>
          <w:color w:val="auto"/>
          <w:szCs w:val="21"/>
          <w:highlight w:val="none"/>
          <w:u w:val="single"/>
        </w:rPr>
        <w:t>服务系数报价</w:t>
      </w:r>
      <w:r>
        <w:rPr>
          <w:rFonts w:hint="eastAsia" w:ascii="宋体" w:hAnsi="宋体" w:eastAsia="宋体" w:cs="Times New Roman"/>
          <w:b/>
          <w:bCs/>
          <w:color w:val="auto"/>
          <w:szCs w:val="21"/>
          <w:highlight w:val="none"/>
          <w:u w:val="single"/>
          <w:lang w:val="en-US" w:eastAsia="zh-CN"/>
        </w:rPr>
        <w:t>不得超过0.80</w:t>
      </w:r>
      <w:r>
        <w:rPr>
          <w:rFonts w:hint="eastAsia" w:ascii="宋体" w:hAnsi="宋体" w:eastAsia="宋体" w:cs="Times New Roman"/>
          <w:b/>
          <w:bCs/>
          <w:color w:val="auto"/>
          <w:szCs w:val="21"/>
          <w:highlight w:val="none"/>
          <w:u w:val="single"/>
          <w:lang w:eastAsia="zh-CN"/>
        </w:rPr>
        <w:t>，</w:t>
      </w:r>
      <w:r>
        <w:rPr>
          <w:rFonts w:hint="eastAsia" w:ascii="宋体" w:hAnsi="宋体" w:eastAsia="宋体" w:cs="Times New Roman"/>
          <w:b/>
          <w:bCs/>
          <w:color w:val="auto"/>
          <w:szCs w:val="21"/>
          <w:highlight w:val="none"/>
          <w:u w:val="single"/>
        </w:rPr>
        <w:t>且不能为</w:t>
      </w:r>
      <w:r>
        <w:rPr>
          <w:rFonts w:hint="eastAsia" w:ascii="宋体" w:hAnsi="宋体" w:eastAsia="宋体" w:cs="Times New Roman"/>
          <w:b/>
          <w:bCs/>
          <w:color w:val="auto"/>
          <w:szCs w:val="21"/>
          <w:highlight w:val="none"/>
          <w:u w:val="single"/>
          <w:lang w:val="en-US" w:eastAsia="zh-CN"/>
        </w:rPr>
        <w:t>0.00或</w:t>
      </w:r>
      <w:r>
        <w:rPr>
          <w:rFonts w:hint="eastAsia" w:ascii="宋体" w:hAnsi="宋体" w:eastAsia="宋体" w:cs="Times New Roman"/>
          <w:b/>
          <w:bCs/>
          <w:color w:val="auto"/>
          <w:szCs w:val="21"/>
          <w:highlight w:val="none"/>
          <w:u w:val="single"/>
        </w:rPr>
        <w:t>负数，投标人未按招标文件要求进行检测服务系数报价的，将被视为无效投标。</w:t>
      </w:r>
      <w:r>
        <w:rPr>
          <w:rFonts w:hint="eastAsia" w:ascii="宋体" w:hAnsi="宋体" w:eastAsia="宋体" w:cs="Times New Roman"/>
          <w:b/>
          <w:bCs/>
          <w:color w:val="auto"/>
          <w:szCs w:val="21"/>
          <w:highlight w:val="none"/>
          <w:u w:val="single"/>
          <w:lang w:val="en-US" w:eastAsia="zh-CN"/>
        </w:rPr>
        <w:t>检测</w:t>
      </w:r>
      <w:r>
        <w:rPr>
          <w:rFonts w:hint="eastAsia" w:ascii="宋体" w:hAnsi="宋体" w:eastAsia="宋体" w:cs="Times New Roman"/>
          <w:b/>
          <w:bCs/>
          <w:color w:val="auto"/>
          <w:szCs w:val="21"/>
          <w:highlight w:val="none"/>
          <w:u w:val="single"/>
        </w:rPr>
        <w:t>服务系数报价保留小数点后两位</w:t>
      </w:r>
      <w:r>
        <w:rPr>
          <w:rFonts w:hint="eastAsia" w:ascii="宋体" w:hAnsi="宋体" w:eastAsia="宋体" w:cs="Times New Roman"/>
          <w:b/>
          <w:bCs/>
          <w:color w:val="auto"/>
          <w:szCs w:val="21"/>
          <w:highlight w:val="none"/>
          <w:u w:val="single"/>
          <w:lang w:eastAsia="zh-CN"/>
        </w:rPr>
        <w:t>，</w:t>
      </w:r>
      <w:r>
        <w:rPr>
          <w:rFonts w:hint="eastAsia" w:ascii="宋体" w:hAnsi="宋体" w:eastAsia="宋体" w:cs="Times New Roman"/>
          <w:b/>
          <w:bCs/>
          <w:color w:val="auto"/>
          <w:szCs w:val="21"/>
          <w:highlight w:val="none"/>
          <w:u w:val="single"/>
        </w:rPr>
        <w:t>否则评标委员会按去“尾”或补“零”的方式进行修正为保留小数点后两位，投标人须接受被修正后的报价(例:如检测服务系数为0.789，则被修正为0.78;如检测服务系数为0.7，则被修正为0.70)。暂定含税总采购金额为</w:t>
      </w:r>
      <w:r>
        <w:rPr>
          <w:rFonts w:hint="eastAsia" w:ascii="宋体" w:hAnsi="宋体" w:eastAsia="宋体" w:cs="Times New Roman"/>
          <w:b/>
          <w:bCs/>
          <w:color w:val="auto"/>
          <w:szCs w:val="21"/>
          <w:highlight w:val="none"/>
          <w:u w:val="single"/>
          <w:lang w:val="en-US" w:eastAsia="zh-CN"/>
        </w:rPr>
        <w:t>1,944,082.61</w:t>
      </w:r>
      <w:r>
        <w:rPr>
          <w:rFonts w:hint="eastAsia" w:ascii="宋体" w:hAnsi="宋体" w:eastAsia="宋体" w:cs="Times New Roman"/>
          <w:b/>
          <w:bCs/>
          <w:color w:val="auto"/>
          <w:szCs w:val="21"/>
          <w:highlight w:val="none"/>
          <w:u w:val="single"/>
        </w:rPr>
        <w:t>元（大写：</w:t>
      </w:r>
      <w:r>
        <w:rPr>
          <w:rFonts w:hint="eastAsia" w:ascii="宋体" w:hAnsi="宋体" w:eastAsia="宋体" w:cs="Times New Roman"/>
          <w:b/>
          <w:bCs/>
          <w:color w:val="auto"/>
          <w:szCs w:val="21"/>
          <w:highlight w:val="none"/>
          <w:u w:val="single"/>
          <w:lang w:val="en-US" w:eastAsia="zh-CN"/>
        </w:rPr>
        <w:t>壹佰玖拾肆万肆仟零捌拾贰元陆角壹分</w:t>
      </w:r>
      <w:r>
        <w:rPr>
          <w:rFonts w:hint="eastAsia" w:ascii="宋体" w:hAnsi="宋体" w:eastAsia="宋体" w:cs="Times New Roman"/>
          <w:b/>
          <w:bCs/>
          <w:color w:val="auto"/>
          <w:szCs w:val="21"/>
          <w:highlight w:val="none"/>
          <w:u w:val="single"/>
        </w:rPr>
        <w:t>），暂定不含税总采购金额为</w:t>
      </w:r>
      <w:r>
        <w:rPr>
          <w:rFonts w:hint="eastAsia" w:ascii="宋体" w:hAnsi="宋体" w:eastAsia="宋体" w:cs="Times New Roman"/>
          <w:b/>
          <w:bCs/>
          <w:color w:val="auto"/>
          <w:szCs w:val="21"/>
          <w:highlight w:val="none"/>
          <w:u w:val="single"/>
          <w:lang w:val="en-US" w:eastAsia="zh-CN"/>
        </w:rPr>
        <w:t>1,834,040.20</w:t>
      </w:r>
      <w:r>
        <w:rPr>
          <w:rFonts w:hint="eastAsia" w:ascii="宋体" w:hAnsi="宋体" w:eastAsia="宋体" w:cs="Times New Roman"/>
          <w:b/>
          <w:bCs/>
          <w:color w:val="auto"/>
          <w:szCs w:val="21"/>
          <w:highlight w:val="none"/>
          <w:u w:val="single"/>
        </w:rPr>
        <w:t>元（大写：</w:t>
      </w:r>
      <w:r>
        <w:rPr>
          <w:rFonts w:hint="eastAsia" w:ascii="宋体" w:hAnsi="宋体" w:eastAsia="宋体" w:cs="Times New Roman"/>
          <w:b/>
          <w:bCs/>
          <w:color w:val="auto"/>
          <w:szCs w:val="21"/>
          <w:highlight w:val="none"/>
          <w:u w:val="single"/>
          <w:lang w:val="en-US" w:eastAsia="zh-CN"/>
        </w:rPr>
        <w:t>壹佰捌拾叁万肆仟零肆拾元贰角</w:t>
      </w:r>
      <w:r>
        <w:rPr>
          <w:rFonts w:hint="eastAsia" w:ascii="宋体" w:hAnsi="宋体" w:eastAsia="宋体" w:cs="Times New Roman"/>
          <w:b/>
          <w:bCs/>
          <w:color w:val="auto"/>
          <w:szCs w:val="21"/>
          <w:highlight w:val="none"/>
          <w:u w:val="single"/>
        </w:rPr>
        <w:t>）</w:t>
      </w:r>
      <w:r>
        <w:rPr>
          <w:rFonts w:hint="eastAsia" w:ascii="宋体" w:hAnsi="宋体" w:eastAsia="宋体" w:cs="宋体"/>
          <w:b/>
          <w:color w:val="auto"/>
          <w:szCs w:val="21"/>
          <w:highlight w:val="none"/>
          <w:u w:val="single"/>
          <w:lang w:val="zh-CN"/>
        </w:rPr>
        <w:t>。</w:t>
      </w:r>
    </w:p>
    <w:p w14:paraId="7DDEB2D5">
      <w:pPr>
        <w:autoSpaceDE w:val="0"/>
        <w:autoSpaceDN w:val="0"/>
        <w:adjustRightInd w:val="0"/>
        <w:spacing w:line="360" w:lineRule="auto"/>
        <w:ind w:left="357" w:leftChars="-100" w:hanging="567"/>
        <w:rPr>
          <w:rFonts w:ascii="宋体" w:hAnsi="宋体" w:eastAsia="宋体" w:cs="宋体"/>
          <w:color w:val="auto"/>
          <w:szCs w:val="21"/>
          <w:highlight w:val="none"/>
        </w:rPr>
      </w:pPr>
      <w:r>
        <w:rPr>
          <w:rFonts w:ascii="宋体" w:hAnsi="宋体" w:eastAsia="宋体" w:cs="宋体"/>
          <w:color w:val="auto"/>
          <w:szCs w:val="21"/>
          <w:highlight w:val="none"/>
          <w:lang w:val="zh-CN"/>
        </w:rPr>
        <w:t xml:space="preserve">     </w:t>
      </w:r>
    </w:p>
    <w:p w14:paraId="581CAD57">
      <w:pPr>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182" w:name="_Toc8937"/>
      <w:bookmarkStart w:id="183" w:name="_Toc142508326"/>
      <w:bookmarkStart w:id="184" w:name="_Toc450662862"/>
      <w:bookmarkStart w:id="185" w:name="_Toc486167676"/>
      <w:bookmarkStart w:id="186" w:name="_Toc28917"/>
      <w:bookmarkStart w:id="187" w:name="_Toc30042_WPSOffice_Level3"/>
      <w:bookmarkStart w:id="188" w:name="_Toc3469"/>
      <w:bookmarkStart w:id="189" w:name="_Toc20312"/>
      <w:bookmarkStart w:id="190" w:name="_Toc16314"/>
      <w:bookmarkStart w:id="191" w:name="_Toc3259"/>
      <w:r>
        <w:rPr>
          <w:rFonts w:hint="eastAsia" w:ascii="宋体" w:hAnsi="宋体" w:eastAsia="宋体" w:cs="宋体"/>
          <w:b/>
          <w:color w:val="auto"/>
          <w:szCs w:val="21"/>
          <w:highlight w:val="none"/>
          <w:lang w:val="zh-CN"/>
        </w:rPr>
        <w:t>12</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投标报价货币</w:t>
      </w:r>
      <w:bookmarkEnd w:id="182"/>
      <w:bookmarkEnd w:id="183"/>
      <w:bookmarkEnd w:id="184"/>
      <w:bookmarkEnd w:id="185"/>
      <w:bookmarkEnd w:id="186"/>
      <w:bookmarkEnd w:id="187"/>
      <w:bookmarkEnd w:id="188"/>
      <w:bookmarkEnd w:id="189"/>
      <w:bookmarkEnd w:id="190"/>
      <w:bookmarkEnd w:id="191"/>
    </w:p>
    <w:p w14:paraId="0BF4D614">
      <w:pPr>
        <w:autoSpaceDE w:val="0"/>
        <w:autoSpaceDN w:val="0"/>
        <w:adjustRightInd w:val="0"/>
        <w:spacing w:line="360" w:lineRule="auto"/>
        <w:ind w:left="265" w:leftChars="119" w:hanging="15"/>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本项目投标报价或以投标报价换算的金额采用的币种为人民币，以其</w:t>
      </w:r>
      <w:r>
        <w:rPr>
          <w:rFonts w:hint="eastAsia" w:ascii="宋体" w:hAnsi="宋体" w:eastAsia="宋体" w:cs="Times New Roman"/>
          <w:b/>
          <w:color w:val="auto"/>
          <w:szCs w:val="21"/>
          <w:highlight w:val="none"/>
          <w:lang w:val="en-US" w:eastAsia="zh-CN"/>
        </w:rPr>
        <w:t>他</w:t>
      </w:r>
      <w:r>
        <w:rPr>
          <w:rFonts w:hint="eastAsia" w:ascii="宋体" w:hAnsi="宋体" w:eastAsia="宋体" w:cs="Times New Roman"/>
          <w:b/>
          <w:color w:val="auto"/>
          <w:szCs w:val="21"/>
          <w:highlight w:val="none"/>
          <w:lang w:val="zh-CN"/>
        </w:rPr>
        <w:t>货币标价的投标将予以拒绝</w:t>
      </w:r>
      <w:r>
        <w:rPr>
          <w:rFonts w:hint="eastAsia" w:ascii="宋体" w:hAnsi="宋体" w:eastAsia="宋体" w:cs="宋体"/>
          <w:b/>
          <w:color w:val="auto"/>
          <w:szCs w:val="21"/>
          <w:highlight w:val="none"/>
          <w:lang w:val="zh-CN"/>
        </w:rPr>
        <w:t>。</w:t>
      </w:r>
    </w:p>
    <w:p w14:paraId="1206C2A5">
      <w:pPr>
        <w:autoSpaceDE w:val="0"/>
        <w:autoSpaceDN w:val="0"/>
        <w:adjustRightInd w:val="0"/>
        <w:spacing w:line="360" w:lineRule="auto"/>
        <w:ind w:left="265" w:leftChars="119" w:hanging="15"/>
        <w:rPr>
          <w:rFonts w:ascii="宋体" w:hAnsi="宋体" w:eastAsia="宋体" w:cs="宋体"/>
          <w:color w:val="auto"/>
          <w:szCs w:val="21"/>
          <w:highlight w:val="none"/>
        </w:rPr>
      </w:pPr>
    </w:p>
    <w:p w14:paraId="4AB2C1CD">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192" w:name="_Toc450662863"/>
      <w:bookmarkStart w:id="193" w:name="_Toc142508327"/>
      <w:bookmarkStart w:id="194" w:name="_Toc486167677"/>
      <w:bookmarkStart w:id="195" w:name="_Toc213"/>
      <w:bookmarkStart w:id="196" w:name="_Toc1091"/>
      <w:bookmarkStart w:id="197" w:name="_Toc20031"/>
      <w:bookmarkStart w:id="198" w:name="_Toc9411_WPSOffice_Level3"/>
      <w:bookmarkStart w:id="199" w:name="_Toc3961"/>
      <w:bookmarkStart w:id="200" w:name="_Toc17868"/>
      <w:bookmarkStart w:id="201" w:name="_Toc7645"/>
      <w:r>
        <w:rPr>
          <w:rFonts w:hint="eastAsia" w:ascii="宋体" w:hAnsi="宋体" w:eastAsia="宋体" w:cs="宋体"/>
          <w:color w:val="auto"/>
          <w:szCs w:val="21"/>
          <w:highlight w:val="none"/>
          <w:lang w:val="zh-CN"/>
        </w:rPr>
        <w:t>13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证明投标人的合格性和资格的声明文件</w:t>
      </w:r>
      <w:bookmarkEnd w:id="192"/>
      <w:bookmarkEnd w:id="193"/>
      <w:bookmarkEnd w:id="194"/>
      <w:bookmarkEnd w:id="195"/>
      <w:bookmarkEnd w:id="196"/>
      <w:bookmarkEnd w:id="197"/>
      <w:bookmarkEnd w:id="198"/>
      <w:bookmarkEnd w:id="199"/>
      <w:bookmarkEnd w:id="200"/>
      <w:bookmarkEnd w:id="201"/>
    </w:p>
    <w:p w14:paraId="3FD689DE">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4071D933">
      <w:pPr>
        <w:autoSpaceDE w:val="0"/>
        <w:autoSpaceDN w:val="0"/>
        <w:adjustRightInd w:val="0"/>
        <w:spacing w:line="360" w:lineRule="auto"/>
        <w:ind w:left="357" w:leftChars="-100" w:hanging="567"/>
        <w:rPr>
          <w:rFonts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4A799ACB">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794414D6">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54C7AA1C">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w:t>
      </w:r>
      <w:r>
        <w:rPr>
          <w:rFonts w:hint="eastAsia" w:ascii="宋体" w:hAnsi="宋体" w:eastAsia="宋体" w:cs="Times New Roman"/>
          <w:color w:val="auto"/>
          <w:szCs w:val="21"/>
          <w:highlight w:val="none"/>
          <w:lang w:val="zh-CN"/>
        </w:rPr>
        <w:t>符合或</w:t>
      </w:r>
      <w:r>
        <w:rPr>
          <w:rFonts w:hint="eastAsia" w:ascii="宋体" w:hAnsi="宋体" w:eastAsia="宋体" w:cs="宋体"/>
          <w:color w:val="auto"/>
          <w:szCs w:val="21"/>
          <w:highlight w:val="none"/>
          <w:lang w:val="zh-CN"/>
        </w:rPr>
        <w:t>优于招标文件要求的其它文件。</w:t>
      </w:r>
    </w:p>
    <w:p w14:paraId="6FEB7773">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投标人</w:t>
      </w:r>
      <w:r>
        <w:rPr>
          <w:rFonts w:hint="eastAsia" w:ascii="宋体" w:hAnsi="宋体" w:eastAsia="宋体" w:cs="Times New Roman"/>
          <w:color w:val="auto"/>
          <w:szCs w:val="21"/>
          <w:highlight w:val="none"/>
          <w:lang w:val="zh-CN"/>
        </w:rPr>
        <w:t>根据招标文件载明的相关服务要求的实际情况，拟在中标后将中标项目的非主体、非关键性专业工作交由他人完成的，应当在投标文件中载明，并提供他人的资质、能力证明材料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highlight w:val="none"/>
          <w:lang w:val="zh-CN"/>
        </w:rPr>
        <w:t>。</w:t>
      </w:r>
    </w:p>
    <w:p w14:paraId="01A43882">
      <w:pPr>
        <w:autoSpaceDE w:val="0"/>
        <w:autoSpaceDN w:val="0"/>
        <w:adjustRightInd w:val="0"/>
        <w:spacing w:line="360" w:lineRule="auto"/>
        <w:ind w:left="560" w:leftChars="128" w:hanging="291" w:hangingChars="139"/>
        <w:rPr>
          <w:rFonts w:ascii="宋体" w:hAnsi="宋体" w:eastAsia="宋体" w:cs="宋体"/>
          <w:color w:val="auto"/>
          <w:szCs w:val="21"/>
          <w:highlight w:val="none"/>
        </w:rPr>
      </w:pPr>
    </w:p>
    <w:p w14:paraId="2637E3A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02" w:name="_Toc16467"/>
      <w:bookmarkStart w:id="203" w:name="_Toc29754"/>
      <w:bookmarkStart w:id="204" w:name="_Toc486167678"/>
      <w:bookmarkStart w:id="205" w:name="_Toc19594"/>
      <w:bookmarkStart w:id="206" w:name="_Toc8615"/>
      <w:bookmarkStart w:id="207" w:name="_Toc142508328"/>
      <w:bookmarkStart w:id="208" w:name="_Toc450662864"/>
      <w:bookmarkStart w:id="209" w:name="_Toc27771_WPSOffice_Level3"/>
      <w:bookmarkStart w:id="210" w:name="_Toc5111"/>
      <w:bookmarkStart w:id="211" w:name="_Toc25196"/>
      <w:r>
        <w:rPr>
          <w:rFonts w:hint="eastAsia" w:ascii="宋体" w:hAnsi="宋体" w:eastAsia="宋体" w:cs="宋体"/>
          <w:color w:val="auto"/>
          <w:szCs w:val="21"/>
          <w:highlight w:val="none"/>
          <w:lang w:val="zh-CN"/>
        </w:rPr>
        <w:t>14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证明服务的合格性并符合招标文件规定的声明文件</w:t>
      </w:r>
      <w:bookmarkEnd w:id="202"/>
      <w:bookmarkEnd w:id="203"/>
      <w:bookmarkEnd w:id="204"/>
      <w:bookmarkEnd w:id="205"/>
      <w:bookmarkEnd w:id="206"/>
      <w:bookmarkEnd w:id="207"/>
      <w:bookmarkEnd w:id="208"/>
      <w:bookmarkEnd w:id="209"/>
      <w:bookmarkEnd w:id="210"/>
      <w:bookmarkEnd w:id="211"/>
    </w:p>
    <w:p w14:paraId="67790661">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0E42B431">
      <w:pPr>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78FB52DE">
      <w:pPr>
        <w:autoSpaceDE w:val="0"/>
        <w:autoSpaceDN w:val="0"/>
        <w:adjustRightInd w:val="0"/>
        <w:spacing w:line="360" w:lineRule="auto"/>
        <w:ind w:left="317" w:leftChars="-100" w:hanging="527" w:hangingChars="251"/>
        <w:rPr>
          <w:rFonts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1A13E867">
      <w:pPr>
        <w:autoSpaceDE w:val="0"/>
        <w:autoSpaceDN w:val="0"/>
        <w:adjustRightInd w:val="0"/>
        <w:spacing w:line="360" w:lineRule="auto"/>
        <w:rPr>
          <w:rFonts w:ascii="宋体" w:hAnsi="宋体" w:eastAsia="宋体" w:cs="Times New Roman"/>
          <w:color w:val="auto"/>
          <w:kern w:val="0"/>
          <w:sz w:val="24"/>
          <w:szCs w:val="24"/>
          <w:highlight w:val="none"/>
        </w:rPr>
      </w:pPr>
    </w:p>
    <w:p w14:paraId="17D092A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12" w:name="_Toc30555"/>
      <w:bookmarkStart w:id="213" w:name="_Toc16828"/>
      <w:bookmarkStart w:id="214" w:name="_Toc5356_WPSOffice_Level3"/>
      <w:bookmarkStart w:id="215" w:name="_Toc486167679"/>
      <w:bookmarkStart w:id="216" w:name="_Toc8644"/>
      <w:bookmarkStart w:id="217" w:name="_Toc13600"/>
      <w:bookmarkStart w:id="218" w:name="_Toc142508329"/>
      <w:bookmarkStart w:id="219" w:name="_Toc7547"/>
      <w:bookmarkStart w:id="220" w:name="_Toc29326"/>
      <w:r>
        <w:rPr>
          <w:rFonts w:hint="eastAsia" w:ascii="宋体" w:hAnsi="宋体" w:eastAsia="宋体" w:cs="宋体"/>
          <w:color w:val="auto"/>
          <w:szCs w:val="21"/>
          <w:highlight w:val="none"/>
          <w:lang w:val="zh-CN"/>
        </w:rPr>
        <w:t>15</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投标保证金</w:t>
      </w:r>
      <w:bookmarkEnd w:id="212"/>
      <w:bookmarkEnd w:id="213"/>
      <w:bookmarkEnd w:id="214"/>
      <w:bookmarkEnd w:id="215"/>
      <w:bookmarkEnd w:id="216"/>
      <w:bookmarkEnd w:id="217"/>
      <w:bookmarkEnd w:id="218"/>
      <w:bookmarkEnd w:id="219"/>
      <w:bookmarkEnd w:id="220"/>
    </w:p>
    <w:p w14:paraId="1012258B">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kern w:val="0"/>
          <w:szCs w:val="21"/>
          <w:highlight w:val="none"/>
          <w:u w:val="single"/>
          <w:lang w:val="en-US" w:eastAsia="zh-CN"/>
        </w:rPr>
        <w:t>36</w:t>
      </w:r>
      <w:r>
        <w:rPr>
          <w:rFonts w:hint="eastAsia" w:ascii="宋体" w:hAnsi="宋体" w:eastAsia="宋体" w:cs="宋体"/>
          <w:b/>
          <w:bCs/>
          <w:color w:val="auto"/>
          <w:kern w:val="0"/>
          <w:szCs w:val="21"/>
          <w:highlight w:val="none"/>
          <w:u w:val="single"/>
          <w:lang w:val="zh-CN"/>
        </w:rPr>
        <w:t>,000.00</w:t>
      </w:r>
      <w:r>
        <w:rPr>
          <w:rFonts w:hint="eastAsia" w:ascii="宋体" w:hAnsi="宋体" w:eastAsia="宋体" w:cs="宋体"/>
          <w:b/>
          <w:color w:val="auto"/>
          <w:kern w:val="0"/>
          <w:szCs w:val="21"/>
          <w:highlight w:val="none"/>
          <w:u w:val="single"/>
        </w:rPr>
        <w:t>元（大写：</w:t>
      </w:r>
      <w:r>
        <w:rPr>
          <w:rFonts w:hint="eastAsia" w:ascii="宋体" w:hAnsi="宋体" w:eastAsia="宋体" w:cs="宋体"/>
          <w:b/>
          <w:color w:val="auto"/>
          <w:kern w:val="0"/>
          <w:szCs w:val="21"/>
          <w:highlight w:val="none"/>
          <w:u w:val="single"/>
          <w:lang w:val="en-US" w:eastAsia="zh-CN"/>
        </w:rPr>
        <w:t>人民币叁万陆仟元整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2D01F4B4">
      <w:pPr>
        <w:spacing w:line="360" w:lineRule="auto"/>
        <w:ind w:left="315" w:leftChars="-100" w:hanging="525" w:hangingChars="250"/>
        <w:rPr>
          <w:rFonts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Times New Roman"/>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5274A85C">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6DCB5A6F">
      <w:pPr>
        <w:spacing w:line="360" w:lineRule="auto"/>
        <w:ind w:firstLine="777" w:firstLineChars="37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w:t>
      </w:r>
      <w:r>
        <w:rPr>
          <w:rFonts w:hint="eastAsia" w:ascii="宋体" w:hAnsi="宋体" w:eastAsia="宋体" w:cs="Times New Roman"/>
          <w:color w:val="auto"/>
          <w:kern w:val="0"/>
          <w:szCs w:val="21"/>
          <w:highlight w:val="none"/>
        </w:rPr>
        <w:t>到达</w:t>
      </w:r>
      <w:r>
        <w:rPr>
          <w:rFonts w:hint="eastAsia" w:ascii="宋体" w:hAnsi="宋体" w:eastAsia="宋体" w:cs="宋体"/>
          <w:color w:val="auto"/>
          <w:kern w:val="0"/>
          <w:szCs w:val="21"/>
          <w:highlight w:val="none"/>
        </w:rPr>
        <w:t>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42AA5A47">
      <w:pPr>
        <w:autoSpaceDE w:val="0"/>
        <w:autoSpaceDN w:val="0"/>
        <w:adjustRightInd w:val="0"/>
        <w:spacing w:line="360" w:lineRule="auto"/>
        <w:ind w:firstLine="840" w:firstLineChars="400"/>
        <w:jc w:val="left"/>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val="zh-CN"/>
        </w:rPr>
        <w:t>开户名称：东莞市水务集团建设管理有限公司</w:t>
      </w:r>
    </w:p>
    <w:p w14:paraId="01A11B2C">
      <w:pPr>
        <w:adjustRightInd w:val="0"/>
        <w:snapToGrid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银行账号：2010021309200628330</w:t>
      </w:r>
    </w:p>
    <w:p w14:paraId="094D3B6B">
      <w:pPr>
        <w:adjustRightInd w:val="0"/>
        <w:snapToGrid w:val="0"/>
        <w:spacing w:line="360" w:lineRule="auto"/>
        <w:ind w:firstLine="840" w:firstLineChars="4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开户银行：中国工商银行股份有限公司东莞分行</w:t>
      </w:r>
    </w:p>
    <w:p w14:paraId="03CB7CA6">
      <w:pPr>
        <w:spacing w:line="360" w:lineRule="auto"/>
        <w:ind w:left="210" w:leftChars="100" w:firstLine="211" w:firstLineChars="1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39D2631D">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15.4</w:t>
      </w:r>
      <w:r>
        <w:rPr>
          <w:rFonts w:ascii="宋体" w:hAnsi="宋体" w:eastAsia="宋体" w:cs="宋体"/>
          <w:bCs/>
          <w:color w:val="auto"/>
          <w:szCs w:val="21"/>
          <w:highlight w:val="none"/>
          <w:lang w:val="zh-CN"/>
        </w:rPr>
        <w:t xml:space="preserve">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231ECB47">
      <w:pPr>
        <w:spacing w:line="360" w:lineRule="auto"/>
        <w:ind w:left="315" w:leftChars="-100" w:hanging="525" w:hangingChars="25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highlight w:val="none"/>
        </w:rPr>
        <w:t>投标保证金</w:t>
      </w:r>
      <w:r>
        <w:rPr>
          <w:rFonts w:hint="eastAsia" w:ascii="宋体" w:hAnsi="宋体" w:eastAsia="宋体" w:cs="宋体"/>
          <w:color w:val="auto"/>
          <w:kern w:val="0"/>
          <w:szCs w:val="21"/>
          <w:highlight w:val="none"/>
        </w:rPr>
        <w:t>有效期已延长。</w:t>
      </w:r>
    </w:p>
    <w:p w14:paraId="4A8B03C6">
      <w:pPr>
        <w:spacing w:line="360" w:lineRule="auto"/>
        <w:ind w:left="357" w:leftChars="-100" w:hanging="567" w:hangingChars="270"/>
        <w:rPr>
          <w:rFonts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中标人的投标保证金，满足下列要求，并最迟应在本项目的书面合同签订后5日内退还。</w:t>
      </w:r>
    </w:p>
    <w:p w14:paraId="0F743101">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3BF54184">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5FDEB87E">
      <w:pPr>
        <w:spacing w:line="360" w:lineRule="auto"/>
        <w:ind w:left="315" w:leftChars="-100" w:hanging="525" w:hangingChars="250"/>
        <w:rPr>
          <w:rFonts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2112FDCF">
      <w:pPr>
        <w:numPr>
          <w:ilvl w:val="0"/>
          <w:numId w:val="0"/>
        </w:numPr>
        <w:autoSpaceDE w:val="0"/>
        <w:autoSpaceDN w:val="0"/>
        <w:adjustRightInd w:val="0"/>
        <w:spacing w:line="360" w:lineRule="auto"/>
        <w:ind w:left="853" w:leftChars="136" w:hanging="567"/>
        <w:jc w:val="left"/>
        <w:rPr>
          <w:rFonts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29A0DC5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2B20DE4E">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6CE789A8">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r>
        <w:rPr>
          <w:rFonts w:hint="eastAsia" w:ascii="宋体" w:hAnsi="宋体" w:eastAsia="宋体" w:cs="宋体"/>
          <w:b w:val="0"/>
          <w:color w:val="auto"/>
          <w:szCs w:val="21"/>
          <w:highlight w:val="none"/>
          <w:lang w:val="zh-CN" w:eastAsia="zh-CN"/>
        </w:rPr>
        <w:t>；</w:t>
      </w:r>
    </w:p>
    <w:p w14:paraId="710B7DA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）将中标项目转让给他人，或者在投标文件中未说明，且未经招标人同意，将中标项目的合同</w:t>
      </w:r>
      <w:r>
        <w:rPr>
          <w:rFonts w:ascii="宋体" w:hAnsi="宋体" w:eastAsia="宋体" w:cs="宋体"/>
          <w:color w:val="auto"/>
          <w:szCs w:val="21"/>
          <w:highlight w:val="none"/>
          <w:lang w:val="zh-CN"/>
        </w:rPr>
        <w:t>的权利义务转让</w:t>
      </w:r>
      <w:r>
        <w:rPr>
          <w:rFonts w:hint="eastAsia" w:ascii="宋体" w:hAnsi="宋体" w:eastAsia="宋体" w:cs="宋体"/>
          <w:color w:val="auto"/>
          <w:szCs w:val="21"/>
          <w:highlight w:val="none"/>
          <w:lang w:val="zh-CN"/>
        </w:rPr>
        <w:t>给第三</w:t>
      </w:r>
      <w:r>
        <w:rPr>
          <w:rFonts w:ascii="宋体" w:hAnsi="宋体" w:eastAsia="宋体" w:cs="宋体"/>
          <w:color w:val="auto"/>
          <w:szCs w:val="21"/>
          <w:highlight w:val="none"/>
          <w:lang w:val="zh-CN"/>
        </w:rPr>
        <w:t>方</w:t>
      </w:r>
      <w:r>
        <w:rPr>
          <w:rFonts w:hint="eastAsia" w:ascii="宋体" w:hAnsi="宋体" w:eastAsia="宋体" w:cs="宋体"/>
          <w:color w:val="auto"/>
          <w:szCs w:val="21"/>
          <w:highlight w:val="none"/>
          <w:lang w:val="zh-CN"/>
        </w:rPr>
        <w:t>的；</w:t>
      </w:r>
    </w:p>
    <w:p w14:paraId="3CAB52AF">
      <w:pPr>
        <w:autoSpaceDE w:val="0"/>
        <w:autoSpaceDN w:val="0"/>
        <w:adjustRightInd w:val="0"/>
        <w:spacing w:line="360" w:lineRule="auto"/>
        <w:ind w:left="357" w:leftChars="-100" w:hanging="567"/>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3E859DDD">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highlight w:val="none"/>
        </w:rPr>
      </w:pPr>
    </w:p>
    <w:p w14:paraId="2B8FCBB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21" w:name="_Toc486167680"/>
      <w:bookmarkStart w:id="222" w:name="_Toc29607"/>
      <w:bookmarkStart w:id="223" w:name="_Toc23267"/>
      <w:bookmarkStart w:id="224" w:name="_Toc142508330"/>
      <w:bookmarkStart w:id="225" w:name="_Toc450662865"/>
      <w:bookmarkStart w:id="226" w:name="_Toc22649_WPSOffice_Level3"/>
      <w:bookmarkStart w:id="227" w:name="_Toc1458"/>
      <w:bookmarkStart w:id="228" w:name="_Toc7983"/>
      <w:bookmarkStart w:id="229" w:name="_Toc9552"/>
      <w:bookmarkStart w:id="230" w:name="_Toc6058"/>
      <w:r>
        <w:rPr>
          <w:rFonts w:hint="eastAsia" w:ascii="宋体" w:hAnsi="宋体" w:eastAsia="宋体" w:cs="宋体"/>
          <w:color w:val="auto"/>
          <w:szCs w:val="21"/>
          <w:highlight w:val="none"/>
          <w:lang w:val="zh-CN"/>
        </w:rPr>
        <w:t>16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投标有效期</w:t>
      </w:r>
      <w:bookmarkEnd w:id="221"/>
      <w:bookmarkEnd w:id="222"/>
      <w:bookmarkEnd w:id="223"/>
      <w:bookmarkEnd w:id="224"/>
      <w:bookmarkEnd w:id="225"/>
      <w:bookmarkEnd w:id="226"/>
      <w:bookmarkEnd w:id="227"/>
      <w:bookmarkEnd w:id="228"/>
      <w:bookmarkEnd w:id="229"/>
      <w:bookmarkEnd w:id="230"/>
    </w:p>
    <w:p w14:paraId="0A96E4BD">
      <w:pPr>
        <w:tabs>
          <w:tab w:val="left" w:pos="567"/>
        </w:tabs>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47A129D0">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58B9B0F4">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highlight w:val="none"/>
          <w:lang w:val="zh-CN"/>
        </w:rPr>
        <w:t>，招标</w:t>
      </w:r>
      <w:r>
        <w:rPr>
          <w:rFonts w:hint="eastAsia" w:ascii="宋体" w:hAnsi="宋体" w:eastAsia="宋体" w:cs="Times New Roman"/>
          <w:color w:val="auto"/>
          <w:szCs w:val="21"/>
          <w:highlight w:val="none"/>
          <w:lang w:val="en-US" w:eastAsia="zh-CN"/>
        </w:rPr>
        <w:t>人</w:t>
      </w:r>
      <w:r>
        <w:rPr>
          <w:rFonts w:hint="eastAsia" w:ascii="宋体" w:hAnsi="宋体" w:eastAsia="宋体" w:cs="Times New Roman"/>
          <w:color w:val="auto"/>
          <w:szCs w:val="21"/>
          <w:highlight w:val="none"/>
          <w:lang w:val="zh-CN"/>
        </w:rPr>
        <w:t>将退还</w:t>
      </w:r>
      <w:r>
        <w:rPr>
          <w:rFonts w:hint="eastAsia" w:ascii="宋体" w:hAnsi="宋体" w:eastAsia="宋体" w:cs="宋体"/>
          <w:color w:val="auto"/>
          <w:szCs w:val="21"/>
          <w:highlight w:val="none"/>
          <w:lang w:val="zh-CN"/>
        </w:rPr>
        <w:t>其投标保证金。对于同意该要求的投标人，既不要求也不允许其修改投标文件，但将要求其相应延长投标保证金的有效期。第15条投标保证金的有关规定在投标保证金延长期内仍适用。</w:t>
      </w:r>
    </w:p>
    <w:p w14:paraId="3E13E96A">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1F969AD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31" w:name="_Toc8381"/>
      <w:bookmarkStart w:id="232" w:name="_Toc15544"/>
      <w:bookmarkStart w:id="233" w:name="_Toc142508331"/>
      <w:bookmarkStart w:id="234" w:name="_Toc932"/>
      <w:bookmarkStart w:id="235" w:name="_Toc450662866"/>
      <w:bookmarkStart w:id="236" w:name="_Toc486167681"/>
      <w:bookmarkStart w:id="237" w:name="_Toc25637_WPSOffice_Level3"/>
      <w:bookmarkStart w:id="238" w:name="_Toc20422"/>
      <w:bookmarkStart w:id="239" w:name="_Toc24419"/>
      <w:bookmarkStart w:id="240" w:name="_Toc6910"/>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投标文件的式样和签署</w:t>
      </w:r>
      <w:bookmarkEnd w:id="231"/>
      <w:bookmarkEnd w:id="232"/>
      <w:bookmarkEnd w:id="233"/>
      <w:bookmarkEnd w:id="234"/>
      <w:bookmarkEnd w:id="235"/>
      <w:bookmarkEnd w:id="236"/>
      <w:bookmarkEnd w:id="237"/>
      <w:bookmarkEnd w:id="238"/>
      <w:bookmarkEnd w:id="239"/>
      <w:bookmarkEnd w:id="240"/>
    </w:p>
    <w:p w14:paraId="571C2753">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w:t>
      </w:r>
      <w:r>
        <w:rPr>
          <w:rFonts w:hint="eastAsia" w:ascii="宋体" w:hAnsi="宋体" w:eastAsia="宋体" w:cs="Times New Roman"/>
          <w:b/>
          <w:color w:val="auto"/>
          <w:szCs w:val="21"/>
          <w:highlight w:val="none"/>
          <w:u w:val="single"/>
          <w:lang w:val="zh-CN"/>
        </w:rPr>
        <w:t>一份投标文件电子文件、</w:t>
      </w:r>
      <w:r>
        <w:rPr>
          <w:rFonts w:hint="eastAsia" w:ascii="宋体" w:hAnsi="宋体" w:eastAsia="宋体" w:cs="宋体"/>
          <w:b/>
          <w:color w:val="auto"/>
          <w:szCs w:val="21"/>
          <w:highlight w:val="none"/>
          <w:u w:val="single"/>
          <w:lang w:val="zh-CN"/>
        </w:rPr>
        <w:t>一份正本和五份副本“投标文件”</w:t>
      </w:r>
      <w:r>
        <w:rPr>
          <w:rFonts w:hint="eastAsia" w:ascii="宋体" w:hAnsi="宋体" w:eastAsia="宋体" w:cs="宋体"/>
          <w:color w:val="auto"/>
          <w:szCs w:val="21"/>
          <w:highlight w:val="none"/>
          <w:lang w:val="zh-CN"/>
        </w:rPr>
        <w:t>，</w:t>
      </w:r>
      <w:r>
        <w:rPr>
          <w:rFonts w:hint="eastAsia" w:ascii="宋体" w:hAnsi="宋体" w:eastAsia="宋体" w:cs="Times New Roman"/>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highlight w:val="none"/>
          <w:lang w:val="zh-CN"/>
        </w:rPr>
        <w:t>。</w:t>
      </w:r>
    </w:p>
    <w:p w14:paraId="2C37003D">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Times New Roman"/>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法定代表人授权书</w:t>
      </w:r>
      <w:r>
        <w:rPr>
          <w:rFonts w:ascii="宋体" w:hAnsi="宋体" w:eastAsia="宋体" w:cs="Times New Roman"/>
          <w:bCs/>
          <w:color w:val="auto"/>
          <w:szCs w:val="21"/>
          <w:highlight w:val="none"/>
          <w:lang w:val="zh-CN"/>
        </w:rPr>
        <w:t>”</w:t>
      </w:r>
      <w:r>
        <w:rPr>
          <w:rFonts w:hint="eastAsia" w:ascii="宋体" w:hAnsi="宋体" w:eastAsia="宋体" w:cs="Times New Roman"/>
          <w:bCs/>
          <w:color w:val="auto"/>
          <w:szCs w:val="21"/>
          <w:highlight w:val="none"/>
          <w:lang w:val="zh-CN"/>
        </w:rPr>
        <w:t>以书面形式附在投标文件中。</w:t>
      </w:r>
      <w:r>
        <w:rPr>
          <w:rFonts w:hint="eastAsia" w:ascii="宋体" w:hAnsi="宋体" w:eastAsia="宋体" w:cs="Times New Roman"/>
          <w:color w:val="auto"/>
          <w:szCs w:val="21"/>
          <w:highlight w:val="none"/>
          <w:lang w:val="zh-CN"/>
        </w:rPr>
        <w:t>副本文件可由正本文件复印而成。</w:t>
      </w:r>
    </w:p>
    <w:p w14:paraId="7F1A6855">
      <w:pPr>
        <w:autoSpaceDE w:val="0"/>
        <w:autoSpaceDN w:val="0"/>
        <w:adjustRightInd w:val="0"/>
        <w:spacing w:line="360" w:lineRule="auto"/>
        <w:ind w:left="357" w:leftChars="-100" w:hanging="567"/>
        <w:rPr>
          <w:rFonts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w:t>
      </w:r>
      <w:r>
        <w:rPr>
          <w:rFonts w:hint="eastAsia" w:ascii="宋体" w:hAnsi="宋体" w:eastAsia="宋体" w:cs="Times New Roman"/>
          <w:bCs/>
          <w:color w:val="auto"/>
          <w:szCs w:val="21"/>
          <w:highlight w:val="none"/>
          <w:lang w:val="zh-CN"/>
        </w:rPr>
        <w:t>法人</w:t>
      </w:r>
      <w:r>
        <w:rPr>
          <w:rFonts w:hint="eastAsia" w:ascii="宋体" w:hAnsi="宋体" w:eastAsia="宋体" w:cs="宋体"/>
          <w:bCs/>
          <w:color w:val="auto"/>
          <w:szCs w:val="21"/>
          <w:highlight w:val="none"/>
          <w:lang w:val="zh-CN"/>
        </w:rPr>
        <w:t>公章。</w:t>
      </w:r>
    </w:p>
    <w:p w14:paraId="4AB8AFE2">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4</w:t>
      </w:r>
      <w:r>
        <w:rPr>
          <w:rFonts w:hint="eastAsia" w:ascii="宋体" w:hAnsi="宋体" w:eastAsia="宋体" w:cs="宋体"/>
          <w:color w:val="auto"/>
          <w:szCs w:val="21"/>
          <w:highlight w:val="none"/>
          <w:lang w:val="zh-CN"/>
        </w:rPr>
        <w:t xml:space="preserve">  投标文件的封面应注明“项目名称、招标编号、投标人名称、投标日期等”。</w:t>
      </w:r>
    </w:p>
    <w:p w14:paraId="59C978BF">
      <w:pPr>
        <w:autoSpaceDE w:val="0"/>
        <w:autoSpaceDN w:val="0"/>
        <w:adjustRightInd w:val="0"/>
        <w:spacing w:line="360" w:lineRule="auto"/>
        <w:ind w:left="357" w:leftChars="-100" w:hanging="567"/>
        <w:rPr>
          <w:rFonts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w:t>
      </w:r>
      <w:r>
        <w:rPr>
          <w:rFonts w:hint="eastAsia" w:ascii="宋体" w:hAnsi="宋体" w:eastAsia="宋体" w:cs="Times New Roman"/>
          <w:color w:val="auto"/>
          <w:szCs w:val="21"/>
          <w:highlight w:val="none"/>
          <w:lang w:val="zh-CN"/>
        </w:rPr>
        <w:t>可密封于</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内（若电子文件单独密封，其包装封面需注明项目名称、招标编号、投标人单位名称，并加盖投标人法人公章）</w:t>
      </w:r>
      <w:r>
        <w:rPr>
          <w:rFonts w:hint="eastAsia" w:ascii="宋体" w:hAnsi="宋体" w:eastAsia="宋体" w:cs="宋体"/>
          <w:color w:val="auto"/>
          <w:szCs w:val="21"/>
          <w:highlight w:val="none"/>
          <w:lang w:val="zh-CN"/>
        </w:rPr>
        <w:t>。</w:t>
      </w:r>
    </w:p>
    <w:p w14:paraId="695E8AFA">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w:t>
      </w:r>
      <w:r>
        <w:rPr>
          <w:rFonts w:ascii="宋体" w:hAnsi="宋体" w:eastAsia="宋体" w:cs="宋体"/>
          <w:color w:val="auto"/>
          <w:szCs w:val="21"/>
          <w:highlight w:val="none"/>
          <w:lang w:val="zh-CN"/>
        </w:rPr>
        <w:t>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646A398F">
      <w:pPr>
        <w:autoSpaceDE w:val="0"/>
        <w:autoSpaceDN w:val="0"/>
        <w:adjustRightInd w:val="0"/>
        <w:jc w:val="left"/>
        <w:rPr>
          <w:rFonts w:ascii="宋体" w:hAnsi="宋体" w:eastAsia="宋体" w:cs="宋体"/>
          <w:color w:val="auto"/>
          <w:kern w:val="0"/>
          <w:sz w:val="24"/>
          <w:szCs w:val="24"/>
          <w:highlight w:val="none"/>
        </w:rPr>
      </w:pPr>
      <w:bookmarkStart w:id="241" w:name="_Toc450662867"/>
    </w:p>
    <w:p w14:paraId="780F753A">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highlight w:val="none"/>
        </w:rPr>
      </w:pPr>
      <w:bookmarkStart w:id="242" w:name="_Toc16145"/>
      <w:bookmarkStart w:id="243" w:name="_Toc142508332"/>
      <w:bookmarkStart w:id="244" w:name="_Toc6989"/>
      <w:bookmarkStart w:id="245" w:name="_Toc26605"/>
      <w:bookmarkStart w:id="246" w:name="_Toc140596891"/>
      <w:bookmarkStart w:id="247" w:name="_Toc486167682"/>
      <w:bookmarkStart w:id="248" w:name="_Toc22356_WPSOffice_Level2"/>
      <w:bookmarkStart w:id="249" w:name="_Toc17199"/>
      <w:bookmarkStart w:id="250" w:name="_Toc16488"/>
      <w:bookmarkStart w:id="251" w:name="_Toc8060"/>
      <w:r>
        <w:rPr>
          <w:rFonts w:hint="eastAsia" w:ascii="宋体" w:hAnsi="宋体" w:eastAsia="宋体" w:cs="宋体"/>
          <w:b/>
          <w:bCs/>
          <w:color w:val="auto"/>
          <w:kern w:val="44"/>
          <w:szCs w:val="21"/>
          <w:highlight w:val="none"/>
          <w:lang w:val="zh-CN"/>
        </w:rPr>
        <w:t>四、投标文件的递交</w:t>
      </w:r>
      <w:bookmarkEnd w:id="241"/>
      <w:bookmarkEnd w:id="242"/>
      <w:bookmarkEnd w:id="243"/>
      <w:bookmarkEnd w:id="244"/>
      <w:bookmarkEnd w:id="245"/>
      <w:bookmarkEnd w:id="246"/>
      <w:bookmarkEnd w:id="247"/>
      <w:bookmarkEnd w:id="248"/>
      <w:bookmarkEnd w:id="249"/>
      <w:bookmarkEnd w:id="250"/>
      <w:bookmarkEnd w:id="251"/>
    </w:p>
    <w:p w14:paraId="31431EF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52" w:name="_Toc31551"/>
      <w:bookmarkStart w:id="253" w:name="_Toc12961"/>
      <w:bookmarkStart w:id="254" w:name="_Toc450662868"/>
      <w:bookmarkStart w:id="255" w:name="_Toc29885"/>
      <w:bookmarkStart w:id="256" w:name="_Toc12192_WPSOffice_Level3"/>
      <w:bookmarkStart w:id="257" w:name="_Toc29038"/>
      <w:bookmarkStart w:id="258" w:name="_Toc142508333"/>
      <w:bookmarkStart w:id="259" w:name="_Toc486167683"/>
      <w:bookmarkStart w:id="260" w:name="_Toc9162"/>
      <w:bookmarkStart w:id="261" w:name="_Toc28199"/>
      <w:r>
        <w:rPr>
          <w:rFonts w:hint="eastAsia" w:ascii="宋体" w:hAnsi="宋体" w:eastAsia="宋体" w:cs="宋体"/>
          <w:color w:val="auto"/>
          <w:szCs w:val="21"/>
          <w:highlight w:val="none"/>
          <w:lang w:val="zh-CN"/>
        </w:rPr>
        <w:t>18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投标文件的密封和标记</w:t>
      </w:r>
      <w:bookmarkEnd w:id="252"/>
      <w:bookmarkEnd w:id="253"/>
      <w:bookmarkEnd w:id="254"/>
      <w:bookmarkEnd w:id="255"/>
      <w:bookmarkEnd w:id="256"/>
      <w:bookmarkEnd w:id="257"/>
      <w:bookmarkEnd w:id="258"/>
      <w:bookmarkEnd w:id="259"/>
      <w:bookmarkEnd w:id="260"/>
      <w:bookmarkEnd w:id="261"/>
    </w:p>
    <w:p w14:paraId="35172050">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w:t>
      </w:r>
      <w:r>
        <w:rPr>
          <w:rFonts w:hint="eastAsia" w:ascii="宋体" w:hAnsi="宋体" w:eastAsia="宋体" w:cs="Times New Roman"/>
          <w:color w:val="auto"/>
          <w:szCs w:val="21"/>
          <w:highlight w:val="none"/>
          <w:lang w:val="zh-CN"/>
        </w:rPr>
        <w:t>、投标文件电子文件</w:t>
      </w:r>
      <w:r>
        <w:rPr>
          <w:rFonts w:hint="eastAsia" w:ascii="宋体" w:hAnsi="宋体" w:eastAsia="宋体" w:cs="宋体"/>
          <w:color w:val="auto"/>
          <w:szCs w:val="21"/>
          <w:highlight w:val="none"/>
          <w:lang w:val="zh-CN"/>
        </w:rPr>
        <w:t>）密封在不透明的外层封装中。</w:t>
      </w:r>
    </w:p>
    <w:p w14:paraId="10D4AD52">
      <w:pPr>
        <w:autoSpaceDE w:val="0"/>
        <w:autoSpaceDN w:val="0"/>
        <w:adjustRightInd w:val="0"/>
        <w:spacing w:line="360" w:lineRule="auto"/>
        <w:ind w:left="357" w:leftChars="-100" w:hanging="567"/>
        <w:rPr>
          <w:rFonts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w:t>
      </w:r>
      <w:r>
        <w:rPr>
          <w:rFonts w:hint="eastAsia" w:ascii="宋体" w:hAnsi="宋体" w:eastAsia="宋体" w:cs="Times New Roman"/>
          <w:b/>
          <w:bCs/>
          <w:color w:val="auto"/>
          <w:szCs w:val="21"/>
          <w:highlight w:val="none"/>
          <w:lang w:val="zh-CN"/>
        </w:rPr>
        <w:t>，与18.1款的投标文件一同提交。</w:t>
      </w:r>
    </w:p>
    <w:p w14:paraId="2164134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51DF506F">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1</w:t>
      </w:r>
      <w:r>
        <w:rPr>
          <w:rFonts w:hint="eastAsia" w:ascii="宋体" w:hAnsi="宋体" w:eastAsia="宋体" w:cs="Times New Roman"/>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47589218">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rPr>
        <w:t>2</w:t>
      </w:r>
      <w:r>
        <w:rPr>
          <w:rFonts w:hint="eastAsia" w:ascii="宋体" w:hAnsi="宋体" w:eastAsia="宋体" w:cs="Times New Roman"/>
          <w:color w:val="auto"/>
          <w:szCs w:val="21"/>
          <w:highlight w:val="none"/>
          <w:lang w:val="zh-CN"/>
        </w:rPr>
        <w:t>）投标文件已密封但不按前述标志封包，由此而引起的提前开封或错放责任由投标人承担；</w:t>
      </w:r>
    </w:p>
    <w:p w14:paraId="325B722C">
      <w:pPr>
        <w:autoSpaceDE w:val="0"/>
        <w:autoSpaceDN w:val="0"/>
        <w:adjustRightInd w:val="0"/>
        <w:spacing w:line="360" w:lineRule="auto"/>
        <w:ind w:left="319" w:leftChars="-118" w:hanging="567" w:hangingChars="27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（3）不足以造成投标文件可以从外包装内散出而导致投标文件泄密的，不认定为投标文件未密封。</w:t>
      </w:r>
    </w:p>
    <w:p w14:paraId="7158E847">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w:t>
      </w:r>
      <w:r>
        <w:rPr>
          <w:rFonts w:hint="eastAsia" w:ascii="宋体" w:hAnsi="宋体" w:eastAsia="宋体" w:cs="Times New Roman"/>
          <w:b/>
          <w:color w:val="auto"/>
          <w:szCs w:val="21"/>
          <w:highlight w:val="none"/>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highlight w:val="none"/>
          <w:lang w:val="zh-CN"/>
        </w:rPr>
        <w:t>。</w:t>
      </w:r>
    </w:p>
    <w:p w14:paraId="6734B8C9">
      <w:pPr>
        <w:autoSpaceDE w:val="0"/>
        <w:autoSpaceDN w:val="0"/>
        <w:adjustRightInd w:val="0"/>
        <w:spacing w:line="360" w:lineRule="auto"/>
        <w:ind w:left="355" w:leftChars="-101" w:right="15" w:rightChars="7" w:hanging="567" w:hangingChars="27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w:t>
      </w:r>
      <w:r>
        <w:rPr>
          <w:rFonts w:hint="eastAsia" w:ascii="宋体" w:hAnsi="宋体" w:eastAsia="宋体" w:cs="Times New Roman"/>
          <w:color w:val="auto"/>
          <w:szCs w:val="21"/>
          <w:highlight w:val="none"/>
          <w:lang w:val="zh-CN"/>
        </w:rPr>
        <w:t>由投标人代表</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第一位递交投标文件的投标人代表及主动自愿参与检查的投标人代表</w:t>
      </w:r>
      <w:r>
        <w:rPr>
          <w:rFonts w:ascii="宋体" w:hAnsi="宋体" w:eastAsia="宋体" w:cs="Times New Roman"/>
          <w:color w:val="auto"/>
          <w:szCs w:val="21"/>
          <w:highlight w:val="none"/>
          <w:lang w:val="zh-CN"/>
        </w:rPr>
        <w:t>）和招标人代表</w:t>
      </w:r>
      <w:r>
        <w:rPr>
          <w:rFonts w:hint="eastAsia" w:ascii="宋体" w:hAnsi="宋体" w:eastAsia="宋体" w:cs="Times New Roman"/>
          <w:color w:val="auto"/>
          <w:kern w:val="0"/>
          <w:szCs w:val="21"/>
          <w:highlight w:val="none"/>
          <w:lang w:val="zh-CN"/>
        </w:rPr>
        <w:t>将对所有的投标文件的密封性进行检查</w:t>
      </w:r>
      <w:r>
        <w:rPr>
          <w:rFonts w:ascii="宋体" w:hAnsi="宋体" w:eastAsia="宋体" w:cs="Times New Roman"/>
          <w:color w:val="auto"/>
          <w:szCs w:val="21"/>
          <w:highlight w:val="none"/>
          <w:lang w:val="zh-CN"/>
        </w:rPr>
        <w:t>，并签署进行确认</w:t>
      </w:r>
      <w:r>
        <w:rPr>
          <w:rFonts w:hint="eastAsia" w:ascii="宋体" w:hAnsi="宋体" w:eastAsia="宋体" w:cs="宋体"/>
          <w:color w:val="auto"/>
          <w:szCs w:val="21"/>
          <w:highlight w:val="none"/>
          <w:lang w:val="zh-CN"/>
        </w:rPr>
        <w:t>。</w:t>
      </w:r>
    </w:p>
    <w:p w14:paraId="226BE865">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highlight w:val="none"/>
          <w:lang w:val="zh-CN"/>
        </w:rPr>
      </w:pPr>
    </w:p>
    <w:p w14:paraId="60B1589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62" w:name="_Toc2443"/>
      <w:bookmarkStart w:id="263" w:name="_Toc486167684"/>
      <w:bookmarkStart w:id="264" w:name="_Toc23369"/>
      <w:bookmarkStart w:id="265" w:name="_Toc4979"/>
      <w:bookmarkStart w:id="266" w:name="_Toc12582"/>
      <w:bookmarkStart w:id="267" w:name="_Toc29665_WPSOffice_Level3"/>
      <w:bookmarkStart w:id="268" w:name="_Toc450662869"/>
      <w:bookmarkStart w:id="269" w:name="_Toc142508334"/>
      <w:bookmarkStart w:id="270" w:name="_Toc2494"/>
      <w:bookmarkStart w:id="271" w:name="_Toc3329"/>
      <w:r>
        <w:rPr>
          <w:rFonts w:hint="eastAsia" w:ascii="宋体" w:hAnsi="宋体" w:eastAsia="宋体" w:cs="宋体"/>
          <w:color w:val="auto"/>
          <w:szCs w:val="21"/>
          <w:highlight w:val="none"/>
          <w:lang w:val="zh-CN"/>
        </w:rPr>
        <w:t>19</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递交投标文件的截止日期</w:t>
      </w:r>
      <w:bookmarkEnd w:id="262"/>
      <w:bookmarkEnd w:id="263"/>
      <w:bookmarkEnd w:id="264"/>
      <w:bookmarkEnd w:id="265"/>
      <w:bookmarkEnd w:id="266"/>
      <w:bookmarkEnd w:id="267"/>
      <w:bookmarkEnd w:id="268"/>
      <w:bookmarkEnd w:id="269"/>
      <w:bookmarkEnd w:id="270"/>
      <w:bookmarkEnd w:id="271"/>
    </w:p>
    <w:p w14:paraId="2E5B910F">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收到投标文件的时间不得迟于第一篇</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招标公告</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中规定的截止时间</w:t>
      </w:r>
      <w:r>
        <w:rPr>
          <w:rFonts w:hint="eastAsia" w:ascii="宋体" w:hAnsi="宋体" w:eastAsia="宋体" w:cs="宋体"/>
          <w:color w:val="auto"/>
          <w:szCs w:val="21"/>
          <w:highlight w:val="none"/>
          <w:lang w:val="zh-CN"/>
        </w:rPr>
        <w:t>。</w:t>
      </w:r>
    </w:p>
    <w:p w14:paraId="62B0836F">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w:t>
      </w:r>
      <w:r>
        <w:rPr>
          <w:rFonts w:hint="eastAsia" w:ascii="宋体" w:hAnsi="宋体" w:eastAsia="宋体" w:cs="Times New Roman"/>
          <w:color w:val="auto"/>
          <w:szCs w:val="21"/>
          <w:highlight w:val="none"/>
          <w:lang w:val="zh-CN"/>
        </w:rPr>
        <w:t>可按照第</w:t>
      </w:r>
      <w:r>
        <w:rPr>
          <w:rFonts w:ascii="宋体" w:hAnsi="宋体" w:eastAsia="宋体" w:cs="Times New Roman"/>
          <w:color w:val="auto"/>
          <w:szCs w:val="21"/>
          <w:highlight w:val="none"/>
          <w:lang w:val="zh-CN"/>
        </w:rPr>
        <w:t>7</w:t>
      </w:r>
      <w:r>
        <w:rPr>
          <w:rFonts w:hint="eastAsia" w:ascii="宋体" w:hAnsi="宋体" w:eastAsia="宋体" w:cs="Times New Roman"/>
          <w:color w:val="auto"/>
          <w:szCs w:val="21"/>
          <w:highlight w:val="none"/>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highlight w:val="none"/>
          <w:lang w:val="zh-CN"/>
        </w:rPr>
        <w:t>。</w:t>
      </w:r>
    </w:p>
    <w:p w14:paraId="277948F7">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294D4E2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highlight w:val="none"/>
        </w:rPr>
      </w:pPr>
      <w:bookmarkStart w:id="272" w:name="_Toc486167685"/>
      <w:bookmarkStart w:id="273" w:name="_Toc22606"/>
      <w:bookmarkStart w:id="274" w:name="_Toc30287"/>
      <w:bookmarkStart w:id="275" w:name="_Toc21327"/>
      <w:bookmarkStart w:id="276" w:name="_Toc20835"/>
      <w:bookmarkStart w:id="277" w:name="_Toc450662870"/>
      <w:bookmarkStart w:id="278" w:name="_Toc142508335"/>
      <w:bookmarkStart w:id="279" w:name="_Toc22431_WPSOffice_Level3"/>
      <w:bookmarkStart w:id="280" w:name="_Toc32070"/>
      <w:bookmarkStart w:id="281" w:name="_Toc27456"/>
      <w:r>
        <w:rPr>
          <w:rFonts w:hint="eastAsia" w:ascii="宋体" w:hAnsi="宋体" w:eastAsia="宋体" w:cs="宋体"/>
          <w:color w:val="auto"/>
          <w:szCs w:val="21"/>
          <w:highlight w:val="none"/>
          <w:lang w:val="zh-CN"/>
        </w:rPr>
        <w:t>20 迟交的投标文件</w:t>
      </w:r>
      <w:bookmarkEnd w:id="272"/>
      <w:bookmarkEnd w:id="273"/>
      <w:bookmarkEnd w:id="274"/>
      <w:bookmarkEnd w:id="275"/>
      <w:bookmarkEnd w:id="276"/>
      <w:bookmarkEnd w:id="277"/>
      <w:bookmarkEnd w:id="278"/>
      <w:bookmarkEnd w:id="279"/>
      <w:bookmarkEnd w:id="280"/>
      <w:bookmarkEnd w:id="281"/>
    </w:p>
    <w:p w14:paraId="71DBFB0D">
      <w:pPr>
        <w:autoSpaceDE w:val="0"/>
        <w:autoSpaceDN w:val="0"/>
        <w:adjustRightInd w:val="0"/>
        <w:spacing w:line="360" w:lineRule="auto"/>
        <w:ind w:firstLine="315" w:firstLineChars="1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78F6D4D1">
      <w:pPr>
        <w:autoSpaceDE w:val="0"/>
        <w:autoSpaceDN w:val="0"/>
        <w:adjustRightInd w:val="0"/>
        <w:jc w:val="left"/>
        <w:rPr>
          <w:rFonts w:ascii="宋体" w:hAnsi="宋体" w:eastAsia="宋体" w:cs="宋体"/>
          <w:color w:val="auto"/>
          <w:kern w:val="0"/>
          <w:sz w:val="24"/>
          <w:szCs w:val="24"/>
          <w:highlight w:val="none"/>
        </w:rPr>
      </w:pPr>
    </w:p>
    <w:p w14:paraId="3FA159A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282" w:name="_Toc486167686"/>
      <w:bookmarkStart w:id="283" w:name="_Toc3814"/>
      <w:bookmarkStart w:id="284" w:name="_Toc27851"/>
      <w:bookmarkStart w:id="285" w:name="_Toc4883_WPSOffice_Level3"/>
      <w:bookmarkStart w:id="286" w:name="_Toc24876"/>
      <w:bookmarkStart w:id="287" w:name="_Toc142508336"/>
      <w:bookmarkStart w:id="288" w:name="_Toc450662871"/>
      <w:bookmarkStart w:id="289" w:name="_Toc13041"/>
      <w:bookmarkStart w:id="290" w:name="_Toc29045"/>
      <w:bookmarkStart w:id="291" w:name="_Toc9164"/>
      <w:r>
        <w:rPr>
          <w:rFonts w:hint="eastAsia" w:ascii="宋体" w:hAnsi="宋体" w:eastAsia="宋体" w:cs="宋体"/>
          <w:color w:val="auto"/>
          <w:szCs w:val="21"/>
          <w:highlight w:val="none"/>
          <w:lang w:val="zh-CN"/>
        </w:rPr>
        <w:t>21</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投标文件的修改和撤回</w:t>
      </w:r>
      <w:bookmarkEnd w:id="282"/>
      <w:bookmarkEnd w:id="283"/>
      <w:bookmarkEnd w:id="284"/>
      <w:bookmarkEnd w:id="285"/>
      <w:bookmarkEnd w:id="286"/>
      <w:bookmarkEnd w:id="287"/>
      <w:bookmarkEnd w:id="288"/>
      <w:bookmarkEnd w:id="289"/>
      <w:bookmarkEnd w:id="290"/>
      <w:bookmarkEnd w:id="291"/>
    </w:p>
    <w:p w14:paraId="2031D1B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267D0540">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Times New Roman"/>
          <w:color w:val="auto"/>
          <w:szCs w:val="21"/>
          <w:highlight w:val="none"/>
          <w:lang w:val="zh-CN"/>
        </w:rPr>
        <w:t>投标人对投标文件的修改或撤回的通知应按第</w:t>
      </w:r>
      <w:r>
        <w:rPr>
          <w:rFonts w:ascii="宋体" w:hAnsi="宋体" w:eastAsia="宋体" w:cs="Times New Roman"/>
          <w:color w:val="auto"/>
          <w:szCs w:val="21"/>
          <w:highlight w:val="none"/>
          <w:lang w:val="zh-CN"/>
        </w:rPr>
        <w:t>17</w:t>
      </w:r>
      <w:r>
        <w:rPr>
          <w:rFonts w:hint="eastAsia" w:ascii="宋体" w:hAnsi="宋体" w:eastAsia="宋体" w:cs="Times New Roman"/>
          <w:color w:val="auto"/>
          <w:szCs w:val="21"/>
          <w:highlight w:val="none"/>
          <w:lang w:val="zh-CN"/>
        </w:rPr>
        <w:t>条和第18条规定进行准备、密封、标注和递送</w:t>
      </w:r>
      <w:r>
        <w:rPr>
          <w:rFonts w:hint="eastAsia" w:ascii="宋体" w:hAnsi="宋体" w:eastAsia="宋体" w:cs="宋体"/>
          <w:color w:val="auto"/>
          <w:szCs w:val="21"/>
          <w:highlight w:val="none"/>
          <w:lang w:val="zh-CN"/>
        </w:rPr>
        <w:t>。</w:t>
      </w:r>
    </w:p>
    <w:p w14:paraId="2DF48277">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2F80A037">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3E9A4B14">
      <w:pPr>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68894690">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292" w:name="_Toc450662872"/>
      <w:bookmarkStart w:id="293" w:name="_Toc28824"/>
      <w:bookmarkStart w:id="294" w:name="_Toc18933"/>
      <w:bookmarkStart w:id="295" w:name="_Toc140596896"/>
      <w:bookmarkStart w:id="296" w:name="_Toc142508337"/>
      <w:bookmarkStart w:id="297" w:name="_Toc30428"/>
      <w:bookmarkStart w:id="298" w:name="_Toc20923"/>
      <w:bookmarkStart w:id="299" w:name="_Toc1049_WPSOffice_Level2"/>
      <w:bookmarkStart w:id="300" w:name="_Toc486167687"/>
      <w:bookmarkStart w:id="301" w:name="_Toc11203"/>
      <w:bookmarkStart w:id="302" w:name="_Toc13631"/>
      <w:r>
        <w:rPr>
          <w:rFonts w:hint="eastAsia" w:ascii="宋体" w:hAnsi="宋体" w:eastAsia="宋体" w:cs="宋体"/>
          <w:b/>
          <w:bCs/>
          <w:color w:val="auto"/>
          <w:kern w:val="44"/>
          <w:szCs w:val="21"/>
          <w:highlight w:val="none"/>
          <w:lang w:val="zh-CN"/>
        </w:rPr>
        <w:t>五、开标与评标</w:t>
      </w:r>
      <w:bookmarkEnd w:id="292"/>
      <w:bookmarkEnd w:id="293"/>
      <w:bookmarkEnd w:id="294"/>
      <w:bookmarkEnd w:id="295"/>
      <w:bookmarkEnd w:id="296"/>
      <w:bookmarkEnd w:id="297"/>
      <w:bookmarkEnd w:id="298"/>
      <w:bookmarkEnd w:id="299"/>
      <w:bookmarkEnd w:id="300"/>
      <w:bookmarkEnd w:id="301"/>
      <w:bookmarkEnd w:id="302"/>
    </w:p>
    <w:p w14:paraId="7533FF5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03" w:name="_Toc11256"/>
      <w:bookmarkStart w:id="304" w:name="_Toc144_WPSOffice_Level3"/>
      <w:bookmarkStart w:id="305" w:name="_Toc23822"/>
      <w:bookmarkStart w:id="306" w:name="_Toc8728"/>
      <w:bookmarkStart w:id="307" w:name="_Toc142508338"/>
      <w:bookmarkStart w:id="308" w:name="_Toc486167688"/>
      <w:bookmarkStart w:id="309" w:name="_Toc32206"/>
      <w:bookmarkStart w:id="310" w:name="_Toc450662873"/>
      <w:bookmarkStart w:id="311" w:name="_Toc28344"/>
      <w:bookmarkStart w:id="312" w:name="_Toc28882"/>
      <w:r>
        <w:rPr>
          <w:rFonts w:hint="eastAsia" w:ascii="宋体" w:hAnsi="宋体" w:eastAsia="宋体" w:cs="宋体"/>
          <w:color w:val="auto"/>
          <w:szCs w:val="21"/>
          <w:highlight w:val="none"/>
          <w:lang w:val="zh-CN"/>
        </w:rPr>
        <w:t>22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开标</w:t>
      </w:r>
      <w:bookmarkEnd w:id="303"/>
      <w:bookmarkEnd w:id="304"/>
      <w:bookmarkEnd w:id="305"/>
      <w:bookmarkEnd w:id="306"/>
      <w:bookmarkEnd w:id="307"/>
      <w:bookmarkEnd w:id="308"/>
      <w:bookmarkEnd w:id="309"/>
      <w:bookmarkEnd w:id="310"/>
      <w:bookmarkEnd w:id="311"/>
      <w:bookmarkEnd w:id="312"/>
    </w:p>
    <w:p w14:paraId="0404C25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55AA151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17517B74">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285CA8F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当以数字表示的检测服务系数报价与以文字表示的系数报价不一致时，以文字表示的系数报价为准；检测服务系数报价保留小数点后两位，否则评标委员会按去“尾”或补“零”的方式进行修正为保留小数点后两位，投标人须接受被修正后的报价(例:如检测服务系数为0.789，则被修正为0.78;如检测服务系数为0.7，则被修正为0.70)。对不同文字文本投标文件的解释发生异议的，以中文文本为准。</w:t>
      </w:r>
    </w:p>
    <w:p w14:paraId="0CEFC77E">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2CA5275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35E86C4E">
      <w:pPr>
        <w:autoSpaceDE w:val="0"/>
        <w:autoSpaceDN w:val="0"/>
        <w:adjustRightInd w:val="0"/>
        <w:spacing w:line="360" w:lineRule="auto"/>
        <w:ind w:left="357" w:leftChars="-100" w:right="15" w:rightChars="7" w:hanging="567"/>
        <w:rPr>
          <w:rFonts w:ascii="宋体" w:hAnsi="宋体" w:eastAsia="宋体" w:cs="宋体"/>
          <w:color w:val="auto"/>
          <w:kern w:val="0"/>
          <w:szCs w:val="21"/>
          <w:highlight w:val="none"/>
        </w:rPr>
      </w:pPr>
    </w:p>
    <w:p w14:paraId="254F4E0D">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13" w:name="_Toc29829"/>
      <w:bookmarkStart w:id="314" w:name="_Toc142508339"/>
      <w:bookmarkStart w:id="315" w:name="_Toc23059"/>
      <w:bookmarkStart w:id="316" w:name="_Toc486167689"/>
      <w:bookmarkStart w:id="317" w:name="_Toc12165_WPSOffice_Level3"/>
      <w:bookmarkStart w:id="318" w:name="_Toc23491"/>
      <w:bookmarkStart w:id="319" w:name="_Toc32534"/>
      <w:bookmarkStart w:id="320" w:name="_Toc450662874"/>
      <w:bookmarkStart w:id="321" w:name="_Toc27883"/>
      <w:bookmarkStart w:id="322" w:name="_Toc19139"/>
      <w:r>
        <w:rPr>
          <w:rFonts w:hint="eastAsia" w:ascii="宋体" w:hAnsi="宋体" w:eastAsia="宋体" w:cs="宋体"/>
          <w:color w:val="auto"/>
          <w:szCs w:val="21"/>
          <w:highlight w:val="none"/>
          <w:lang w:val="zh-CN"/>
        </w:rPr>
        <w:t>23</w:t>
      </w:r>
      <w:r>
        <w:rPr>
          <w:rFonts w:ascii="宋体" w:hAnsi="宋体" w:eastAsia="宋体" w:cs="宋体"/>
          <w:color w:val="auto"/>
          <w:szCs w:val="21"/>
          <w:highlight w:val="none"/>
          <w:lang w:val="zh-CN"/>
        </w:rPr>
        <w:t xml:space="preserve"> </w:t>
      </w:r>
      <w:r>
        <w:rPr>
          <w:rFonts w:hint="eastAsia" w:ascii="宋体" w:hAnsi="宋体" w:eastAsia="宋体" w:cs="宋体"/>
          <w:color w:val="auto"/>
          <w:kern w:val="0"/>
          <w:szCs w:val="24"/>
          <w:highlight w:val="none"/>
        </w:rPr>
        <w:t>评标过程的保密性</w:t>
      </w:r>
      <w:bookmarkEnd w:id="313"/>
      <w:bookmarkEnd w:id="314"/>
      <w:bookmarkEnd w:id="315"/>
      <w:bookmarkEnd w:id="316"/>
      <w:bookmarkEnd w:id="317"/>
      <w:bookmarkEnd w:id="318"/>
      <w:bookmarkEnd w:id="319"/>
      <w:bookmarkEnd w:id="320"/>
      <w:bookmarkEnd w:id="321"/>
      <w:bookmarkEnd w:id="322"/>
    </w:p>
    <w:p w14:paraId="24E5D50A">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w:t>
      </w:r>
      <w:r>
        <w:rPr>
          <w:rFonts w:hint="eastAsia" w:ascii="宋体" w:hAnsi="宋体" w:eastAsia="宋体" w:cs="Times New Roman"/>
          <w:color w:val="auto"/>
          <w:szCs w:val="21"/>
          <w:highlight w:val="none"/>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highlight w:val="none"/>
          <w:lang w:val="zh-CN"/>
        </w:rPr>
        <w:t>。</w:t>
      </w:r>
    </w:p>
    <w:p w14:paraId="69C8055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1FCD3823">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highlight w:val="none"/>
          <w:lang w:val="zh-CN"/>
        </w:rPr>
      </w:pPr>
    </w:p>
    <w:p w14:paraId="4498F25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23" w:name="_Toc486167690"/>
      <w:bookmarkStart w:id="324" w:name="_Toc800"/>
      <w:bookmarkStart w:id="325" w:name="_Toc18693"/>
      <w:bookmarkStart w:id="326" w:name="_Toc15565_WPSOffice_Level3"/>
      <w:bookmarkStart w:id="327" w:name="_Toc16920"/>
      <w:bookmarkStart w:id="328" w:name="_Toc450662875"/>
      <w:bookmarkStart w:id="329" w:name="_Toc142508340"/>
      <w:bookmarkStart w:id="330" w:name="_Toc28746"/>
      <w:bookmarkStart w:id="331" w:name="_Toc1804"/>
      <w:bookmarkStart w:id="332" w:name="_Toc16801"/>
      <w:r>
        <w:rPr>
          <w:rFonts w:hint="eastAsia" w:ascii="宋体" w:hAnsi="宋体" w:eastAsia="宋体" w:cs="宋体"/>
          <w:color w:val="auto"/>
          <w:szCs w:val="21"/>
          <w:highlight w:val="none"/>
          <w:lang w:val="zh-CN"/>
        </w:rPr>
        <w:t>24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评标委员会</w:t>
      </w:r>
      <w:bookmarkEnd w:id="323"/>
      <w:bookmarkEnd w:id="324"/>
      <w:bookmarkEnd w:id="325"/>
      <w:bookmarkEnd w:id="326"/>
      <w:bookmarkEnd w:id="327"/>
      <w:bookmarkEnd w:id="328"/>
      <w:bookmarkEnd w:id="329"/>
      <w:bookmarkEnd w:id="330"/>
      <w:bookmarkEnd w:id="331"/>
      <w:bookmarkEnd w:id="332"/>
    </w:p>
    <w:p w14:paraId="1A65C63A">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42EB392D">
      <w:pPr>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28189136">
      <w:pPr>
        <w:autoSpaceDE w:val="0"/>
        <w:autoSpaceDN w:val="0"/>
        <w:adjustRightInd w:val="0"/>
        <w:spacing w:line="360" w:lineRule="auto"/>
        <w:ind w:left="357" w:leftChars="-100" w:hanging="567"/>
        <w:rPr>
          <w:rFonts w:ascii="宋体" w:hAnsi="宋体" w:eastAsia="宋体" w:cs="宋体"/>
          <w:color w:val="auto"/>
          <w:szCs w:val="21"/>
          <w:highlight w:val="none"/>
          <w:lang w:val="zh-CN"/>
        </w:rPr>
      </w:pPr>
    </w:p>
    <w:p w14:paraId="0E04B05E">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333" w:name="_Toc12715"/>
      <w:bookmarkStart w:id="334" w:name="_Toc486167691"/>
      <w:bookmarkStart w:id="335" w:name="_Toc450662876"/>
      <w:bookmarkStart w:id="336" w:name="_Toc22833"/>
      <w:bookmarkStart w:id="337" w:name="_Toc8908"/>
      <w:bookmarkStart w:id="338" w:name="_Toc142508341"/>
      <w:bookmarkStart w:id="339" w:name="_Toc18668"/>
      <w:bookmarkStart w:id="340" w:name="_Toc28910_WPSOffice_Level3"/>
      <w:bookmarkStart w:id="341" w:name="_Toc31914"/>
      <w:bookmarkStart w:id="342" w:name="_Toc3818"/>
      <w:r>
        <w:rPr>
          <w:rFonts w:hint="eastAsia" w:ascii="宋体" w:hAnsi="宋体" w:eastAsia="宋体" w:cs="宋体"/>
          <w:b/>
          <w:color w:val="auto"/>
          <w:szCs w:val="21"/>
          <w:highlight w:val="none"/>
          <w:lang w:val="zh-CN"/>
        </w:rPr>
        <w:t>25</w:t>
      </w:r>
      <w:r>
        <w:rPr>
          <w:rFonts w:ascii="宋体" w:hAnsi="宋体" w:eastAsia="宋体" w:cs="宋体"/>
          <w:b/>
          <w:color w:val="auto"/>
          <w:szCs w:val="21"/>
          <w:highlight w:val="none"/>
          <w:lang w:val="zh-CN"/>
        </w:rPr>
        <w:t xml:space="preserve"> </w:t>
      </w:r>
      <w:r>
        <w:rPr>
          <w:rFonts w:hint="eastAsia" w:ascii="宋体" w:hAnsi="宋体" w:eastAsia="宋体" w:cs="宋体"/>
          <w:b/>
          <w:color w:val="auto"/>
          <w:szCs w:val="21"/>
          <w:highlight w:val="none"/>
          <w:lang w:val="zh-CN"/>
        </w:rPr>
        <w:t>投标文件的初审</w:t>
      </w:r>
      <w:bookmarkEnd w:id="333"/>
      <w:bookmarkEnd w:id="334"/>
      <w:bookmarkEnd w:id="335"/>
      <w:bookmarkEnd w:id="336"/>
      <w:bookmarkEnd w:id="337"/>
      <w:bookmarkEnd w:id="338"/>
      <w:bookmarkEnd w:id="339"/>
      <w:bookmarkEnd w:id="340"/>
      <w:bookmarkEnd w:id="341"/>
      <w:bookmarkEnd w:id="342"/>
    </w:p>
    <w:p w14:paraId="30D975F6">
      <w:pPr>
        <w:autoSpaceDE w:val="0"/>
        <w:autoSpaceDN w:val="0"/>
        <w:adjustRightInd w:val="0"/>
        <w:spacing w:line="360" w:lineRule="auto"/>
        <w:ind w:left="357" w:leftChars="-100" w:hanging="567"/>
        <w:rPr>
          <w:rFonts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0637E9C5">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776BB206">
      <w:pPr>
        <w:autoSpaceDE w:val="0"/>
        <w:autoSpaceDN w:val="0"/>
        <w:adjustRightInd w:val="0"/>
        <w:spacing w:line="360" w:lineRule="auto"/>
        <w:ind w:left="330" w:leftChars="-100" w:hanging="540"/>
        <w:rPr>
          <w:rFonts w:ascii="宋体" w:hAnsi="宋体" w:eastAsia="宋体" w:cs="宋体"/>
          <w:b/>
          <w:color w:val="auto"/>
          <w:szCs w:val="21"/>
          <w:highlight w:val="none"/>
          <w:lang w:val="zh-CN"/>
        </w:rPr>
      </w:pPr>
    </w:p>
    <w:p w14:paraId="550B5676">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43" w:name="_Toc450662877"/>
      <w:bookmarkStart w:id="344" w:name="_Toc30225"/>
      <w:bookmarkStart w:id="345" w:name="_Toc25036"/>
      <w:bookmarkStart w:id="346" w:name="_Toc19456"/>
      <w:bookmarkStart w:id="347" w:name="_Toc4837"/>
      <w:bookmarkStart w:id="348" w:name="_Toc338_WPSOffice_Level3"/>
      <w:bookmarkStart w:id="349" w:name="_Toc142508342"/>
      <w:bookmarkStart w:id="350" w:name="_Toc486167692"/>
      <w:bookmarkStart w:id="351" w:name="_Toc2368"/>
      <w:bookmarkStart w:id="352" w:name="_Toc4503"/>
      <w:r>
        <w:rPr>
          <w:rFonts w:hint="eastAsia" w:ascii="宋体" w:hAnsi="宋体" w:eastAsia="宋体" w:cs="宋体"/>
          <w:color w:val="auto"/>
          <w:szCs w:val="21"/>
          <w:highlight w:val="none"/>
          <w:lang w:val="zh-CN"/>
        </w:rPr>
        <w:t>26</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投标文件的澄清</w:t>
      </w:r>
      <w:bookmarkEnd w:id="343"/>
      <w:bookmarkEnd w:id="344"/>
      <w:bookmarkEnd w:id="345"/>
      <w:bookmarkEnd w:id="346"/>
      <w:bookmarkEnd w:id="347"/>
      <w:bookmarkEnd w:id="348"/>
      <w:bookmarkEnd w:id="349"/>
      <w:bookmarkEnd w:id="350"/>
      <w:bookmarkEnd w:id="351"/>
      <w:bookmarkEnd w:id="352"/>
    </w:p>
    <w:p w14:paraId="37D4BCB3">
      <w:pPr>
        <w:autoSpaceDE w:val="0"/>
        <w:autoSpaceDN w:val="0"/>
        <w:adjustRightInd w:val="0"/>
        <w:spacing w:line="360" w:lineRule="auto"/>
        <w:ind w:left="315" w:leftChars="-100" w:hanging="525" w:hangingChars="2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2D56D015">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bookmarkStart w:id="353"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32142446">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p>
    <w:bookmarkEnd w:id="353"/>
    <w:p w14:paraId="1AF3BA4C">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54" w:name="_Toc22065"/>
      <w:bookmarkStart w:id="355" w:name="_Toc18368_WPSOffice_Level3"/>
      <w:bookmarkStart w:id="356" w:name="_Toc521918096"/>
      <w:bookmarkStart w:id="357" w:name="_Toc13882"/>
      <w:bookmarkStart w:id="358" w:name="_Toc522047355"/>
      <w:bookmarkStart w:id="359" w:name="_Toc6970"/>
      <w:bookmarkStart w:id="360" w:name="_Toc142508343"/>
      <w:bookmarkStart w:id="361" w:name="_Toc10967"/>
      <w:bookmarkStart w:id="362" w:name="_Toc11995"/>
      <w:bookmarkStart w:id="363" w:name="_Toc2405"/>
      <w:r>
        <w:rPr>
          <w:rFonts w:hint="eastAsia" w:ascii="宋体" w:hAnsi="宋体" w:eastAsia="宋体" w:cs="宋体"/>
          <w:color w:val="auto"/>
          <w:szCs w:val="21"/>
          <w:highlight w:val="none"/>
          <w:lang w:val="zh-CN"/>
        </w:rPr>
        <w:t>27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对投标文件的比较和评价</w:t>
      </w:r>
      <w:bookmarkEnd w:id="354"/>
      <w:bookmarkEnd w:id="355"/>
      <w:bookmarkEnd w:id="356"/>
      <w:bookmarkEnd w:id="357"/>
      <w:bookmarkEnd w:id="358"/>
      <w:bookmarkEnd w:id="359"/>
      <w:bookmarkEnd w:id="360"/>
      <w:bookmarkEnd w:id="361"/>
      <w:bookmarkEnd w:id="362"/>
      <w:bookmarkEnd w:id="363"/>
    </w:p>
    <w:p w14:paraId="007BE320">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61A92AB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31119EF7">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6488DB44">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57197B59">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628E5AE2">
      <w:pPr>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4D0A2682">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highlight w:val="none"/>
          <w:lang w:val="zh-CN"/>
        </w:rPr>
      </w:pPr>
      <w:bookmarkStart w:id="364" w:name="_Toc522047356"/>
      <w:bookmarkStart w:id="365" w:name="_Toc521918097"/>
    </w:p>
    <w:p w14:paraId="77AABB29">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66" w:name="_Toc16829"/>
      <w:bookmarkStart w:id="367" w:name="_Toc27026"/>
      <w:bookmarkStart w:id="368" w:name="_Toc21460_WPSOffice_Level3"/>
      <w:bookmarkStart w:id="369" w:name="_Toc1442"/>
      <w:bookmarkStart w:id="370" w:name="_Toc142508344"/>
      <w:bookmarkStart w:id="371" w:name="_Toc14804"/>
      <w:bookmarkStart w:id="372" w:name="_Toc24805"/>
      <w:bookmarkStart w:id="373" w:name="_Toc9260"/>
      <w:r>
        <w:rPr>
          <w:rFonts w:hint="eastAsia" w:ascii="宋体" w:hAnsi="宋体" w:eastAsia="宋体" w:cs="宋体"/>
          <w:color w:val="auto"/>
          <w:szCs w:val="21"/>
          <w:highlight w:val="none"/>
          <w:lang w:val="zh-CN"/>
        </w:rPr>
        <w:t>28</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评标原则及方法</w:t>
      </w:r>
      <w:bookmarkEnd w:id="364"/>
      <w:bookmarkEnd w:id="365"/>
      <w:bookmarkEnd w:id="366"/>
      <w:bookmarkEnd w:id="367"/>
      <w:bookmarkEnd w:id="368"/>
      <w:bookmarkEnd w:id="369"/>
      <w:bookmarkEnd w:id="370"/>
      <w:bookmarkEnd w:id="371"/>
      <w:bookmarkEnd w:id="372"/>
      <w:bookmarkEnd w:id="373"/>
    </w:p>
    <w:p w14:paraId="2198FD29">
      <w:pPr>
        <w:tabs>
          <w:tab w:val="left" w:pos="567"/>
        </w:tabs>
        <w:autoSpaceDE w:val="0"/>
        <w:autoSpaceDN w:val="0"/>
        <w:adjustRightInd w:val="0"/>
        <w:spacing w:line="360" w:lineRule="auto"/>
        <w:ind w:left="357" w:leftChars="-100" w:hanging="567"/>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03850AA2">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38BA4610">
      <w:pPr>
        <w:tabs>
          <w:tab w:val="left" w:pos="360"/>
        </w:tabs>
        <w:autoSpaceDE w:val="0"/>
        <w:autoSpaceDN w:val="0"/>
        <w:adjustRightInd w:val="0"/>
        <w:spacing w:line="360" w:lineRule="auto"/>
        <w:ind w:left="330" w:leftChars="-100" w:right="44" w:rightChars="21" w:hanging="54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w:t>
      </w:r>
      <w:r>
        <w:rPr>
          <w:rFonts w:hint="eastAsia" w:ascii="宋体" w:hAnsi="宋体" w:eastAsia="宋体" w:cs="Times New Roman"/>
          <w:color w:val="auto"/>
          <w:szCs w:val="21"/>
          <w:highlight w:val="none"/>
          <w:lang w:val="zh-CN"/>
        </w:rPr>
        <w:t>条</w:t>
      </w:r>
      <w:r>
        <w:rPr>
          <w:rFonts w:hint="eastAsia" w:ascii="宋体" w:hAnsi="宋体" w:eastAsia="宋体" w:cs="宋体"/>
          <w:color w:val="auto"/>
          <w:szCs w:val="21"/>
          <w:highlight w:val="none"/>
          <w:lang w:val="zh-CN"/>
        </w:rPr>
        <w:t>，采用综合评分法的评审方法，对所有实质响应性投标文件进行综合打分。</w:t>
      </w:r>
    </w:p>
    <w:p w14:paraId="79415D1A">
      <w:pPr>
        <w:spacing w:line="360" w:lineRule="auto"/>
        <w:ind w:left="220" w:leftChars="-93" w:hanging="415" w:hangingChars="198"/>
        <w:rPr>
          <w:rFonts w:hint="eastAsia" w:ascii="宋体" w:hAnsi="宋体" w:eastAsia="宋体" w:cs="宋体"/>
          <w:b w:val="0"/>
          <w:bCs w:val="0"/>
          <w:color w:val="auto"/>
          <w:szCs w:val="24"/>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45743B8C">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p>
    <w:p w14:paraId="1F62298D">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374" w:name="_Toc29588"/>
      <w:bookmarkStart w:id="375" w:name="_Toc4819"/>
      <w:bookmarkStart w:id="376" w:name="_Toc32498_WPSOffice_Level3"/>
      <w:bookmarkStart w:id="377" w:name="_Toc11615"/>
      <w:bookmarkStart w:id="378" w:name="_Toc486167694"/>
      <w:bookmarkStart w:id="379" w:name="_Toc465358969"/>
      <w:bookmarkStart w:id="380" w:name="_Toc11011"/>
      <w:bookmarkStart w:id="381" w:name="_Toc142508345"/>
      <w:bookmarkStart w:id="382" w:name="_Toc466882017"/>
      <w:bookmarkStart w:id="383" w:name="_Toc4968"/>
      <w:bookmarkStart w:id="384" w:name="_Toc2099"/>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w:t>
      </w:r>
      <w:r>
        <w:rPr>
          <w:rFonts w:hint="eastAsia" w:ascii="宋体" w:hAnsi="宋体" w:eastAsia="宋体" w:cs="Times New Roman"/>
          <w:color w:val="auto"/>
          <w:szCs w:val="21"/>
          <w:highlight w:val="none"/>
          <w:lang w:val="zh-CN"/>
        </w:rPr>
        <w:t>示</w:t>
      </w:r>
      <w:r>
        <w:rPr>
          <w:rFonts w:hint="eastAsia" w:ascii="宋体" w:hAnsi="宋体" w:eastAsia="宋体" w:cs="宋体"/>
          <w:color w:val="auto"/>
          <w:szCs w:val="21"/>
          <w:highlight w:val="none"/>
          <w:lang w:val="zh-CN"/>
        </w:rPr>
        <w:t>及异议、投诉</w:t>
      </w:r>
      <w:bookmarkEnd w:id="374"/>
      <w:bookmarkEnd w:id="375"/>
      <w:bookmarkEnd w:id="376"/>
      <w:bookmarkEnd w:id="377"/>
      <w:bookmarkEnd w:id="378"/>
      <w:bookmarkEnd w:id="379"/>
      <w:bookmarkEnd w:id="380"/>
      <w:bookmarkEnd w:id="381"/>
      <w:bookmarkEnd w:id="382"/>
      <w:bookmarkEnd w:id="383"/>
      <w:bookmarkEnd w:id="384"/>
    </w:p>
    <w:p w14:paraId="078EEEE3">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w:t>
      </w:r>
      <w:r>
        <w:rPr>
          <w:rFonts w:ascii="宋体" w:hAnsi="宋体" w:eastAsia="宋体" w:cs="宋体"/>
          <w:color w:val="auto"/>
          <w:szCs w:val="21"/>
          <w:highlight w:val="none"/>
          <w:lang w:val="zh-CN"/>
        </w:rPr>
        <w:t xml:space="preserve"> </w:t>
      </w:r>
      <w:r>
        <w:rPr>
          <w:rFonts w:hint="eastAsia" w:ascii="宋体" w:hAnsi="宋体" w:eastAsia="宋体" w:cs="Times New Roman"/>
          <w:color w:val="auto"/>
          <w:szCs w:val="21"/>
          <w:highlight w:val="none"/>
          <w:lang w:val="zh-CN"/>
        </w:rPr>
        <w:t>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Times New Roman"/>
          <w:color w:val="auto"/>
          <w:szCs w:val="21"/>
          <w:highlight w:val="none"/>
        </w:rPr>
        <w:t>评标结果</w:t>
      </w:r>
      <w:r>
        <w:rPr>
          <w:rFonts w:hint="eastAsia" w:ascii="宋体" w:hAnsi="宋体" w:eastAsia="宋体" w:cs="Times New Roman"/>
          <w:color w:val="auto"/>
          <w:szCs w:val="21"/>
          <w:highlight w:val="none"/>
          <w:lang w:val="zh-CN"/>
        </w:rPr>
        <w:t>公示期间向招标代理机构以书面的形式提出，</w:t>
      </w:r>
      <w:r>
        <w:rPr>
          <w:rFonts w:ascii="宋体" w:hAnsi="宋体" w:eastAsia="宋体" w:cs="Times New Roman"/>
          <w:color w:val="auto"/>
          <w:szCs w:val="21"/>
          <w:highlight w:val="none"/>
          <w:lang w:val="zh-CN"/>
        </w:rPr>
        <w:t>并</w:t>
      </w:r>
      <w:r>
        <w:rPr>
          <w:rFonts w:hint="eastAsia" w:ascii="宋体" w:hAnsi="宋体" w:eastAsia="宋体" w:cs="Times New Roman"/>
          <w:color w:val="auto"/>
          <w:szCs w:val="21"/>
          <w:highlight w:val="none"/>
          <w:lang w:val="zh-CN"/>
        </w:rPr>
        <w:t>将完整的异议书面材料原件</w:t>
      </w:r>
      <w:r>
        <w:rPr>
          <w:rFonts w:ascii="宋体" w:hAnsi="宋体" w:eastAsia="宋体" w:cs="Times New Roman"/>
          <w:color w:val="auto"/>
          <w:szCs w:val="21"/>
          <w:highlight w:val="none"/>
          <w:lang w:val="zh-CN"/>
        </w:rPr>
        <w:t>送</w:t>
      </w:r>
      <w:r>
        <w:rPr>
          <w:rFonts w:hint="eastAsia" w:ascii="宋体" w:hAnsi="宋体" w:eastAsia="宋体" w:cs="Times New Roman"/>
          <w:color w:val="auto"/>
          <w:szCs w:val="21"/>
          <w:highlight w:val="none"/>
          <w:lang w:val="zh-CN"/>
        </w:rPr>
        <w:t>达招标代理机构，</w:t>
      </w:r>
      <w:r>
        <w:rPr>
          <w:rFonts w:ascii="宋体" w:hAnsi="宋体" w:eastAsia="宋体" w:cs="Times New Roman"/>
          <w:color w:val="auto"/>
          <w:szCs w:val="21"/>
          <w:highlight w:val="none"/>
          <w:lang w:val="zh-CN"/>
        </w:rPr>
        <w:t>逾期则视为</w:t>
      </w:r>
      <w:r>
        <w:rPr>
          <w:rFonts w:hint="eastAsia" w:ascii="宋体" w:hAnsi="宋体" w:eastAsia="宋体" w:cs="Times New Roman"/>
          <w:color w:val="auto"/>
          <w:szCs w:val="21"/>
          <w:highlight w:val="none"/>
          <w:lang w:val="zh-CN"/>
        </w:rPr>
        <w:t>对评标结果无异议。超出提交异议截止时间而提出的任何疑问，招标代理机构可不予答复</w:t>
      </w:r>
      <w:r>
        <w:rPr>
          <w:rFonts w:hint="eastAsia" w:ascii="宋体" w:hAnsi="宋体" w:eastAsia="宋体" w:cs="宋体"/>
          <w:color w:val="auto"/>
          <w:szCs w:val="21"/>
          <w:highlight w:val="none"/>
          <w:lang w:val="zh-CN"/>
        </w:rPr>
        <w:t>。</w:t>
      </w:r>
    </w:p>
    <w:p w14:paraId="386EF10E">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highlight w:val="none"/>
          <w:lang w:val="zh-CN"/>
        </w:rPr>
      </w:pPr>
      <w:r>
        <w:rPr>
          <w:rFonts w:hint="eastAsia" w:ascii="宋体" w:hAnsi="宋体" w:eastAsia="宋体" w:cs="Times New Roman"/>
          <w:color w:val="auto"/>
          <w:szCs w:val="21"/>
          <w:highlight w:val="none"/>
          <w:lang w:val="zh-CN"/>
        </w:rPr>
        <w:t>招标代理机构将拒收未能提供完整异议书面材料的异议，完整的异议书面材料必须同时包含：异议书（加盖法人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highlight w:val="none"/>
          <w:lang w:val="zh-CN"/>
        </w:rPr>
        <w:t>公章</w:t>
      </w:r>
      <w:r>
        <w:rPr>
          <w:rFonts w:hint="eastAsia" w:ascii="宋体" w:hAnsi="宋体" w:eastAsia="宋体" w:cs="Times New Roman"/>
          <w:color w:val="auto"/>
          <w:szCs w:val="21"/>
          <w:highlight w:val="none"/>
          <w:lang w:val="zh-CN"/>
        </w:rPr>
        <w:t>）、以及合法来源的证据证明材料</w:t>
      </w:r>
      <w:r>
        <w:rPr>
          <w:rFonts w:hint="eastAsia" w:ascii="宋体" w:hAnsi="宋体" w:eastAsia="宋体" w:cs="宋体"/>
          <w:color w:val="auto"/>
          <w:kern w:val="0"/>
          <w:szCs w:val="21"/>
          <w:highlight w:val="none"/>
          <w:lang w:val="zh-CN"/>
        </w:rPr>
        <w:t>。</w:t>
      </w:r>
    </w:p>
    <w:p w14:paraId="507CF2CD">
      <w:pPr>
        <w:autoSpaceDE w:val="0"/>
        <w:autoSpaceDN w:val="0"/>
        <w:adjustRightInd w:val="0"/>
        <w:spacing w:line="360" w:lineRule="auto"/>
        <w:ind w:left="284" w:hanging="568"/>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rPr>
        <w:t xml:space="preserve">29.2 </w:t>
      </w:r>
      <w:r>
        <w:rPr>
          <w:rFonts w:hint="eastAsia" w:ascii="宋体" w:hAnsi="宋体" w:eastAsia="宋体" w:cs="Times New Roman"/>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highlight w:val="none"/>
          <w:lang w:val="zh-CN"/>
        </w:rPr>
        <w:t>移交司法机关处理</w:t>
      </w:r>
      <w:r>
        <w:rPr>
          <w:rFonts w:hint="eastAsia" w:ascii="宋体" w:hAnsi="宋体" w:eastAsia="宋体" w:cs="Times New Roman"/>
          <w:b/>
          <w:color w:val="auto"/>
          <w:szCs w:val="21"/>
          <w:highlight w:val="none"/>
          <w:lang w:val="zh-CN"/>
        </w:rPr>
        <w:t>。</w:t>
      </w:r>
    </w:p>
    <w:p w14:paraId="029D9254">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highlight w:val="none"/>
          <w:lang w:val="zh-CN"/>
        </w:rPr>
      </w:pPr>
      <w:r>
        <w:rPr>
          <w:rFonts w:hint="eastAsia" w:ascii="宋体" w:hAnsi="宋体" w:eastAsia="宋体" w:cs="Times New Roman"/>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highlight w:val="none"/>
        </w:rPr>
        <w:t>第一中标候选人未能在招标人（或其委托的招标代理机构</w:t>
      </w:r>
      <w:r>
        <w:rPr>
          <w:rFonts w:ascii="宋体" w:hAnsi="宋体" w:eastAsia="宋体" w:cs="Times New Roman"/>
          <w:b/>
          <w:color w:val="auto"/>
          <w:kern w:val="0"/>
          <w:szCs w:val="21"/>
          <w:highlight w:val="none"/>
        </w:rPr>
        <w:t>) 书面要求的时间(一般不少于三个工作日) 内提供完整的材料原件进行核查的</w:t>
      </w:r>
      <w:r>
        <w:rPr>
          <w:rFonts w:hint="eastAsia" w:ascii="宋体" w:hAnsi="宋体" w:eastAsia="宋体" w:cs="Times New Roman"/>
          <w:b/>
          <w:color w:val="auto"/>
          <w:szCs w:val="21"/>
          <w:highlight w:val="none"/>
          <w:lang w:val="zh-CN"/>
        </w:rPr>
        <w:t>，视为其无法提供真实的资料，招标人有权取消其中标候选人资格。</w:t>
      </w:r>
    </w:p>
    <w:p w14:paraId="01CA9ED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06B7511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646494C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34E0C98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0D4F58DF">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1B41E23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6EE05893">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44FA9F1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67DB1EB7">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投诉人投诉的事项不得超出已异议事项的范围，但基于异议答复内容提出的投诉事项除外。</w:t>
      </w:r>
    </w:p>
    <w:p w14:paraId="00344DCD">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监督部门：东莞市水务集团有限公司，联系人：莫先生，联系电话：0769-28823251。</w:t>
      </w:r>
    </w:p>
    <w:p w14:paraId="37D62B1A">
      <w:pPr>
        <w:autoSpaceDE w:val="0"/>
        <w:autoSpaceDN w:val="0"/>
        <w:adjustRightInd w:val="0"/>
        <w:snapToGrid w:val="0"/>
        <w:spacing w:line="360" w:lineRule="auto"/>
        <w:ind w:left="296" w:leftChars="100" w:hanging="86" w:hangingChars="41"/>
        <w:jc w:val="left"/>
        <w:rPr>
          <w:rFonts w:ascii="宋体" w:hAnsi="宋体" w:eastAsia="宋体" w:cs="宋体"/>
          <w:color w:val="auto"/>
          <w:szCs w:val="21"/>
          <w:highlight w:val="none"/>
          <w:lang w:val="zh-CN"/>
        </w:rPr>
      </w:pPr>
    </w:p>
    <w:p w14:paraId="0E3AB959">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highlight w:val="none"/>
          <w:lang w:val="zh-CN"/>
        </w:rPr>
      </w:pPr>
      <w:bookmarkStart w:id="385" w:name="_Toc3154"/>
      <w:bookmarkStart w:id="386" w:name="_Toc486167695"/>
      <w:bookmarkStart w:id="387" w:name="_Toc21256"/>
      <w:bookmarkStart w:id="388" w:name="_Toc142508346"/>
      <w:bookmarkStart w:id="389" w:name="_Toc26354"/>
      <w:bookmarkStart w:id="390" w:name="_Toc466882018"/>
      <w:bookmarkStart w:id="391" w:name="_Toc465358970"/>
      <w:bookmarkStart w:id="392" w:name="_Toc1848_WPSOffice_Level3"/>
      <w:bookmarkStart w:id="393" w:name="_Toc2077"/>
      <w:bookmarkStart w:id="394" w:name="_Toc20076"/>
      <w:bookmarkStart w:id="395" w:name="_Toc14371"/>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385"/>
      <w:bookmarkEnd w:id="386"/>
      <w:bookmarkEnd w:id="387"/>
      <w:bookmarkEnd w:id="388"/>
      <w:bookmarkEnd w:id="389"/>
      <w:bookmarkEnd w:id="390"/>
      <w:bookmarkEnd w:id="391"/>
      <w:bookmarkEnd w:id="392"/>
      <w:bookmarkEnd w:id="393"/>
      <w:bookmarkEnd w:id="394"/>
      <w:bookmarkEnd w:id="395"/>
    </w:p>
    <w:p w14:paraId="19809FDA">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Times New Roman"/>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2440D4B1">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Times New Roman"/>
          <w:b/>
          <w:color w:val="auto"/>
          <w:kern w:val="0"/>
          <w:szCs w:val="21"/>
          <w:highlight w:val="none"/>
        </w:rPr>
        <w:t>在招标人（或其委托的招标代理机构）、或评标委员会通知其提供</w:t>
      </w:r>
      <w:r>
        <w:rPr>
          <w:rFonts w:hint="eastAsia" w:ascii="宋体" w:hAnsi="宋体" w:eastAsia="宋体" w:cs="Times New Roman"/>
          <w:b/>
          <w:color w:val="auto"/>
          <w:szCs w:val="21"/>
          <w:highlight w:val="none"/>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41C97EE7">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w:t>
      </w:r>
      <w:r>
        <w:rPr>
          <w:rFonts w:ascii="宋体" w:hAnsi="宋体" w:eastAsia="宋体" w:cs="宋体"/>
          <w:b/>
          <w:color w:val="auto"/>
          <w:szCs w:val="21"/>
          <w:highlight w:val="none"/>
        </w:rPr>
        <w:t>虚假响应</w:t>
      </w:r>
      <w:r>
        <w:rPr>
          <w:rFonts w:hint="eastAsia" w:ascii="宋体" w:hAnsi="宋体" w:eastAsia="宋体" w:cs="宋体"/>
          <w:b/>
          <w:color w:val="auto"/>
          <w:szCs w:val="21"/>
          <w:highlight w:val="none"/>
        </w:rPr>
        <w:t>招标</w:t>
      </w:r>
      <w:r>
        <w:rPr>
          <w:rFonts w:ascii="宋体" w:hAnsi="宋体" w:eastAsia="宋体" w:cs="宋体"/>
          <w:b/>
          <w:color w:val="auto"/>
          <w:szCs w:val="21"/>
          <w:highlight w:val="none"/>
        </w:rPr>
        <w:t>文件</w:t>
      </w:r>
      <w:r>
        <w:rPr>
          <w:rFonts w:hint="eastAsia" w:ascii="宋体" w:hAnsi="宋体" w:eastAsia="宋体" w:cs="宋体"/>
          <w:b/>
          <w:color w:val="auto"/>
          <w:szCs w:val="21"/>
          <w:highlight w:val="none"/>
        </w:rPr>
        <w:t>要求等弄虚作假行为，或未能根据本须知2</w:t>
      </w:r>
      <w:r>
        <w:rPr>
          <w:rFonts w:ascii="宋体" w:hAnsi="宋体" w:eastAsia="宋体" w:cs="宋体"/>
          <w:b/>
          <w:color w:val="auto"/>
          <w:szCs w:val="21"/>
          <w:highlight w:val="none"/>
        </w:rPr>
        <w:t>9.2</w:t>
      </w:r>
      <w:r>
        <w:rPr>
          <w:rFonts w:hint="eastAsia" w:ascii="宋体" w:hAnsi="宋体" w:eastAsia="宋体" w:cs="宋体"/>
          <w:b/>
          <w:color w:val="auto"/>
          <w:szCs w:val="21"/>
          <w:highlight w:val="none"/>
        </w:rPr>
        <w:t>款约定按时提供原件进行核查的，</w:t>
      </w:r>
      <w:r>
        <w:rPr>
          <w:rFonts w:ascii="宋体" w:hAnsi="宋体" w:eastAsia="宋体" w:cs="宋体"/>
          <w:b/>
          <w:color w:val="auto"/>
          <w:szCs w:val="21"/>
          <w:highlight w:val="none"/>
        </w:rPr>
        <w:t>或不按照投标文件承诺履约</w:t>
      </w:r>
      <w:r>
        <w:rPr>
          <w:rFonts w:hint="eastAsia" w:ascii="宋体" w:hAnsi="宋体" w:eastAsia="宋体" w:cs="宋体"/>
          <w:b/>
          <w:color w:val="auto"/>
          <w:szCs w:val="21"/>
          <w:highlight w:val="none"/>
        </w:rPr>
        <w:t>或撤回投标或放弃中标资格或</w:t>
      </w:r>
      <w:r>
        <w:rPr>
          <w:rFonts w:ascii="宋体" w:hAnsi="宋体" w:eastAsia="宋体" w:cs="宋体"/>
          <w:b/>
          <w:color w:val="auto"/>
          <w:szCs w:val="21"/>
          <w:highlight w:val="none"/>
        </w:rPr>
        <w:t>不按要求与招标人签订合同等影响中标结果的行为</w:t>
      </w:r>
      <w:r>
        <w:rPr>
          <w:rFonts w:hint="eastAsia" w:ascii="宋体" w:hAnsi="宋体" w:eastAsia="宋体" w:cs="宋体"/>
          <w:b/>
          <w:color w:val="auto"/>
          <w:szCs w:val="21"/>
          <w:highlight w:val="none"/>
        </w:rPr>
        <w:t>，因此导致投标人无法参与东莞市水务集团有限公司相关招标采购等活动的，由投标人自行承担全部后果。</w:t>
      </w:r>
    </w:p>
    <w:p w14:paraId="640927FA">
      <w:pPr>
        <w:autoSpaceDE w:val="0"/>
        <w:autoSpaceDN w:val="0"/>
        <w:adjustRightInd w:val="0"/>
        <w:snapToGrid w:val="0"/>
        <w:spacing w:line="360" w:lineRule="auto"/>
        <w:jc w:val="left"/>
        <w:rPr>
          <w:rFonts w:ascii="宋体" w:hAnsi="宋体" w:eastAsia="宋体" w:cs="宋体"/>
          <w:color w:val="auto"/>
          <w:szCs w:val="21"/>
          <w:highlight w:val="none"/>
        </w:rPr>
      </w:pPr>
      <w:bookmarkStart w:id="396" w:name="_Toc466882019"/>
      <w:bookmarkStart w:id="397" w:name="_Toc465358971"/>
    </w:p>
    <w:p w14:paraId="2677FB1C">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highlight w:val="none"/>
          <w:lang w:val="zh-CN"/>
        </w:rPr>
      </w:pPr>
      <w:bookmarkStart w:id="398" w:name="_Toc22960"/>
      <w:bookmarkStart w:id="399" w:name="_Toc23672"/>
      <w:bookmarkStart w:id="400" w:name="_Toc142508347"/>
      <w:bookmarkStart w:id="401" w:name="_Toc486167696"/>
      <w:bookmarkStart w:id="402" w:name="_Toc8654"/>
      <w:bookmarkStart w:id="403" w:name="_Toc15815"/>
      <w:bookmarkStart w:id="404" w:name="_Toc10867_WPSOffice_Level3"/>
      <w:bookmarkStart w:id="405" w:name="_Toc24675"/>
      <w:bookmarkStart w:id="406" w:name="_Toc20232"/>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396"/>
      <w:bookmarkEnd w:id="397"/>
      <w:bookmarkEnd w:id="398"/>
      <w:bookmarkEnd w:id="399"/>
      <w:bookmarkEnd w:id="400"/>
      <w:bookmarkEnd w:id="401"/>
      <w:bookmarkEnd w:id="402"/>
      <w:bookmarkEnd w:id="403"/>
      <w:bookmarkEnd w:id="404"/>
      <w:bookmarkEnd w:id="405"/>
      <w:bookmarkEnd w:id="406"/>
    </w:p>
    <w:p w14:paraId="52A1D914">
      <w:pPr>
        <w:autoSpaceDE w:val="0"/>
        <w:autoSpaceDN w:val="0"/>
        <w:adjustRightInd w:val="0"/>
        <w:spacing w:line="360" w:lineRule="auto"/>
        <w:ind w:left="248" w:leftChars="118" w:firstLine="1"/>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58399738">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highlight w:val="none"/>
          <w:lang w:val="zh-CN"/>
        </w:rPr>
      </w:pPr>
      <w:bookmarkStart w:id="407" w:name="_Toc450662880"/>
    </w:p>
    <w:p w14:paraId="7DD679BC">
      <w:pPr>
        <w:keepNext/>
        <w:keepLines/>
        <w:autoSpaceDE w:val="0"/>
        <w:autoSpaceDN w:val="0"/>
        <w:adjustRightInd w:val="0"/>
        <w:spacing w:line="360" w:lineRule="auto"/>
        <w:jc w:val="left"/>
        <w:outlineLvl w:val="0"/>
        <w:rPr>
          <w:rFonts w:ascii="宋体" w:hAnsi="宋体" w:eastAsia="宋体" w:cs="宋体"/>
          <w:b/>
          <w:bCs/>
          <w:color w:val="auto"/>
          <w:kern w:val="44"/>
          <w:szCs w:val="21"/>
          <w:highlight w:val="none"/>
          <w:lang w:val="zh-CN"/>
        </w:rPr>
      </w:pPr>
      <w:bookmarkStart w:id="408" w:name="_Toc16789"/>
      <w:bookmarkStart w:id="409" w:name="_Toc13312"/>
      <w:bookmarkStart w:id="410" w:name="_Toc16848_WPSOffice_Level2"/>
      <w:bookmarkStart w:id="411" w:name="_Toc142508348"/>
      <w:bookmarkStart w:id="412" w:name="_Toc140596907"/>
      <w:bookmarkStart w:id="413" w:name="_Toc486167697"/>
      <w:bookmarkStart w:id="414" w:name="_Toc11941"/>
      <w:bookmarkStart w:id="415" w:name="_Toc27936"/>
      <w:bookmarkStart w:id="416" w:name="_Toc29028"/>
      <w:bookmarkStart w:id="417" w:name="_Toc12952"/>
      <w:r>
        <w:rPr>
          <w:rFonts w:hint="eastAsia" w:ascii="宋体" w:hAnsi="宋体" w:eastAsia="宋体" w:cs="宋体"/>
          <w:b/>
          <w:bCs/>
          <w:color w:val="auto"/>
          <w:kern w:val="44"/>
          <w:szCs w:val="21"/>
          <w:highlight w:val="none"/>
          <w:lang w:val="zh-CN"/>
        </w:rPr>
        <w:t>六、授予合同</w:t>
      </w:r>
      <w:bookmarkEnd w:id="407"/>
      <w:bookmarkEnd w:id="408"/>
      <w:bookmarkEnd w:id="409"/>
      <w:bookmarkEnd w:id="410"/>
      <w:bookmarkEnd w:id="411"/>
      <w:bookmarkEnd w:id="412"/>
      <w:bookmarkEnd w:id="413"/>
      <w:bookmarkEnd w:id="414"/>
      <w:bookmarkEnd w:id="415"/>
      <w:bookmarkEnd w:id="416"/>
      <w:bookmarkEnd w:id="417"/>
    </w:p>
    <w:p w14:paraId="54F841C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18" w:name="_Toc31713"/>
      <w:bookmarkStart w:id="419" w:name="_Toc23271"/>
      <w:bookmarkStart w:id="420" w:name="_Toc486167698"/>
      <w:bookmarkStart w:id="421" w:name="_Toc6401_WPSOffice_Level3"/>
      <w:bookmarkStart w:id="422" w:name="_Toc450662881"/>
      <w:bookmarkStart w:id="423" w:name="_Toc142508349"/>
      <w:bookmarkStart w:id="424" w:name="_Toc29383"/>
      <w:bookmarkStart w:id="425" w:name="_Toc9067"/>
      <w:bookmarkStart w:id="426" w:name="_Toc31198"/>
      <w:bookmarkStart w:id="427" w:name="_Toc23902"/>
      <w:r>
        <w:rPr>
          <w:rFonts w:hint="eastAsia" w:ascii="宋体" w:hAnsi="宋体" w:eastAsia="宋体" w:cs="宋体"/>
          <w:color w:val="auto"/>
          <w:szCs w:val="21"/>
          <w:highlight w:val="none"/>
        </w:rPr>
        <w:t>32</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授予合同的准则</w:t>
      </w:r>
      <w:bookmarkEnd w:id="418"/>
      <w:bookmarkEnd w:id="419"/>
      <w:bookmarkEnd w:id="420"/>
      <w:bookmarkEnd w:id="421"/>
      <w:bookmarkEnd w:id="422"/>
      <w:bookmarkEnd w:id="423"/>
      <w:bookmarkEnd w:id="424"/>
      <w:bookmarkEnd w:id="425"/>
      <w:bookmarkEnd w:id="426"/>
      <w:bookmarkEnd w:id="427"/>
    </w:p>
    <w:p w14:paraId="4361D9B6">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2F1A5F2E">
      <w:pPr>
        <w:numPr>
          <w:ilvl w:val="0"/>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5E4A1D18">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62B0D12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28" w:name="_Toc450662885"/>
    </w:p>
    <w:p w14:paraId="124A5103">
      <w:pPr>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29" w:name="_Toc668"/>
      <w:bookmarkStart w:id="430" w:name="_Toc8196"/>
      <w:bookmarkStart w:id="431" w:name="_Toc6726_WPSOffice_Level3"/>
      <w:bookmarkStart w:id="432" w:name="_Toc142508350"/>
      <w:bookmarkStart w:id="433" w:name="_Toc18984"/>
      <w:bookmarkStart w:id="434" w:name="_Toc14377"/>
      <w:bookmarkStart w:id="435" w:name="_Toc486167699"/>
      <w:bookmarkStart w:id="436" w:name="_Toc15722"/>
      <w:bookmarkStart w:id="437" w:name="_Toc12825"/>
      <w:r>
        <w:rPr>
          <w:rFonts w:hint="eastAsia" w:ascii="宋体" w:hAnsi="宋体" w:eastAsia="宋体" w:cs="宋体"/>
          <w:color w:val="auto"/>
          <w:szCs w:val="21"/>
          <w:highlight w:val="none"/>
          <w:lang w:val="zh-CN"/>
        </w:rPr>
        <w:t>33</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中标通知</w:t>
      </w:r>
      <w:bookmarkEnd w:id="428"/>
      <w:bookmarkEnd w:id="429"/>
      <w:bookmarkEnd w:id="430"/>
      <w:bookmarkEnd w:id="431"/>
      <w:bookmarkEnd w:id="432"/>
      <w:bookmarkEnd w:id="433"/>
      <w:bookmarkEnd w:id="434"/>
      <w:bookmarkEnd w:id="435"/>
      <w:bookmarkEnd w:id="436"/>
      <w:bookmarkEnd w:id="437"/>
    </w:p>
    <w:p w14:paraId="3241C54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38"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64C90365">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1494519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7102906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39" w:name="_Toc142508351"/>
      <w:bookmarkStart w:id="440" w:name="_Toc9694_WPSOffice_Level3"/>
      <w:bookmarkStart w:id="441" w:name="_Toc28020"/>
      <w:bookmarkStart w:id="442" w:name="_Toc486167700"/>
      <w:bookmarkStart w:id="443" w:name="_Toc15467"/>
      <w:bookmarkStart w:id="444" w:name="_Toc19127"/>
      <w:bookmarkStart w:id="445" w:name="_Toc1331"/>
      <w:bookmarkStart w:id="446" w:name="_Toc28045"/>
      <w:bookmarkStart w:id="447" w:name="_Toc29811"/>
      <w:r>
        <w:rPr>
          <w:rFonts w:hint="eastAsia" w:ascii="宋体" w:hAnsi="宋体" w:eastAsia="宋体" w:cs="宋体"/>
          <w:color w:val="auto"/>
          <w:szCs w:val="21"/>
          <w:highlight w:val="none"/>
        </w:rPr>
        <w:t>34</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签署合同</w:t>
      </w:r>
      <w:bookmarkEnd w:id="438"/>
      <w:bookmarkEnd w:id="439"/>
      <w:bookmarkEnd w:id="440"/>
      <w:bookmarkEnd w:id="441"/>
      <w:bookmarkEnd w:id="442"/>
      <w:bookmarkEnd w:id="443"/>
      <w:bookmarkEnd w:id="444"/>
      <w:bookmarkEnd w:id="445"/>
      <w:bookmarkEnd w:id="446"/>
      <w:bookmarkEnd w:id="447"/>
    </w:p>
    <w:p w14:paraId="65198B30">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Times New Roman"/>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4746314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p>
    <w:p w14:paraId="153D112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48" w:name="_Toc450662887"/>
      <w:bookmarkStart w:id="449" w:name="_Toc5304"/>
      <w:bookmarkStart w:id="450" w:name="_Toc3830"/>
      <w:bookmarkStart w:id="451" w:name="_Toc142508352"/>
      <w:bookmarkStart w:id="452" w:name="_Toc10513_WPSOffice_Level3"/>
      <w:bookmarkStart w:id="453" w:name="_Toc486167701"/>
      <w:bookmarkStart w:id="454" w:name="_Toc10666"/>
      <w:bookmarkStart w:id="455" w:name="_Toc8181"/>
      <w:bookmarkStart w:id="456" w:name="_Toc30658"/>
      <w:bookmarkStart w:id="457" w:name="_Toc27828"/>
      <w:r>
        <w:rPr>
          <w:rFonts w:hint="eastAsia" w:ascii="宋体" w:hAnsi="宋体" w:eastAsia="宋体" w:cs="宋体"/>
          <w:color w:val="auto"/>
          <w:szCs w:val="21"/>
          <w:highlight w:val="none"/>
        </w:rPr>
        <w:t>35</w:t>
      </w:r>
      <w:r>
        <w:rPr>
          <w:rFonts w:ascii="宋体" w:hAnsi="宋体" w:eastAsia="宋体" w:cs="宋体"/>
          <w:color w:val="auto"/>
          <w:szCs w:val="21"/>
          <w:highlight w:val="none"/>
        </w:rPr>
        <w:t xml:space="preserve"> </w:t>
      </w:r>
      <w:r>
        <w:rPr>
          <w:rFonts w:hint="eastAsia" w:ascii="宋体" w:hAnsi="宋体" w:eastAsia="宋体" w:cs="宋体"/>
          <w:color w:val="auto"/>
          <w:szCs w:val="21"/>
          <w:highlight w:val="none"/>
          <w:lang w:val="zh-CN"/>
        </w:rPr>
        <w:t>履约担保</w:t>
      </w:r>
      <w:bookmarkEnd w:id="448"/>
      <w:bookmarkEnd w:id="449"/>
      <w:bookmarkEnd w:id="450"/>
      <w:bookmarkEnd w:id="451"/>
      <w:bookmarkEnd w:id="452"/>
      <w:bookmarkEnd w:id="453"/>
      <w:bookmarkEnd w:id="454"/>
      <w:bookmarkEnd w:id="455"/>
      <w:bookmarkEnd w:id="456"/>
      <w:bookmarkEnd w:id="457"/>
    </w:p>
    <w:p w14:paraId="3E09A1E1">
      <w:pPr>
        <w:numPr>
          <w:ilvl w:val="0"/>
          <w:numId w:val="0"/>
        </w:numPr>
        <w:autoSpaceDE w:val="0"/>
        <w:autoSpaceDN w:val="0"/>
        <w:adjustRightInd w:val="0"/>
        <w:spacing w:line="360" w:lineRule="auto"/>
        <w:ind w:left="354" w:leftChars="-100" w:right="15" w:rightChars="7" w:hanging="564" w:hangingChars="269"/>
        <w:rPr>
          <w:rFonts w:ascii="宋体" w:hAnsi="宋体" w:eastAsia="宋体" w:cs="宋体"/>
          <w:b/>
          <w:bCs/>
          <w:color w:val="auto"/>
          <w:szCs w:val="21"/>
          <w:highlight w:val="none"/>
          <w:lang w:val="zh-CN"/>
        </w:rPr>
      </w:pPr>
      <w:bookmarkStart w:id="458" w:name="_Toc466882025"/>
      <w:bookmarkStart w:id="459" w:name="_Toc465358977"/>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Times New Roman"/>
          <w:b/>
          <w:bCs/>
          <w:color w:val="auto"/>
          <w:szCs w:val="21"/>
          <w:highlight w:val="none"/>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color w:val="auto"/>
          <w:szCs w:val="21"/>
          <w:highlight w:val="none"/>
          <w:u w:val="single"/>
          <w:lang w:val="en-US" w:eastAsia="zh-CN"/>
        </w:rPr>
        <w:t>或履约保证保险</w:t>
      </w:r>
      <w:r>
        <w:rPr>
          <w:rFonts w:hint="eastAsia" w:ascii="宋体" w:hAnsi="宋体" w:eastAsia="宋体" w:cs="Times New Roman"/>
          <w:b/>
          <w:bCs/>
          <w:color w:val="auto"/>
          <w:szCs w:val="21"/>
          <w:highlight w:val="none"/>
          <w:u w:val="single"/>
          <w:lang w:val="zh-CN"/>
        </w:rPr>
        <w:t>或担保公司履约担保书），作为履约担保（所需费用由中标人自行承担），</w:t>
      </w:r>
      <w:r>
        <w:rPr>
          <w:rFonts w:ascii="宋体" w:hAnsi="宋体" w:eastAsia="宋体" w:cs="Arial"/>
          <w:b/>
          <w:bCs/>
          <w:color w:val="auto"/>
          <w:kern w:val="0"/>
          <w:szCs w:val="24"/>
          <w:highlight w:val="none"/>
          <w:u w:val="single"/>
        </w:rPr>
        <w:t>否则招标人可取消中标人的中标资格，</w:t>
      </w:r>
      <w:r>
        <w:rPr>
          <w:rFonts w:hint="eastAsia" w:ascii="宋体" w:hAnsi="宋体" w:eastAsia="宋体" w:cs="Arial"/>
          <w:b/>
          <w:bCs/>
          <w:color w:val="auto"/>
          <w:kern w:val="0"/>
          <w:szCs w:val="24"/>
          <w:highlight w:val="none"/>
          <w:u w:val="single"/>
        </w:rPr>
        <w:t>不予退还其投标保证金。</w:t>
      </w:r>
      <w:r>
        <w:rPr>
          <w:rFonts w:hint="eastAsia" w:ascii="宋体" w:hAnsi="宋体" w:eastAsia="宋体" w:cs="Times New Roman"/>
          <w:b/>
          <w:bCs/>
          <w:color w:val="auto"/>
          <w:szCs w:val="21"/>
          <w:highlight w:val="none"/>
          <w:u w:val="single"/>
          <w:lang w:val="zh-CN"/>
        </w:rPr>
        <w:t>其中，采用履约保证金（银行转账形式）的金额为暂定总合同价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的5%，采用不可撤销银行履约保函形式的金额为暂定总合同价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的8%，采用</w:t>
      </w:r>
      <w:r>
        <w:rPr>
          <w:rFonts w:hint="eastAsia" w:ascii="宋体" w:hAnsi="宋体" w:eastAsia="宋体" w:cs="Times New Roman"/>
          <w:b/>
          <w:bCs/>
          <w:color w:val="auto"/>
          <w:szCs w:val="21"/>
          <w:highlight w:val="none"/>
          <w:u w:val="single"/>
          <w:lang w:val="en-US" w:eastAsia="zh-CN"/>
        </w:rPr>
        <w:t>履约保证保险</w:t>
      </w:r>
      <w:r>
        <w:rPr>
          <w:rFonts w:hint="eastAsia" w:ascii="宋体" w:hAnsi="宋体" w:eastAsia="宋体" w:cs="Times New Roman"/>
          <w:b/>
          <w:bCs/>
          <w:color w:val="auto"/>
          <w:szCs w:val="21"/>
          <w:highlight w:val="none"/>
          <w:u w:val="single"/>
          <w:lang w:val="zh-CN"/>
        </w:rPr>
        <w:t>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的8%，采用担保公司履约担保书形式的金额为暂定总合同价</w:t>
      </w:r>
      <w:r>
        <w:rPr>
          <w:rFonts w:hint="eastAsia" w:ascii="宋体" w:hAnsi="宋体" w:eastAsia="宋体" w:cs="Times New Roman"/>
          <w:b/>
          <w:bCs/>
          <w:color w:val="auto"/>
          <w:szCs w:val="21"/>
          <w:highlight w:val="none"/>
          <w:u w:val="single"/>
          <w:lang w:val="en-US" w:eastAsia="zh-CN"/>
        </w:rPr>
        <w:t>款（含税）</w:t>
      </w:r>
      <w:r>
        <w:rPr>
          <w:rFonts w:hint="eastAsia" w:ascii="宋体" w:hAnsi="宋体" w:eastAsia="宋体" w:cs="Times New Roman"/>
          <w:b/>
          <w:bCs/>
          <w:color w:val="auto"/>
          <w:szCs w:val="21"/>
          <w:highlight w:val="none"/>
          <w:u w:val="single"/>
          <w:lang w:val="zh-CN"/>
        </w:rPr>
        <w:t>的</w:t>
      </w:r>
      <w:r>
        <w:rPr>
          <w:rFonts w:ascii="宋体" w:hAnsi="宋体" w:eastAsia="宋体" w:cs="Times New Roman"/>
          <w:b/>
          <w:bCs/>
          <w:color w:val="auto"/>
          <w:szCs w:val="21"/>
          <w:highlight w:val="none"/>
          <w:u w:val="single"/>
          <w:lang w:val="zh-CN"/>
        </w:rPr>
        <w:t>10</w:t>
      </w:r>
      <w:r>
        <w:rPr>
          <w:rFonts w:hint="eastAsia" w:ascii="宋体" w:hAnsi="宋体" w:eastAsia="宋体" w:cs="Times New Roman"/>
          <w:b/>
          <w:bCs/>
          <w:color w:val="auto"/>
          <w:szCs w:val="21"/>
          <w:highlight w:val="none"/>
          <w:u w:val="single"/>
          <w:lang w:val="zh-CN"/>
        </w:rPr>
        <w:t>%。</w:t>
      </w:r>
      <w:r>
        <w:rPr>
          <w:rFonts w:hint="eastAsia" w:ascii="宋体" w:hAnsi="宋体" w:eastAsia="宋体" w:cs="Arial"/>
          <w:bCs/>
          <w:color w:val="auto"/>
          <w:kern w:val="0"/>
          <w:szCs w:val="24"/>
          <w:highlight w:val="none"/>
        </w:rPr>
        <w:t>合同履行过程中，中标人</w:t>
      </w:r>
      <w:r>
        <w:rPr>
          <w:rFonts w:hint="eastAsia" w:ascii="宋体" w:hAnsi="宋体" w:eastAsia="宋体" w:cs="Arial"/>
          <w:color w:val="auto"/>
          <w:kern w:val="0"/>
          <w:szCs w:val="24"/>
          <w:highlight w:val="none"/>
        </w:rPr>
        <w:t>给招标人造成的损失超过履约担保数额的，中标人还应当对超过部分予以赔偿，招标人并依法追究中标人的相应责任。</w:t>
      </w:r>
    </w:p>
    <w:p w14:paraId="4A3C287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35.2 </w:t>
      </w:r>
      <w:r>
        <w:rPr>
          <w:rFonts w:hint="eastAsia" w:ascii="宋体" w:hAnsi="宋体" w:eastAsia="宋体" w:cs="Times New Roman"/>
          <w:color w:val="auto"/>
          <w:kern w:val="0"/>
          <w:szCs w:val="21"/>
          <w:highlight w:val="none"/>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highlight w:val="none"/>
        </w:rPr>
        <w:t>：</w:t>
      </w:r>
    </w:p>
    <w:p w14:paraId="032BB84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1）</w:t>
      </w:r>
      <w:r>
        <w:rPr>
          <w:rFonts w:hint="eastAsia" w:ascii="宋体" w:hAnsi="宋体" w:eastAsia="宋体" w:cs="Times New Roman"/>
          <w:color w:val="auto"/>
          <w:kern w:val="0"/>
          <w:szCs w:val="21"/>
          <w:highlight w:val="none"/>
        </w:rPr>
        <w:t>中标人将合同项下中标人的权利义务全部转让给第三方，或未经招标人书面同意将部分权利义务转让给第三方的，招标人有权没收其履约担保。</w:t>
      </w:r>
    </w:p>
    <w:p w14:paraId="17C6B0E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2）在合同履行期间，中标人</w:t>
      </w:r>
      <w:r>
        <w:rPr>
          <w:rFonts w:hint="eastAsia" w:ascii="宋体" w:hAnsi="宋体" w:eastAsia="宋体" w:cs="Times New Roman"/>
          <w:color w:val="auto"/>
          <w:kern w:val="0"/>
          <w:szCs w:val="21"/>
          <w:highlight w:val="none"/>
        </w:rPr>
        <w:t>怠于履行合同义务，经招标人通知或要求承担违约金后仍拒不改正的，招标人可依法没收或适当扣除其履约担保。</w:t>
      </w:r>
    </w:p>
    <w:p w14:paraId="0AB5091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3）在合同履行期间，因中标人</w:t>
      </w:r>
      <w:r>
        <w:rPr>
          <w:rFonts w:hint="eastAsia" w:ascii="宋体" w:hAnsi="宋体" w:eastAsia="宋体" w:cs="Times New Roman"/>
          <w:color w:val="auto"/>
          <w:kern w:val="0"/>
          <w:szCs w:val="21"/>
          <w:highlight w:val="none"/>
        </w:rPr>
        <w:t>货物、</w:t>
      </w:r>
      <w:r>
        <w:rPr>
          <w:rFonts w:ascii="宋体" w:hAnsi="宋体" w:eastAsia="宋体" w:cs="Times New Roman"/>
          <w:color w:val="auto"/>
          <w:kern w:val="0"/>
          <w:szCs w:val="21"/>
          <w:highlight w:val="none"/>
        </w:rPr>
        <w:t>服务质量问题造成损害、侵权损失（包括但不限于招标人经济损失、第三人人身财产损失等）、</w:t>
      </w:r>
      <w:r>
        <w:rPr>
          <w:rFonts w:hint="eastAsia" w:ascii="宋体" w:hAnsi="宋体" w:eastAsia="宋体" w:cs="Times New Roman"/>
          <w:color w:val="auto"/>
          <w:kern w:val="0"/>
          <w:szCs w:val="21"/>
          <w:highlight w:val="none"/>
        </w:rPr>
        <w:t>拖欠原材料供应商货款或与其所雇用员工发生劳资纠纷、上访、闹事或其他影响招标人生产经营等情况而其未及时妥善处理的</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招标人有权使用履约担保予以支付或作出相应处理，由此产生的一切法律后果由中标人承担。</w:t>
      </w:r>
    </w:p>
    <w:p w14:paraId="5C7BCCD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4）在合同履行期间，中标人违约产生的违约金、赔偿、罚款或其他应付费用等款项，招标人有权直接从未付款项中直接扣除或启用履约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予以支付。</w:t>
      </w:r>
    </w:p>
    <w:p w14:paraId="7F41768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5）合同期内，中标人不能及时完成合同某项义务的，招标人有权提取履约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用于处理该项工作。</w:t>
      </w:r>
    </w:p>
    <w:p w14:paraId="34ECA8A9">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6）其他根据本合同约定或法律规定，招标人可启用履约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的情形。</w:t>
      </w:r>
    </w:p>
    <w:p w14:paraId="163453C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35.3  履约担保应符合如下规定：</w:t>
      </w:r>
    </w:p>
    <w:p w14:paraId="38726C2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rPr>
        <w:t>出具履约保函的银行必须是</w:t>
      </w:r>
      <w:r>
        <w:rPr>
          <w:rFonts w:hint="eastAsia" w:ascii="宋体" w:hAnsi="宋体" w:eastAsia="宋体" w:cs="Times New Roman"/>
          <w:color w:val="auto"/>
          <w:kern w:val="0"/>
          <w:szCs w:val="21"/>
          <w:highlight w:val="none"/>
        </w:rPr>
        <w:t>境内</w:t>
      </w:r>
      <w:r>
        <w:rPr>
          <w:rFonts w:ascii="宋体" w:hAnsi="宋体" w:eastAsia="宋体" w:cs="Times New Roman"/>
          <w:color w:val="auto"/>
          <w:kern w:val="0"/>
          <w:szCs w:val="21"/>
          <w:highlight w:val="none"/>
        </w:rPr>
        <w:t>支行一级以上机构，并经招标人同意，执行本款时所发生的费用由中标人</w:t>
      </w:r>
      <w:r>
        <w:rPr>
          <w:rFonts w:hint="eastAsia" w:ascii="宋体" w:hAnsi="宋体" w:eastAsia="宋体" w:cs="Times New Roman"/>
          <w:color w:val="auto"/>
          <w:kern w:val="0"/>
          <w:szCs w:val="21"/>
          <w:highlight w:val="none"/>
        </w:rPr>
        <w:t>承担</w:t>
      </w:r>
      <w:r>
        <w:rPr>
          <w:rFonts w:ascii="宋体" w:hAnsi="宋体" w:eastAsia="宋体" w:cs="Times New Roman"/>
          <w:color w:val="auto"/>
          <w:kern w:val="0"/>
          <w:szCs w:val="21"/>
          <w:highlight w:val="none"/>
        </w:rPr>
        <w:t>。</w:t>
      </w:r>
    </w:p>
    <w:p w14:paraId="3F6C135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r>
        <w:rPr>
          <w:rFonts w:ascii="宋体" w:hAnsi="宋体" w:eastAsia="宋体" w:cs="Times New Roman"/>
          <w:color w:val="auto"/>
          <w:kern w:val="0"/>
          <w:szCs w:val="21"/>
          <w:highlight w:val="none"/>
        </w:rPr>
        <w:t>履约担保格式应采用招标文件中提供的（格式参见第</w:t>
      </w:r>
      <w:r>
        <w:rPr>
          <w:rFonts w:hint="eastAsia" w:ascii="宋体" w:hAnsi="宋体" w:eastAsia="宋体" w:cs="Times New Roman"/>
          <w:color w:val="auto"/>
          <w:kern w:val="0"/>
          <w:szCs w:val="21"/>
          <w:highlight w:val="none"/>
        </w:rPr>
        <w:t>五篇</w:t>
      </w:r>
      <w:r>
        <w:rPr>
          <w:rFonts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t>投标人如以履约保函（或履约保证保险或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履约担保书）形式提供履约担保的，投标前应当自行向其拟申请开具保函的银行（</w:t>
      </w:r>
      <w:r>
        <w:rPr>
          <w:rFonts w:hint="eastAsia" w:ascii="宋体" w:hAnsi="宋体" w:eastAsia="宋体" w:cs="Times New Roman"/>
          <w:color w:val="auto"/>
          <w:kern w:val="0"/>
          <w:szCs w:val="21"/>
          <w:highlight w:val="none"/>
          <w:lang w:val="en-US" w:eastAsia="zh-CN"/>
        </w:rPr>
        <w:t>或保险</w:t>
      </w:r>
      <w:r>
        <w:rPr>
          <w:rFonts w:hint="eastAsia" w:ascii="宋体" w:hAnsi="宋体" w:eastAsia="宋体" w:cs="Times New Roman"/>
          <w:color w:val="auto"/>
          <w:kern w:val="0"/>
          <w:szCs w:val="21"/>
          <w:highlight w:val="none"/>
        </w:rPr>
        <w:t>或担保）机构落实履约保函（或履约保证保险或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履约担保书）格式情况，以确保能按本招标文件规定的格式提供保函。</w:t>
      </w:r>
      <w:r>
        <w:rPr>
          <w:rFonts w:ascii="宋体" w:hAnsi="宋体" w:eastAsia="宋体" w:cs="Times New Roman"/>
          <w:color w:val="auto"/>
          <w:kern w:val="0"/>
          <w:szCs w:val="21"/>
          <w:highlight w:val="none"/>
        </w:rPr>
        <w:t>如使用其他格式的履约保函</w:t>
      </w:r>
      <w:r>
        <w:rPr>
          <w:rFonts w:hint="eastAsia" w:ascii="宋体" w:hAnsi="宋体" w:eastAsia="宋体" w:cs="Times New Roman"/>
          <w:color w:val="auto"/>
          <w:kern w:val="0"/>
          <w:szCs w:val="21"/>
          <w:highlight w:val="none"/>
        </w:rPr>
        <w:t>（或履约保证保险或</w:t>
      </w:r>
      <w:r>
        <w:rPr>
          <w:rFonts w:hint="eastAsia" w:ascii="宋体" w:hAnsi="宋体" w:eastAsia="宋体" w:cs="Times New Roman"/>
          <w:color w:val="auto"/>
          <w:kern w:val="0"/>
          <w:szCs w:val="21"/>
          <w:highlight w:val="none"/>
          <w:lang w:val="en-US" w:eastAsia="zh-CN"/>
        </w:rPr>
        <w:t>担保公司</w:t>
      </w:r>
      <w:r>
        <w:rPr>
          <w:rFonts w:hint="eastAsia" w:ascii="宋体" w:hAnsi="宋体" w:eastAsia="宋体" w:cs="Times New Roman"/>
          <w:color w:val="auto"/>
          <w:kern w:val="0"/>
          <w:szCs w:val="21"/>
          <w:highlight w:val="none"/>
        </w:rPr>
        <w:t>履约担保书）</w:t>
      </w:r>
      <w:r>
        <w:rPr>
          <w:rFonts w:ascii="宋体" w:hAnsi="宋体" w:eastAsia="宋体" w:cs="Times New Roman"/>
          <w:color w:val="auto"/>
          <w:kern w:val="0"/>
          <w:szCs w:val="21"/>
          <w:highlight w:val="none"/>
        </w:rPr>
        <w:t>，须事先经招标人的书面</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4BE6971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3</w:t>
      </w:r>
      <w:r>
        <w:rPr>
          <w:rFonts w:hint="eastAsia" w:ascii="宋体" w:hAnsi="宋体" w:eastAsia="宋体" w:cs="Times New Roman"/>
          <w:color w:val="auto"/>
          <w:kern w:val="0"/>
          <w:szCs w:val="21"/>
          <w:highlight w:val="none"/>
        </w:rPr>
        <w:t>）提供担保的担保机构经济性质须为</w:t>
      </w:r>
      <w:r>
        <w:rPr>
          <w:rFonts w:hint="eastAsia" w:ascii="宋体" w:hAnsi="宋体" w:eastAsia="宋体" w:cs="Times New Roman"/>
          <w:color w:val="auto"/>
          <w:kern w:val="0"/>
          <w:szCs w:val="21"/>
          <w:highlight w:val="none"/>
          <w:lang w:val="en-US" w:eastAsia="zh-CN"/>
        </w:rPr>
        <w:t>东莞</w:t>
      </w:r>
      <w:r>
        <w:rPr>
          <w:rFonts w:hint="eastAsia" w:ascii="宋体" w:hAnsi="宋体" w:eastAsia="宋体" w:cs="Times New Roman"/>
          <w:color w:val="auto"/>
          <w:kern w:val="0"/>
          <w:szCs w:val="21"/>
          <w:highlight w:val="none"/>
        </w:rPr>
        <w:t>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color w:val="auto"/>
          <w:kern w:val="0"/>
          <w:szCs w:val="21"/>
          <w:highlight w:val="none"/>
        </w:rPr>
        <w:t>。</w:t>
      </w:r>
    </w:p>
    <w:p w14:paraId="532D16B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rPr>
        <w:t>如果</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人提交的履约担保的有效期届满时间先于招标文件、合同文件要求的，</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人应在原提交的履约担保有效期届满前15</w:t>
      </w:r>
      <w:r>
        <w:rPr>
          <w:rFonts w:hint="eastAsia" w:ascii="宋体" w:hAnsi="宋体" w:eastAsia="宋体" w:cs="Times New Roman"/>
          <w:color w:val="auto"/>
          <w:kern w:val="0"/>
          <w:szCs w:val="21"/>
          <w:highlight w:val="none"/>
        </w:rPr>
        <w:t>日</w:t>
      </w:r>
      <w:r>
        <w:rPr>
          <w:rFonts w:ascii="宋体" w:hAnsi="宋体" w:eastAsia="宋体" w:cs="Times New Roman"/>
          <w:color w:val="auto"/>
          <w:kern w:val="0"/>
          <w:szCs w:val="21"/>
          <w:highlight w:val="none"/>
        </w:rPr>
        <w:t>内，无条件办理</w:t>
      </w:r>
      <w:r>
        <w:rPr>
          <w:rFonts w:hint="eastAsia" w:ascii="宋体" w:hAnsi="宋体" w:eastAsia="宋体" w:cs="Times New Roman"/>
          <w:color w:val="auto"/>
          <w:kern w:val="0"/>
          <w:szCs w:val="21"/>
          <w:highlight w:val="none"/>
        </w:rPr>
        <w:t>符合招标人要求的</w:t>
      </w:r>
      <w:r>
        <w:rPr>
          <w:rFonts w:ascii="宋体" w:hAnsi="宋体" w:eastAsia="宋体" w:cs="Times New Roman"/>
          <w:color w:val="auto"/>
          <w:kern w:val="0"/>
          <w:szCs w:val="21"/>
          <w:highlight w:val="none"/>
        </w:rPr>
        <w:t>履约担保延期手续，否则视为</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人违约，</w:t>
      </w:r>
      <w:r>
        <w:rPr>
          <w:rFonts w:hint="eastAsia" w:ascii="宋体" w:hAnsi="宋体" w:eastAsia="宋体" w:cs="Times New Roman"/>
          <w:color w:val="auto"/>
          <w:kern w:val="0"/>
          <w:szCs w:val="21"/>
          <w:highlight w:val="none"/>
        </w:rPr>
        <w:t>招标</w:t>
      </w:r>
      <w:r>
        <w:rPr>
          <w:rFonts w:ascii="宋体" w:hAnsi="宋体" w:eastAsia="宋体" w:cs="Times New Roman"/>
          <w:color w:val="auto"/>
          <w:kern w:val="0"/>
          <w:szCs w:val="21"/>
          <w:highlight w:val="none"/>
        </w:rPr>
        <w:t>人有权</w:t>
      </w:r>
      <w:r>
        <w:rPr>
          <w:rFonts w:hint="eastAsia" w:ascii="宋体" w:hAnsi="宋体" w:eastAsia="宋体" w:cs="Times New Roman"/>
          <w:color w:val="auto"/>
          <w:kern w:val="0"/>
          <w:szCs w:val="21"/>
          <w:highlight w:val="none"/>
        </w:rPr>
        <w:t>在不可撤销银行履约保函或履约保证保险或担保公司履约担保书到期前</w:t>
      </w:r>
      <w:r>
        <w:rPr>
          <w:rFonts w:ascii="宋体" w:hAnsi="宋体" w:eastAsia="宋体" w:cs="Times New Roman"/>
          <w:color w:val="auto"/>
          <w:kern w:val="0"/>
          <w:szCs w:val="21"/>
          <w:highlight w:val="none"/>
        </w:rPr>
        <w:t>向出具履约</w:t>
      </w:r>
      <w:r>
        <w:rPr>
          <w:rFonts w:hint="eastAsia" w:ascii="宋体" w:hAnsi="宋体" w:eastAsia="宋体" w:cs="Times New Roman"/>
          <w:color w:val="auto"/>
          <w:kern w:val="0"/>
          <w:szCs w:val="21"/>
          <w:highlight w:val="none"/>
        </w:rPr>
        <w:t>担保的机构</w:t>
      </w:r>
      <w:r>
        <w:rPr>
          <w:rFonts w:ascii="宋体" w:hAnsi="宋体" w:eastAsia="宋体" w:cs="Times New Roman"/>
          <w:color w:val="auto"/>
          <w:kern w:val="0"/>
          <w:szCs w:val="21"/>
          <w:highlight w:val="none"/>
        </w:rPr>
        <w:t>提取履约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金。</w:t>
      </w:r>
      <w:r>
        <w:rPr>
          <w:rFonts w:hint="eastAsia" w:ascii="宋体" w:hAnsi="宋体" w:eastAsia="宋体" w:cs="Times New Roman"/>
          <w:color w:val="auto"/>
          <w:kern w:val="0"/>
          <w:szCs w:val="21"/>
          <w:highlight w:val="none"/>
        </w:rPr>
        <w:t>在不可撤销银行履约保函</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1"/>
          <w:highlight w:val="none"/>
          <w:lang w:val="en-US" w:eastAsia="zh-CN"/>
        </w:rPr>
        <w:t>或</w:t>
      </w:r>
      <w:r>
        <w:rPr>
          <w:rFonts w:hint="eastAsia" w:ascii="宋体" w:hAnsi="宋体" w:eastAsia="宋体" w:cs="Times New Roman"/>
          <w:color w:val="auto"/>
          <w:kern w:val="0"/>
          <w:szCs w:val="21"/>
          <w:highlight w:val="none"/>
        </w:rPr>
        <w:t>担保公司履约担保书</w:t>
      </w:r>
      <w:r>
        <w:rPr>
          <w:rFonts w:hint="eastAsia" w:ascii="宋体" w:hAnsi="宋体" w:eastAsia="宋体" w:cs="Times New Roman"/>
          <w:color w:val="auto"/>
          <w:kern w:val="0"/>
          <w:szCs w:val="21"/>
          <w:highlight w:val="none"/>
          <w:lang w:eastAsia="zh-CN"/>
        </w:rPr>
        <w:t>）</w:t>
      </w:r>
      <w:r>
        <w:rPr>
          <w:rFonts w:hint="eastAsia" w:ascii="宋体" w:hAnsi="宋体" w:eastAsia="宋体" w:cs="Times New Roman"/>
          <w:color w:val="auto"/>
          <w:kern w:val="0"/>
          <w:szCs w:val="21"/>
          <w:highlight w:val="none"/>
        </w:rPr>
        <w:t>到期后中标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未按招标人要求重新提供的，招标人有权要求中标</w:t>
      </w:r>
      <w:r>
        <w:rPr>
          <w:rFonts w:ascii="宋体" w:hAnsi="宋体" w:eastAsia="宋体" w:cs="Times New Roman"/>
          <w:color w:val="auto"/>
          <w:kern w:val="0"/>
          <w:szCs w:val="21"/>
          <w:highlight w:val="none"/>
        </w:rPr>
        <w:t>人</w:t>
      </w:r>
      <w:r>
        <w:rPr>
          <w:rFonts w:hint="eastAsia" w:ascii="宋体" w:hAnsi="宋体" w:eastAsia="宋体" w:cs="Times New Roman"/>
          <w:color w:val="auto"/>
          <w:kern w:val="0"/>
          <w:szCs w:val="21"/>
          <w:highlight w:val="none"/>
        </w:rPr>
        <w:t>以履约担保金额为限承担违约金，违约金可直接从未付采购合同费用中扣除</w:t>
      </w:r>
      <w:r>
        <w:rPr>
          <w:rFonts w:ascii="宋体" w:hAnsi="宋体" w:eastAsia="宋体" w:cs="Times New Roman"/>
          <w:color w:val="auto"/>
          <w:kern w:val="0"/>
          <w:szCs w:val="21"/>
          <w:highlight w:val="none"/>
        </w:rPr>
        <w:t>。</w:t>
      </w:r>
    </w:p>
    <w:p w14:paraId="636B93B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5</w:t>
      </w:r>
      <w:r>
        <w:rPr>
          <w:rFonts w:hint="eastAsia" w:ascii="宋体" w:hAnsi="宋体" w:eastAsia="宋体" w:cs="Times New Roman"/>
          <w:color w:val="auto"/>
          <w:kern w:val="0"/>
          <w:szCs w:val="21"/>
          <w:highlight w:val="none"/>
        </w:rPr>
        <w:t>）在合同履行过程中，不论何种原因导致履约担保金数额不符合招标文件要求的，中标人应当在</w:t>
      </w:r>
      <w:r>
        <w:rPr>
          <w:rFonts w:ascii="宋体" w:hAnsi="宋体" w:eastAsia="宋体" w:cs="Times New Roman"/>
          <w:color w:val="auto"/>
          <w:kern w:val="0"/>
          <w:szCs w:val="21"/>
          <w:highlight w:val="none"/>
        </w:rPr>
        <w:t>5日内予以补足。逾期不予补足的，</w:t>
      </w:r>
      <w:r>
        <w:rPr>
          <w:rFonts w:hint="eastAsia" w:ascii="宋体" w:hAnsi="宋体" w:eastAsia="宋体" w:cs="Times New Roman"/>
          <w:color w:val="auto"/>
          <w:kern w:val="0"/>
          <w:szCs w:val="21"/>
          <w:highlight w:val="none"/>
        </w:rPr>
        <w:t>招标人有权按需补足的金额要求中标人承担违约金，并要求限期补足。如中标人仍不补足的，招标人有权单方解除合同，违约金可直接从未付合同款或履约担保中扣除。</w:t>
      </w:r>
    </w:p>
    <w:p w14:paraId="61A450F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（6）不</w:t>
      </w:r>
      <w:r>
        <w:rPr>
          <w:rFonts w:hint="eastAsia" w:ascii="宋体" w:hAnsi="宋体" w:eastAsia="宋体" w:cs="Times New Roman"/>
          <w:color w:val="auto"/>
          <w:kern w:val="0"/>
          <w:szCs w:val="21"/>
          <w:highlight w:val="none"/>
        </w:rPr>
        <w:t>可撤销银行履约保函（或履约保证保险或担保公司履约担保书）应</w:t>
      </w:r>
      <w:r>
        <w:rPr>
          <w:rFonts w:hint="eastAsia" w:ascii="宋体" w:hAnsi="宋体" w:eastAsia="宋体" w:cs="Times New Roman"/>
          <w:color w:val="auto"/>
          <w:kern w:val="0"/>
          <w:szCs w:val="21"/>
          <w:highlight w:val="none"/>
          <w:lang w:eastAsia="zh-CN"/>
        </w:rPr>
        <w:t>从合同签订之日起至合同期限届满并履行完毕相关服务义务且结算完毕之后二十八（28）个日历天内保持有效</w:t>
      </w:r>
      <w:r>
        <w:rPr>
          <w:rFonts w:hint="eastAsia" w:ascii="宋体" w:hAnsi="宋体" w:eastAsia="宋体" w:cs="宋体"/>
          <w:color w:val="auto"/>
          <w:kern w:val="0"/>
          <w:szCs w:val="21"/>
          <w:highlight w:val="none"/>
        </w:rPr>
        <w:t>。</w:t>
      </w:r>
    </w:p>
    <w:p w14:paraId="5C2F79D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3C336E8E">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w:t>
      </w:r>
      <w:r>
        <w:rPr>
          <w:rFonts w:ascii="宋体" w:hAnsi="宋体" w:eastAsia="宋体" w:cs="Times New Roman"/>
          <w:color w:val="auto"/>
          <w:kern w:val="0"/>
          <w:szCs w:val="21"/>
          <w:highlight w:val="none"/>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highlight w:val="none"/>
        </w:rPr>
        <w:t>中标</w:t>
      </w:r>
      <w:r>
        <w:rPr>
          <w:rFonts w:ascii="宋体" w:hAnsi="宋体" w:eastAsia="宋体" w:cs="Times New Roman"/>
          <w:color w:val="auto"/>
          <w:kern w:val="0"/>
          <w:szCs w:val="21"/>
          <w:highlight w:val="none"/>
        </w:rPr>
        <w:t>人的法人书面授权，不接受由私人账户和其它单位转入的保证金</w:t>
      </w:r>
      <w:r>
        <w:rPr>
          <w:rFonts w:hint="eastAsia" w:ascii="宋体" w:hAnsi="宋体" w:eastAsia="宋体" w:cs="Times New Roman"/>
          <w:color w:val="auto"/>
          <w:kern w:val="0"/>
          <w:szCs w:val="21"/>
          <w:highlight w:val="none"/>
        </w:rPr>
        <w:t>，也不接受现金形式提交</w:t>
      </w:r>
      <w:r>
        <w:rPr>
          <w:rFonts w:ascii="宋体" w:hAnsi="宋体" w:eastAsia="宋体" w:cs="Times New Roman"/>
          <w:color w:val="auto"/>
          <w:kern w:val="0"/>
          <w:szCs w:val="21"/>
          <w:highlight w:val="none"/>
        </w:rPr>
        <w:t>。履约保证金应以存入招标人指定的</w:t>
      </w:r>
      <w:r>
        <w:rPr>
          <w:rFonts w:hint="eastAsia" w:ascii="宋体" w:hAnsi="宋体" w:eastAsia="宋体" w:cs="Times New Roman"/>
          <w:color w:val="auto"/>
          <w:kern w:val="0"/>
          <w:szCs w:val="21"/>
          <w:highlight w:val="none"/>
        </w:rPr>
        <w:t>以下</w:t>
      </w:r>
      <w:r>
        <w:rPr>
          <w:rFonts w:ascii="宋体" w:hAnsi="宋体" w:eastAsia="宋体" w:cs="Times New Roman"/>
          <w:color w:val="auto"/>
          <w:kern w:val="0"/>
          <w:szCs w:val="21"/>
          <w:highlight w:val="none"/>
        </w:rPr>
        <w:t>银行账户为准</w:t>
      </w:r>
      <w:r>
        <w:rPr>
          <w:rFonts w:hint="eastAsia" w:ascii="宋体" w:hAnsi="宋体" w:eastAsia="宋体" w:cs="宋体"/>
          <w:color w:val="auto"/>
          <w:kern w:val="0"/>
          <w:szCs w:val="21"/>
          <w:highlight w:val="none"/>
        </w:rPr>
        <w:t>。</w:t>
      </w:r>
    </w:p>
    <w:p w14:paraId="3CAA9578">
      <w:pPr>
        <w:tabs>
          <w:tab w:val="left" w:pos="360"/>
          <w:tab w:val="left" w:pos="4725"/>
        </w:tabs>
        <w:autoSpaceDE w:val="0"/>
        <w:autoSpaceDN w:val="0"/>
        <w:adjustRightInd w:val="0"/>
        <w:spacing w:line="360" w:lineRule="auto"/>
        <w:ind w:firstLine="632" w:firstLineChars="300"/>
        <w:jc w:val="left"/>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0AC70540">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Times New Roman"/>
          <w:b/>
          <w:color w:val="auto"/>
          <w:kern w:val="0"/>
          <w:szCs w:val="21"/>
          <w:highlight w:val="none"/>
        </w:rPr>
        <w:t>开户</w:t>
      </w:r>
      <w:r>
        <w:rPr>
          <w:rFonts w:hint="eastAsia" w:ascii="宋体" w:hAnsi="宋体" w:eastAsia="宋体" w:cs="宋体"/>
          <w:b/>
          <w:color w:val="auto"/>
          <w:kern w:val="0"/>
          <w:szCs w:val="21"/>
          <w:highlight w:val="none"/>
        </w:rPr>
        <w:t>名称：东莞市水务集团建设管理有限公司</w:t>
      </w:r>
    </w:p>
    <w:p w14:paraId="5B09740C">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银行账号：2010021309200628330</w:t>
      </w:r>
    </w:p>
    <w:p w14:paraId="4EF5164E">
      <w:pPr>
        <w:tabs>
          <w:tab w:val="left" w:pos="360"/>
          <w:tab w:val="left" w:pos="4725"/>
        </w:tabs>
        <w:autoSpaceDE w:val="0"/>
        <w:autoSpaceDN w:val="0"/>
        <w:adjustRightInd w:val="0"/>
        <w:spacing w:line="360" w:lineRule="auto"/>
        <w:ind w:firstLine="632" w:firstLineChars="3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开户银行：中国工商银行股份有限公司东莞分行</w:t>
      </w:r>
    </w:p>
    <w:p w14:paraId="068DF305">
      <w:pPr>
        <w:autoSpaceDE w:val="0"/>
        <w:autoSpaceDN w:val="0"/>
        <w:adjustRightInd w:val="0"/>
        <w:spacing w:line="360" w:lineRule="auto"/>
        <w:ind w:left="420" w:leftChars="-100" w:hanging="630" w:hangingChars="3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35.6</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中标</w:t>
      </w:r>
      <w:r>
        <w:rPr>
          <w:rFonts w:hint="eastAsia" w:ascii="宋体" w:hAnsi="宋体" w:eastAsia="宋体" w:cs="Times New Roman"/>
          <w:color w:val="auto"/>
          <w:kern w:val="0"/>
          <w:szCs w:val="24"/>
          <w:highlight w:val="none"/>
        </w:rPr>
        <w:t>单位提交了履约担保后，当履约保证金转达招标人履约保证金账户后，</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人将履约保证金的汇款凭证用A4纸复印件（</w:t>
      </w:r>
      <w:r>
        <w:rPr>
          <w:rFonts w:hint="eastAsia" w:ascii="宋体" w:hAnsi="宋体" w:eastAsia="宋体" w:cs="Times New Roman"/>
          <w:bCs/>
          <w:color w:val="auto"/>
          <w:kern w:val="0"/>
          <w:szCs w:val="24"/>
          <w:highlight w:val="none"/>
        </w:rPr>
        <w:t>注明</w:t>
      </w:r>
      <w:r>
        <w:rPr>
          <w:rFonts w:hint="eastAsia" w:ascii="宋体" w:hAnsi="宋体" w:eastAsia="宋体" w:cs="Times New Roman"/>
          <w:bCs/>
          <w:color w:val="auto"/>
          <w:szCs w:val="21"/>
          <w:highlight w:val="none"/>
          <w:lang w:val="zh-CN"/>
        </w:rPr>
        <w:t>招标</w:t>
      </w:r>
      <w:r>
        <w:rPr>
          <w:rFonts w:hint="eastAsia" w:ascii="宋体" w:hAnsi="宋体" w:eastAsia="宋体" w:cs="Times New Roman"/>
          <w:bCs/>
          <w:color w:val="auto"/>
          <w:kern w:val="0"/>
          <w:szCs w:val="24"/>
          <w:highlight w:val="none"/>
        </w:rPr>
        <w:t>编号</w:t>
      </w:r>
      <w:r>
        <w:rPr>
          <w:rFonts w:hint="eastAsia" w:ascii="宋体" w:hAnsi="宋体" w:eastAsia="宋体" w:cs="Times New Roman"/>
          <w:color w:val="auto"/>
          <w:kern w:val="0"/>
          <w:szCs w:val="24"/>
          <w:highlight w:val="none"/>
        </w:rPr>
        <w:t>）一式二份并加盖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人的公章送招标代理机构，[或当中标人采取不可撤销银行履约保函（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或担保公司履约担保书）的方式缴纳履约担保时，中标人将不可撤销银行履约保函（</w:t>
      </w:r>
      <w:r>
        <w:rPr>
          <w:rFonts w:hint="eastAsia" w:ascii="宋体" w:hAnsi="宋体" w:eastAsia="宋体" w:cs="Times New Roman"/>
          <w:color w:val="auto"/>
          <w:kern w:val="0"/>
          <w:szCs w:val="21"/>
          <w:highlight w:val="none"/>
        </w:rPr>
        <w:t>或履约保证保险</w:t>
      </w:r>
      <w:r>
        <w:rPr>
          <w:rFonts w:hint="eastAsia" w:ascii="宋体" w:hAnsi="宋体" w:eastAsia="宋体" w:cs="Times New Roman"/>
          <w:color w:val="auto"/>
          <w:kern w:val="0"/>
          <w:szCs w:val="24"/>
          <w:highlight w:val="none"/>
        </w:rPr>
        <w:t>或担保公司履约担保书）原件</w:t>
      </w:r>
      <w:r>
        <w:rPr>
          <w:rFonts w:hint="eastAsia" w:ascii="宋体" w:hAnsi="宋体" w:eastAsia="宋体" w:cs="Times New Roman"/>
          <w:color w:val="auto"/>
          <w:szCs w:val="21"/>
          <w:highlight w:val="none"/>
          <w:lang w:val="zh-CN"/>
        </w:rPr>
        <w:t>交给招标人，由招标人在</w:t>
      </w:r>
      <w:r>
        <w:rPr>
          <w:rFonts w:hint="eastAsia" w:ascii="宋体" w:hAnsi="宋体" w:eastAsia="宋体" w:cs="Times New Roman"/>
          <w:color w:val="auto"/>
          <w:kern w:val="0"/>
          <w:szCs w:val="24"/>
          <w:highlight w:val="none"/>
        </w:rPr>
        <w:t>履约保函一式两份复印件上</w:t>
      </w:r>
      <w:r>
        <w:rPr>
          <w:rFonts w:hint="eastAsia" w:ascii="宋体" w:hAnsi="宋体" w:eastAsia="宋体" w:cs="Times New Roman"/>
          <w:color w:val="auto"/>
          <w:szCs w:val="21"/>
          <w:highlight w:val="none"/>
          <w:lang w:val="zh-CN"/>
        </w:rPr>
        <w:t>注明“原件已收”及签收人、日期后，中标人在每份复印件上</w:t>
      </w:r>
      <w:r>
        <w:rPr>
          <w:rFonts w:hint="eastAsia" w:ascii="宋体" w:hAnsi="宋体" w:eastAsia="宋体" w:cs="Times New Roman"/>
          <w:color w:val="auto"/>
          <w:kern w:val="0"/>
          <w:szCs w:val="24"/>
          <w:highlight w:val="none"/>
        </w:rPr>
        <w:t>加盖</w:t>
      </w:r>
      <w:r>
        <w:rPr>
          <w:rFonts w:hint="eastAsia" w:ascii="宋体" w:hAnsi="宋体" w:eastAsia="宋体" w:cs="Times New Roman"/>
          <w:color w:val="auto"/>
          <w:szCs w:val="21"/>
          <w:highlight w:val="none"/>
          <w:lang w:val="zh-CN"/>
        </w:rPr>
        <w:t>中标</w:t>
      </w:r>
      <w:r>
        <w:rPr>
          <w:rFonts w:hint="eastAsia" w:ascii="宋体" w:hAnsi="宋体" w:eastAsia="宋体" w:cs="Times New Roman"/>
          <w:color w:val="auto"/>
          <w:kern w:val="0"/>
          <w:szCs w:val="24"/>
          <w:highlight w:val="none"/>
        </w:rPr>
        <w:t>人的公章，送招标代理机构]</w:t>
      </w:r>
      <w:r>
        <w:rPr>
          <w:rFonts w:hint="eastAsia" w:ascii="宋体" w:hAnsi="宋体" w:eastAsia="宋体" w:cs="宋体"/>
          <w:color w:val="auto"/>
          <w:kern w:val="0"/>
          <w:szCs w:val="21"/>
          <w:highlight w:val="none"/>
        </w:rPr>
        <w:t>。</w:t>
      </w:r>
    </w:p>
    <w:p w14:paraId="38C234F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highlight w:val="none"/>
        </w:rPr>
      </w:pPr>
      <w:r>
        <w:rPr>
          <w:rFonts w:hint="eastAsia" w:ascii="宋体" w:hAnsi="宋体" w:eastAsia="宋体" w:cs="Times New Roman"/>
          <w:color w:val="auto"/>
          <w:kern w:val="0"/>
          <w:szCs w:val="24"/>
          <w:highlight w:val="none"/>
        </w:rPr>
        <w:t>35.7</w:t>
      </w:r>
      <w:r>
        <w:rPr>
          <w:rFonts w:ascii="宋体" w:hAnsi="宋体" w:eastAsia="宋体" w:cs="Times New Roman"/>
          <w:color w:val="auto"/>
          <w:kern w:val="0"/>
          <w:szCs w:val="24"/>
          <w:highlight w:val="none"/>
        </w:rPr>
        <w:t xml:space="preserve">  </w:t>
      </w:r>
      <w:r>
        <w:rPr>
          <w:rFonts w:hint="eastAsia" w:ascii="宋体" w:hAnsi="宋体" w:eastAsia="宋体" w:cs="宋体"/>
          <w:color w:val="auto"/>
          <w:kern w:val="0"/>
          <w:szCs w:val="21"/>
          <w:highlight w:val="none"/>
        </w:rPr>
        <w:t>中标人以履约保证金（银行转账形式）提供履约担保的在依法完成本项目的所有合同义务，且结算完毕之后二十八（28）个日历天</w:t>
      </w:r>
      <w:r>
        <w:rPr>
          <w:rFonts w:ascii="宋体" w:hAnsi="宋体" w:eastAsia="宋体" w:cs="宋体"/>
          <w:color w:val="auto"/>
          <w:kern w:val="0"/>
          <w:szCs w:val="21"/>
          <w:highlight w:val="none"/>
        </w:rPr>
        <w:t>后</w:t>
      </w:r>
      <w:r>
        <w:rPr>
          <w:rFonts w:hint="eastAsia" w:ascii="宋体" w:hAnsi="宋体" w:eastAsia="宋体" w:cs="宋体"/>
          <w:color w:val="auto"/>
          <w:kern w:val="0"/>
          <w:szCs w:val="21"/>
          <w:highlight w:val="none"/>
        </w:rPr>
        <w:t>，经招标人确认，中标人可向招标人提交退回履约担保的申请。招标人审核无异议后，办理履约担保退还手续，退回时一律以银行转账的形式无息退回到中标人的</w:t>
      </w:r>
      <w:r>
        <w:rPr>
          <w:rFonts w:hint="eastAsia" w:ascii="宋体" w:hAnsi="宋体" w:eastAsia="宋体" w:cs="宋体"/>
          <w:color w:val="auto"/>
          <w:kern w:val="0"/>
          <w:szCs w:val="21"/>
          <w:highlight w:val="none"/>
          <w:lang w:val="en-US" w:eastAsia="zh-CN"/>
        </w:rPr>
        <w:t>账户</w:t>
      </w:r>
      <w:r>
        <w:rPr>
          <w:rFonts w:hint="eastAsia" w:ascii="宋体" w:hAnsi="宋体" w:eastAsia="宋体" w:cs="宋体"/>
          <w:color w:val="auto"/>
          <w:kern w:val="0"/>
          <w:szCs w:val="21"/>
          <w:highlight w:val="none"/>
        </w:rPr>
        <w:t>。</w:t>
      </w:r>
    </w:p>
    <w:p w14:paraId="492775C2">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rPr>
      </w:pPr>
    </w:p>
    <w:p w14:paraId="792B4F53">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0" w:name="_Toc18846"/>
      <w:bookmarkStart w:id="461" w:name="_Toc27162"/>
      <w:bookmarkStart w:id="462" w:name="_Toc142508353"/>
      <w:bookmarkStart w:id="463" w:name="_Toc10548"/>
      <w:bookmarkStart w:id="464" w:name="_Toc9976"/>
      <w:bookmarkStart w:id="465" w:name="_Toc486167702"/>
      <w:bookmarkStart w:id="466" w:name="_Toc10361"/>
      <w:bookmarkStart w:id="467" w:name="_Toc824"/>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458"/>
      <w:bookmarkEnd w:id="459"/>
      <w:bookmarkEnd w:id="460"/>
      <w:bookmarkEnd w:id="461"/>
      <w:bookmarkEnd w:id="462"/>
      <w:bookmarkEnd w:id="463"/>
      <w:bookmarkEnd w:id="464"/>
      <w:bookmarkEnd w:id="465"/>
      <w:bookmarkEnd w:id="466"/>
      <w:bookmarkEnd w:id="467"/>
    </w:p>
    <w:p w14:paraId="5DFAE0EE">
      <w:pPr>
        <w:autoSpaceDE w:val="0"/>
        <w:autoSpaceDN w:val="0"/>
        <w:adjustRightInd w:val="0"/>
        <w:spacing w:line="360" w:lineRule="auto"/>
        <w:ind w:left="328" w:leftChars="-114" w:hanging="567" w:hanging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36.1</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合同履行中</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招标</w:t>
      </w:r>
      <w:r>
        <w:rPr>
          <w:rFonts w:ascii="宋体" w:hAnsi="宋体" w:eastAsia="宋体" w:cs="宋体"/>
          <w:color w:val="auto"/>
          <w:kern w:val="0"/>
          <w:szCs w:val="21"/>
          <w:highlight w:val="none"/>
        </w:rPr>
        <w:t>人</w:t>
      </w:r>
      <w:r>
        <w:rPr>
          <w:rFonts w:hint="eastAsia" w:ascii="宋体" w:hAnsi="宋体" w:eastAsia="宋体" w:cs="宋体"/>
          <w:color w:val="auto"/>
          <w:kern w:val="0"/>
          <w:szCs w:val="21"/>
          <w:highlight w:val="none"/>
        </w:rPr>
        <w:t>在合同约定的范围内，招标人有权根据项目实际情况及有关法律法规、政策的规定对采购范围进行变更调整，变更采购范围后，投标人应遵照执行。</w:t>
      </w:r>
    </w:p>
    <w:p w14:paraId="5DEC0DE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68" w:name="_Toc450662888"/>
    </w:p>
    <w:p w14:paraId="4D4EFA6B">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69" w:name="_Toc23218"/>
      <w:bookmarkStart w:id="470" w:name="_Toc26429"/>
      <w:bookmarkStart w:id="471" w:name="_Toc486167703"/>
      <w:bookmarkStart w:id="472" w:name="_Toc142508354"/>
      <w:bookmarkStart w:id="473" w:name="_Toc2401"/>
      <w:bookmarkStart w:id="474" w:name="_Toc28921_WPSOffice_Level3"/>
      <w:bookmarkStart w:id="475" w:name="_Toc19356"/>
      <w:bookmarkStart w:id="476" w:name="_Toc2753"/>
      <w:bookmarkStart w:id="477" w:name="_Toc19013"/>
      <w:r>
        <w:rPr>
          <w:rFonts w:hint="eastAsia" w:ascii="宋体" w:hAnsi="宋体" w:eastAsia="宋体" w:cs="宋体"/>
          <w:color w:val="auto"/>
          <w:szCs w:val="21"/>
          <w:highlight w:val="none"/>
        </w:rPr>
        <w:t>37</w:t>
      </w:r>
      <w:r>
        <w:rPr>
          <w:rFonts w:ascii="宋体" w:hAnsi="宋体" w:eastAsia="宋体" w:cs="宋体"/>
          <w:color w:val="auto"/>
          <w:szCs w:val="21"/>
          <w:highlight w:val="none"/>
          <w:lang w:val="zh-CN"/>
        </w:rPr>
        <w:t xml:space="preserve"> </w:t>
      </w:r>
      <w:r>
        <w:rPr>
          <w:rFonts w:hint="eastAsia" w:ascii="宋体" w:hAnsi="宋体" w:eastAsia="宋体" w:cs="宋体"/>
          <w:color w:val="auto"/>
          <w:szCs w:val="21"/>
          <w:highlight w:val="none"/>
          <w:lang w:val="zh-CN"/>
        </w:rPr>
        <w:t>中标服务费</w:t>
      </w:r>
      <w:bookmarkEnd w:id="468"/>
      <w:bookmarkEnd w:id="469"/>
      <w:bookmarkEnd w:id="470"/>
      <w:bookmarkEnd w:id="471"/>
      <w:bookmarkEnd w:id="472"/>
      <w:bookmarkEnd w:id="473"/>
      <w:bookmarkEnd w:id="474"/>
      <w:bookmarkEnd w:id="475"/>
      <w:bookmarkEnd w:id="476"/>
      <w:bookmarkEnd w:id="477"/>
    </w:p>
    <w:p w14:paraId="5CBCAA8B">
      <w:pPr>
        <w:autoSpaceDE w:val="0"/>
        <w:autoSpaceDN w:val="0"/>
        <w:adjustRightInd w:val="0"/>
        <w:spacing w:line="360" w:lineRule="auto"/>
        <w:ind w:left="357" w:leftChars="-100" w:hanging="567" w:hangingChars="270"/>
        <w:jc w:val="left"/>
        <w:rPr>
          <w:rFonts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w:t>
      </w:r>
      <w:r>
        <w:rPr>
          <w:rFonts w:hint="eastAsia" w:ascii="宋体" w:hAnsi="宋体" w:eastAsia="宋体" w:cs="宋体"/>
          <w:color w:val="auto"/>
          <w:szCs w:val="21"/>
          <w:highlight w:val="none"/>
          <w:lang w:val="en-US"/>
        </w:rPr>
        <w:t>项目业主</w:t>
      </w:r>
      <w:r>
        <w:rPr>
          <w:rFonts w:hint="eastAsia" w:ascii="宋体" w:hAnsi="宋体" w:eastAsia="宋体" w:cs="宋体"/>
          <w:color w:val="auto"/>
          <w:szCs w:val="21"/>
          <w:highlight w:val="none"/>
          <w:lang w:val="en-US" w:eastAsia="zh-CN"/>
        </w:rPr>
        <w:t>或招标人</w:t>
      </w:r>
      <w:r>
        <w:rPr>
          <w:rFonts w:hint="eastAsia" w:ascii="宋体" w:hAnsi="宋体" w:eastAsia="宋体" w:cs="宋体"/>
          <w:color w:val="auto"/>
          <w:szCs w:val="21"/>
          <w:highlight w:val="none"/>
          <w:lang w:val="zh-CN"/>
        </w:rPr>
        <w:t>向招标代理机构支付。</w:t>
      </w:r>
    </w:p>
    <w:p w14:paraId="5BC49E20">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highlight w:val="none"/>
          <w:lang w:val="zh-CN"/>
        </w:rPr>
      </w:pPr>
      <w:bookmarkStart w:id="478" w:name="_Toc450662889"/>
    </w:p>
    <w:p w14:paraId="461E58A0">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lang w:val="zh-CN"/>
        </w:rPr>
      </w:pPr>
      <w:bookmarkStart w:id="479" w:name="_Toc5441"/>
      <w:bookmarkStart w:id="480" w:name="_Toc6764_WPSOffice_Level3"/>
      <w:bookmarkStart w:id="481" w:name="_Toc6796"/>
      <w:bookmarkStart w:id="482" w:name="_Toc486167704"/>
      <w:bookmarkStart w:id="483" w:name="_Toc142508355"/>
      <w:bookmarkStart w:id="484" w:name="_Toc21985"/>
      <w:bookmarkStart w:id="485" w:name="_Toc21757"/>
      <w:bookmarkStart w:id="486" w:name="_Toc8015"/>
      <w:bookmarkStart w:id="487" w:name="_Toc31743"/>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478"/>
      <w:bookmarkEnd w:id="479"/>
      <w:bookmarkEnd w:id="480"/>
      <w:bookmarkEnd w:id="481"/>
      <w:bookmarkEnd w:id="482"/>
      <w:bookmarkEnd w:id="483"/>
      <w:bookmarkEnd w:id="484"/>
      <w:bookmarkEnd w:id="485"/>
      <w:bookmarkEnd w:id="486"/>
      <w:bookmarkEnd w:id="487"/>
    </w:p>
    <w:p w14:paraId="6164EC03">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488" w:name="_Toc486167705"/>
      <w:bookmarkStart w:id="489" w:name="_Toc31106_WPSOffice_Level3"/>
      <w:r>
        <w:rPr>
          <w:rFonts w:hint="eastAsia" w:ascii="宋体" w:hAnsi="宋体" w:eastAsia="宋体" w:cs="Times New Roman"/>
          <w:color w:val="auto"/>
          <w:szCs w:val="21"/>
          <w:highlight w:val="none"/>
          <w:lang w:val="zh-CN"/>
        </w:rPr>
        <w:t>该项目获得中标的中标人在执行合同过程中，向</w:t>
      </w:r>
      <w:r>
        <w:rPr>
          <w:rFonts w:hint="eastAsia" w:ascii="宋体" w:hAnsi="宋体" w:eastAsia="宋体" w:cs="宋体"/>
          <w:color w:val="auto"/>
          <w:szCs w:val="21"/>
          <w:highlight w:val="none"/>
          <w:lang w:val="zh-CN"/>
        </w:rPr>
        <w:t>项目业主或招标人</w:t>
      </w:r>
      <w:r>
        <w:rPr>
          <w:rFonts w:hint="eastAsia" w:ascii="宋体" w:hAnsi="宋体" w:eastAsia="宋体" w:cs="Times New Roman"/>
          <w:color w:val="auto"/>
          <w:szCs w:val="21"/>
          <w:highlight w:val="none"/>
          <w:lang w:val="zh-CN"/>
        </w:rPr>
        <w:t>出具的发票必须是由中标人开具，不得以其他单位或个人名义出具，本项目中标人向</w:t>
      </w:r>
      <w:r>
        <w:rPr>
          <w:rFonts w:hint="eastAsia" w:ascii="宋体" w:hAnsi="宋体" w:eastAsia="宋体" w:cs="宋体"/>
          <w:color w:val="auto"/>
          <w:szCs w:val="21"/>
          <w:highlight w:val="none"/>
          <w:lang w:val="zh-CN"/>
        </w:rPr>
        <w:t>项目业主或招标人</w:t>
      </w:r>
      <w:r>
        <w:rPr>
          <w:rFonts w:hint="eastAsia" w:ascii="宋体" w:hAnsi="宋体" w:eastAsia="宋体" w:cs="Times New Roman"/>
          <w:color w:val="auto"/>
          <w:szCs w:val="21"/>
          <w:highlight w:val="none"/>
          <w:lang w:val="zh-CN"/>
        </w:rPr>
        <w:t>出具的发票类型为增值税</w:t>
      </w:r>
      <w:r>
        <w:rPr>
          <w:rFonts w:hint="eastAsia" w:ascii="宋体" w:hAnsi="宋体" w:eastAsia="宋体" w:cs="Times New Roman"/>
          <w:color w:val="auto"/>
          <w:szCs w:val="21"/>
          <w:highlight w:val="none"/>
          <w:lang w:val="en-US" w:eastAsia="zh-CN"/>
        </w:rPr>
        <w:t>普通</w:t>
      </w:r>
      <w:r>
        <w:rPr>
          <w:rFonts w:hint="eastAsia" w:ascii="宋体" w:hAnsi="宋体" w:eastAsia="宋体" w:cs="Times New Roman"/>
          <w:color w:val="auto"/>
          <w:szCs w:val="21"/>
          <w:highlight w:val="none"/>
          <w:lang w:val="zh-CN"/>
        </w:rPr>
        <w:t>发票。</w:t>
      </w:r>
    </w:p>
    <w:p w14:paraId="328DA11E">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4A48B0D3">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rPr>
      </w:pPr>
      <w:bookmarkStart w:id="490" w:name="_Toc27075"/>
      <w:bookmarkStart w:id="491" w:name="_Toc142508356"/>
      <w:bookmarkStart w:id="492" w:name="_Toc10728"/>
      <w:bookmarkStart w:id="493" w:name="_Toc8619"/>
      <w:bookmarkStart w:id="494" w:name="_Toc24547"/>
      <w:bookmarkStart w:id="495" w:name="_Toc9576"/>
      <w:bookmarkStart w:id="496" w:name="_Toc7707"/>
      <w:r>
        <w:rPr>
          <w:rFonts w:ascii="宋体" w:hAnsi="宋体" w:eastAsia="宋体" w:cs="宋体"/>
          <w:b/>
          <w:color w:val="auto"/>
          <w:szCs w:val="21"/>
          <w:highlight w:val="none"/>
        </w:rPr>
        <w:t>39 招标相关补充约定</w:t>
      </w:r>
      <w:bookmarkEnd w:id="490"/>
      <w:bookmarkEnd w:id="491"/>
      <w:bookmarkEnd w:id="492"/>
      <w:bookmarkEnd w:id="493"/>
      <w:bookmarkEnd w:id="494"/>
      <w:bookmarkEnd w:id="495"/>
      <w:bookmarkEnd w:id="496"/>
    </w:p>
    <w:p w14:paraId="316E329B">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highlight w:val="none"/>
        </w:rPr>
      </w:pPr>
      <w:r>
        <w:rPr>
          <w:rFonts w:ascii="宋体" w:hAnsi="宋体" w:eastAsia="宋体" w:cs="Times New Roman"/>
          <w:b/>
          <w:color w:val="auto"/>
          <w:szCs w:val="21"/>
          <w:highlight w:val="none"/>
        </w:rPr>
        <w:t>39.1</w:t>
      </w:r>
      <w:r>
        <w:rPr>
          <w:rFonts w:ascii="宋体" w:hAnsi="宋体" w:eastAsia="宋体" w:cs="Times New Roman"/>
          <w:b/>
          <w:color w:val="auto"/>
          <w:szCs w:val="21"/>
          <w:highlight w:val="none"/>
        </w:rPr>
        <w:tab/>
      </w:r>
      <w:r>
        <w:rPr>
          <w:rFonts w:ascii="宋体" w:hAnsi="宋体" w:eastAsia="宋体" w:cs="Times New Roman"/>
          <w:b/>
          <w:color w:val="auto"/>
          <w:szCs w:val="21"/>
          <w:highlight w:val="none"/>
        </w:rPr>
        <w:t>本项目投标人须知第2条所述行政处罚信息，以开标</w:t>
      </w:r>
      <w:r>
        <w:rPr>
          <w:rFonts w:hint="eastAsia" w:ascii="宋体" w:hAnsi="宋体" w:eastAsia="宋体" w:cs="Times New Roman"/>
          <w:b/>
          <w:color w:val="auto"/>
          <w:szCs w:val="21"/>
          <w:highlight w:val="none"/>
          <w:lang w:val="en-US" w:eastAsia="zh-CN"/>
        </w:rPr>
        <w:t>当天</w:t>
      </w:r>
      <w:r>
        <w:rPr>
          <w:rFonts w:ascii="宋体" w:hAnsi="宋体" w:eastAsia="宋体" w:cs="Times New Roman"/>
          <w:b/>
          <w:color w:val="auto"/>
          <w:szCs w:val="21"/>
          <w:highlight w:val="none"/>
        </w:rPr>
        <w:t>在“信用中国”网站（www.creditchina.gov.cn）查询结果为准</w:t>
      </w:r>
      <w:r>
        <w:rPr>
          <w:rFonts w:hint="eastAsia" w:ascii="宋体" w:hAnsi="宋体" w:eastAsia="宋体" w:cs="Times New Roman"/>
          <w:b/>
          <w:color w:val="auto"/>
          <w:szCs w:val="21"/>
          <w:highlight w:val="none"/>
        </w:rPr>
        <w:t>，或以司法、仲裁机构等出具的生效文件予以认定,时间以认定文件的落款时间为准</w:t>
      </w:r>
      <w:r>
        <w:rPr>
          <w:rFonts w:ascii="宋体" w:hAnsi="宋体" w:eastAsia="宋体" w:cs="Times New Roman"/>
          <w:b/>
          <w:color w:val="auto"/>
          <w:szCs w:val="21"/>
          <w:highlight w:val="none"/>
        </w:rPr>
        <w:t>。开标结束后，有关投标单位的行政处罚信息，以</w:t>
      </w:r>
      <w:r>
        <w:rPr>
          <w:rFonts w:hint="eastAsia" w:ascii="宋体" w:hAnsi="宋体" w:eastAsia="宋体" w:cs="Times New Roman"/>
          <w:b/>
          <w:color w:val="auto"/>
          <w:szCs w:val="21"/>
          <w:highlight w:val="none"/>
          <w:lang w:val="en-US" w:eastAsia="zh-CN"/>
        </w:rPr>
        <w:t>开标当天查询</w:t>
      </w:r>
      <w:r>
        <w:rPr>
          <w:rFonts w:ascii="宋体" w:hAnsi="宋体" w:eastAsia="宋体" w:cs="Times New Roman"/>
          <w:b/>
          <w:color w:val="auto"/>
          <w:szCs w:val="21"/>
          <w:highlight w:val="none"/>
        </w:rPr>
        <w:t>结果为准；结果公示期间，如投标人对有关投标单位的行政处罚信息存在异议，但不涉及第一中标候选人的，视为对中标结果没有造成实质影响。</w:t>
      </w:r>
    </w:p>
    <w:p w14:paraId="28DA81D5">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highlight w:val="none"/>
          <w:lang w:val="zh-CN"/>
        </w:rPr>
      </w:pPr>
      <w:bookmarkStart w:id="497" w:name="_Toc15481"/>
      <w:bookmarkStart w:id="498" w:name="_Toc17346"/>
      <w:bookmarkStart w:id="499" w:name="_Toc13789"/>
      <w:bookmarkStart w:id="500" w:name="_Toc9735"/>
      <w:bookmarkStart w:id="501" w:name="_Toc28187"/>
      <w:r>
        <w:rPr>
          <w:rFonts w:hint="eastAsia" w:ascii="宋体" w:hAnsi="宋体" w:eastAsia="宋体" w:cs="宋体"/>
          <w:b/>
          <w:color w:val="auto"/>
          <w:szCs w:val="21"/>
          <w:highlight w:val="none"/>
          <w:lang w:val="zh-CN"/>
        </w:rPr>
        <w:t>3</w:t>
      </w:r>
      <w:r>
        <w:rPr>
          <w:rFonts w:hint="eastAsia" w:ascii="宋体" w:hAnsi="宋体" w:eastAsia="宋体" w:cs="宋体"/>
          <w:b/>
          <w:color w:val="auto"/>
          <w:szCs w:val="21"/>
          <w:highlight w:val="none"/>
        </w:rPr>
        <w:t>9</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rPr>
        <w:t>2</w:t>
      </w:r>
      <w:r>
        <w:rPr>
          <w:rFonts w:hint="eastAsia" w:ascii="宋体" w:hAnsi="宋体" w:eastAsia="宋体" w:cs="宋体"/>
          <w:b/>
          <w:color w:val="auto"/>
          <w:szCs w:val="21"/>
          <w:highlight w:val="none"/>
          <w:lang w:val="zh-CN"/>
        </w:rPr>
        <w:t xml:space="preserve"> 已参与本工程的勘察</w:t>
      </w:r>
      <w:r>
        <w:rPr>
          <w:rFonts w:hint="eastAsia" w:ascii="宋体" w:hAnsi="宋体" w:eastAsia="宋体" w:cs="宋体"/>
          <w:b/>
          <w:color w:val="auto"/>
          <w:szCs w:val="21"/>
          <w:highlight w:val="none"/>
          <w:lang w:val="en-US" w:eastAsia="zh-CN"/>
        </w:rPr>
        <w:t>单位</w:t>
      </w:r>
      <w:r>
        <w:rPr>
          <w:rFonts w:hint="eastAsia" w:ascii="宋体" w:hAnsi="宋体" w:eastAsia="宋体" w:cs="宋体"/>
          <w:b/>
          <w:color w:val="auto"/>
          <w:szCs w:val="21"/>
          <w:highlight w:val="none"/>
          <w:lang w:val="zh-CN"/>
        </w:rPr>
        <w:t>、设计单位、</w:t>
      </w:r>
      <w:r>
        <w:rPr>
          <w:rFonts w:hint="eastAsia" w:ascii="宋体" w:hAnsi="宋体" w:eastAsia="宋体" w:cs="宋体"/>
          <w:b/>
          <w:color w:val="auto"/>
          <w:szCs w:val="21"/>
          <w:highlight w:val="none"/>
          <w:lang w:val="en-US" w:eastAsia="zh-CN"/>
        </w:rPr>
        <w:t>施工单位、监理单位、</w:t>
      </w:r>
      <w:r>
        <w:rPr>
          <w:rFonts w:hint="eastAsia" w:ascii="宋体" w:hAnsi="宋体" w:eastAsia="宋体" w:cs="宋体"/>
          <w:b/>
          <w:color w:val="auto"/>
          <w:szCs w:val="21"/>
          <w:highlight w:val="none"/>
          <w:lang w:val="zh-CN"/>
        </w:rPr>
        <w:t>施工或监理单位委托的质量检测单位（包括与</w:t>
      </w:r>
      <w:r>
        <w:rPr>
          <w:rFonts w:hint="eastAsia" w:ascii="宋体" w:hAnsi="宋体" w:eastAsia="宋体" w:cs="宋体"/>
          <w:b/>
          <w:color w:val="auto"/>
          <w:szCs w:val="21"/>
          <w:highlight w:val="none"/>
          <w:lang w:val="en-US" w:eastAsia="zh-CN"/>
        </w:rPr>
        <w:t>上述</w:t>
      </w:r>
      <w:r>
        <w:rPr>
          <w:rFonts w:hint="eastAsia" w:ascii="宋体" w:hAnsi="宋体" w:eastAsia="宋体" w:cs="宋体"/>
          <w:b/>
          <w:color w:val="auto"/>
          <w:szCs w:val="21"/>
          <w:highlight w:val="none"/>
          <w:lang w:val="zh-CN"/>
        </w:rPr>
        <w:t>单位法定代表人或负责人为同一人的单位，或者与</w:t>
      </w:r>
      <w:r>
        <w:rPr>
          <w:rFonts w:hint="eastAsia" w:ascii="宋体" w:hAnsi="宋体" w:eastAsia="宋体" w:cs="宋体"/>
          <w:b/>
          <w:color w:val="auto"/>
          <w:szCs w:val="21"/>
          <w:highlight w:val="none"/>
          <w:lang w:val="en-US" w:eastAsia="zh-CN"/>
        </w:rPr>
        <w:t>上述</w:t>
      </w:r>
      <w:r>
        <w:rPr>
          <w:rFonts w:hint="eastAsia" w:ascii="宋体" w:hAnsi="宋体" w:eastAsia="宋体" w:cs="宋体"/>
          <w:b/>
          <w:color w:val="auto"/>
          <w:szCs w:val="21"/>
          <w:highlight w:val="none"/>
          <w:lang w:val="zh-CN"/>
        </w:rPr>
        <w:t>单位存在控股、管理关系的单位，</w:t>
      </w:r>
      <w:r>
        <w:rPr>
          <w:rFonts w:hint="eastAsia" w:ascii="宋体" w:hAnsi="宋体" w:eastAsia="宋体" w:cs="宋体"/>
          <w:b/>
          <w:color w:val="auto"/>
          <w:szCs w:val="21"/>
          <w:highlight w:val="none"/>
          <w:lang w:val="en-US" w:eastAsia="zh-CN"/>
        </w:rPr>
        <w:t>或者与上述单位存在其他利害关系</w:t>
      </w:r>
      <w:r>
        <w:rPr>
          <w:rFonts w:hint="eastAsia" w:ascii="宋体" w:hAnsi="宋体" w:eastAsia="宋体" w:cs="宋体"/>
          <w:b/>
          <w:color w:val="auto"/>
          <w:szCs w:val="21"/>
          <w:highlight w:val="none"/>
          <w:lang w:val="zh-CN"/>
        </w:rPr>
        <w:t>）不得参与</w:t>
      </w:r>
      <w:r>
        <w:rPr>
          <w:rFonts w:hint="eastAsia" w:ascii="宋体" w:hAnsi="宋体" w:eastAsia="宋体" w:cs="宋体"/>
          <w:b/>
          <w:color w:val="auto"/>
          <w:szCs w:val="21"/>
          <w:highlight w:val="none"/>
        </w:rPr>
        <w:t>本</w:t>
      </w:r>
      <w:r>
        <w:rPr>
          <w:rFonts w:hint="eastAsia" w:ascii="宋体" w:hAnsi="宋体" w:eastAsia="宋体" w:cs="宋体"/>
          <w:b/>
          <w:color w:val="auto"/>
          <w:szCs w:val="21"/>
          <w:highlight w:val="none"/>
          <w:lang w:val="zh-CN"/>
        </w:rPr>
        <w:t>检测项目投标。</w:t>
      </w:r>
      <w:bookmarkEnd w:id="497"/>
      <w:bookmarkEnd w:id="498"/>
      <w:bookmarkEnd w:id="499"/>
      <w:bookmarkEnd w:id="500"/>
      <w:bookmarkEnd w:id="501"/>
    </w:p>
    <w:p w14:paraId="324E9F9F">
      <w:pPr>
        <w:pStyle w:val="53"/>
        <w:numPr>
          <w:ilvl w:val="0"/>
          <w:numId w:val="0"/>
        </w:numPr>
        <w:tabs>
          <w:tab w:val="left" w:pos="426"/>
        </w:tabs>
        <w:spacing w:line="360" w:lineRule="auto"/>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本工程相关参建单位统计表</w:t>
      </w:r>
    </w:p>
    <w:tbl>
      <w:tblPr>
        <w:tblStyle w:val="37"/>
        <w:tblW w:w="10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2592"/>
        <w:gridCol w:w="5644"/>
      </w:tblGrid>
      <w:tr w14:paraId="12CC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64" w:type="dxa"/>
            <w:vMerge w:val="restart"/>
            <w:vAlign w:val="center"/>
          </w:tcPr>
          <w:p w14:paraId="416BDC7C">
            <w:pPr>
              <w:pStyle w:val="53"/>
              <w:keepNext w:val="0"/>
              <w:keepLines w:val="0"/>
              <w:widowControl w:val="0"/>
              <w:numPr>
                <w:ilvl w:val="0"/>
                <w:numId w:val="0"/>
              </w:numPr>
              <w:suppressLineNumbers w:val="0"/>
              <w:tabs>
                <w:tab w:val="left" w:pos="426"/>
              </w:tabs>
              <w:wordWrap/>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Cs w:val="21"/>
                <w:highlight w:val="none"/>
                <w:lang w:val="zh-CN"/>
              </w:rPr>
            </w:pPr>
            <w:bookmarkStart w:id="502" w:name="OLE_LINK1"/>
            <w:r>
              <w:rPr>
                <w:rFonts w:hint="eastAsia" w:ascii="宋体" w:hAnsi="宋体" w:eastAsia="宋体" w:cs="宋体"/>
                <w:b/>
                <w:bCs/>
                <w:color w:val="auto"/>
                <w:szCs w:val="21"/>
                <w:highlight w:val="none"/>
                <w:lang w:val="zh-CN"/>
              </w:rPr>
              <w:t>珠三角水资源配置工程东莞配套芦花坑水厂一期配水管线工程-B标段</w:t>
            </w:r>
          </w:p>
        </w:tc>
        <w:tc>
          <w:tcPr>
            <w:tcW w:w="2592" w:type="dxa"/>
            <w:vAlign w:val="center"/>
          </w:tcPr>
          <w:p w14:paraId="246EE457">
            <w:pPr>
              <w:pStyle w:val="53"/>
              <w:keepNext w:val="0"/>
              <w:keepLines w:val="0"/>
              <w:widowControl w:val="0"/>
              <w:numPr>
                <w:ilvl w:val="0"/>
                <w:numId w:val="0"/>
              </w:numPr>
              <w:suppressLineNumbers w:val="0"/>
              <w:tabs>
                <w:tab w:val="left" w:pos="426"/>
              </w:tabs>
              <w:wordWrap/>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Cs w:val="21"/>
                <w:highlight w:val="none"/>
                <w:lang w:val="zh-CN"/>
              </w:rPr>
            </w:pPr>
            <w:r>
              <w:rPr>
                <w:rFonts w:hint="eastAsia" w:ascii="宋体" w:hAnsi="宋体" w:eastAsia="宋体" w:cs="宋体"/>
                <w:b/>
                <w:bCs/>
                <w:color w:val="auto"/>
                <w:szCs w:val="21"/>
                <w:highlight w:val="none"/>
              </w:rPr>
              <w:t>勘察</w:t>
            </w:r>
            <w:r>
              <w:rPr>
                <w:rFonts w:hint="eastAsia" w:ascii="宋体" w:hAnsi="宋体" w:eastAsia="宋体" w:cs="宋体"/>
                <w:b/>
                <w:bCs/>
                <w:color w:val="auto"/>
                <w:szCs w:val="21"/>
                <w:highlight w:val="none"/>
                <w:lang w:val="en-US" w:eastAsia="zh-CN"/>
              </w:rPr>
              <w:t>单位</w:t>
            </w:r>
          </w:p>
        </w:tc>
        <w:tc>
          <w:tcPr>
            <w:tcW w:w="5644" w:type="dxa"/>
            <w:vAlign w:val="center"/>
          </w:tcPr>
          <w:p w14:paraId="7C42F633">
            <w:pPr>
              <w:pStyle w:val="53"/>
              <w:keepNext w:val="0"/>
              <w:keepLines w:val="0"/>
              <w:widowControl w:val="0"/>
              <w:numPr>
                <w:ilvl w:val="0"/>
                <w:numId w:val="0"/>
              </w:numPr>
              <w:suppressLineNumbers w:val="0"/>
              <w:tabs>
                <w:tab w:val="left" w:pos="426"/>
              </w:tabs>
              <w:wordWrap/>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eastAsia="zh-CN"/>
              </w:rPr>
              <w:t>深圳市长勘勘察设计有限公司</w:t>
            </w:r>
          </w:p>
        </w:tc>
      </w:tr>
      <w:tr w14:paraId="3AE4B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64" w:type="dxa"/>
            <w:vMerge w:val="continue"/>
            <w:vAlign w:val="center"/>
          </w:tcPr>
          <w:p w14:paraId="220260C6">
            <w:pPr>
              <w:pStyle w:val="53"/>
              <w:keepNext w:val="0"/>
              <w:keepLines w:val="0"/>
              <w:widowControl w:val="0"/>
              <w:numPr>
                <w:ilvl w:val="0"/>
                <w:numId w:val="0"/>
              </w:numPr>
              <w:suppressLineNumbers w:val="0"/>
              <w:tabs>
                <w:tab w:val="left" w:pos="426"/>
              </w:tabs>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b/>
                <w:bCs/>
                <w:color w:val="auto"/>
                <w:szCs w:val="21"/>
                <w:highlight w:val="none"/>
                <w:lang w:val="zh-CN"/>
              </w:rPr>
            </w:pPr>
          </w:p>
        </w:tc>
        <w:tc>
          <w:tcPr>
            <w:tcW w:w="2592" w:type="dxa"/>
            <w:vAlign w:val="center"/>
          </w:tcPr>
          <w:p w14:paraId="2E8A8AA1">
            <w:pPr>
              <w:pStyle w:val="53"/>
              <w:keepNext w:val="0"/>
              <w:keepLines w:val="0"/>
              <w:widowControl w:val="0"/>
              <w:numPr>
                <w:ilvl w:val="0"/>
                <w:numId w:val="0"/>
              </w:numPr>
              <w:suppressLineNumbers w:val="0"/>
              <w:tabs>
                <w:tab w:val="left" w:pos="426"/>
              </w:tabs>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设计单位</w:t>
            </w:r>
          </w:p>
        </w:tc>
        <w:tc>
          <w:tcPr>
            <w:tcW w:w="5644" w:type="dxa"/>
            <w:vAlign w:val="center"/>
          </w:tcPr>
          <w:p w14:paraId="3F9BA187">
            <w:pPr>
              <w:pStyle w:val="53"/>
              <w:keepNext w:val="0"/>
              <w:keepLines w:val="0"/>
              <w:widowControl w:val="0"/>
              <w:numPr>
                <w:ilvl w:val="0"/>
                <w:numId w:val="0"/>
              </w:numPr>
              <w:suppressLineNumbers w:val="0"/>
              <w:tabs>
                <w:tab w:val="left" w:pos="426"/>
              </w:tabs>
              <w:wordWrap/>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上海市政工程设计研究总院（集团）有限公司</w:t>
            </w:r>
          </w:p>
        </w:tc>
      </w:tr>
      <w:tr w14:paraId="45E5F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064" w:type="dxa"/>
            <w:vMerge w:val="continue"/>
            <w:vAlign w:val="center"/>
          </w:tcPr>
          <w:p w14:paraId="11C43E43">
            <w:pPr>
              <w:pStyle w:val="53"/>
              <w:keepNext w:val="0"/>
              <w:keepLines w:val="0"/>
              <w:widowControl w:val="0"/>
              <w:numPr>
                <w:ilvl w:val="0"/>
                <w:numId w:val="0"/>
              </w:numPr>
              <w:suppressLineNumbers w:val="0"/>
              <w:tabs>
                <w:tab w:val="left" w:pos="426"/>
              </w:tabs>
              <w:wordWrap/>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Cs w:val="21"/>
                <w:highlight w:val="none"/>
                <w:lang w:val="zh-CN"/>
              </w:rPr>
            </w:pPr>
          </w:p>
        </w:tc>
        <w:tc>
          <w:tcPr>
            <w:tcW w:w="2592" w:type="dxa"/>
            <w:vAlign w:val="center"/>
          </w:tcPr>
          <w:p w14:paraId="126DE3A8">
            <w:pPr>
              <w:pStyle w:val="53"/>
              <w:keepNext w:val="0"/>
              <w:keepLines w:val="0"/>
              <w:widowControl w:val="0"/>
              <w:numPr>
                <w:ilvl w:val="0"/>
                <w:numId w:val="0"/>
              </w:numPr>
              <w:suppressLineNumbers w:val="0"/>
              <w:tabs>
                <w:tab w:val="left" w:pos="426"/>
              </w:tabs>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施工单位</w:t>
            </w:r>
          </w:p>
        </w:tc>
        <w:tc>
          <w:tcPr>
            <w:tcW w:w="5644" w:type="dxa"/>
            <w:vAlign w:val="center"/>
          </w:tcPr>
          <w:p w14:paraId="7D1CC65C">
            <w:pPr>
              <w:pStyle w:val="53"/>
              <w:keepNext w:val="0"/>
              <w:keepLines w:val="0"/>
              <w:widowControl w:val="0"/>
              <w:numPr>
                <w:ilvl w:val="0"/>
                <w:numId w:val="0"/>
              </w:numPr>
              <w:suppressLineNumbers w:val="0"/>
              <w:tabs>
                <w:tab w:val="left" w:pos="426"/>
              </w:tabs>
              <w:wordWrap/>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val="en-US" w:eastAsia="zh-CN"/>
              </w:rPr>
              <w:t>中交上海航道局有限公司、立乔建设集团有限公司</w:t>
            </w:r>
          </w:p>
        </w:tc>
      </w:tr>
      <w:tr w14:paraId="53DED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064" w:type="dxa"/>
            <w:vMerge w:val="continue"/>
            <w:vAlign w:val="center"/>
          </w:tcPr>
          <w:p w14:paraId="485143C3">
            <w:pPr>
              <w:pStyle w:val="53"/>
              <w:keepNext w:val="0"/>
              <w:keepLines w:val="0"/>
              <w:widowControl w:val="0"/>
              <w:numPr>
                <w:ilvl w:val="0"/>
                <w:numId w:val="0"/>
              </w:numPr>
              <w:suppressLineNumbers w:val="0"/>
              <w:tabs>
                <w:tab w:val="left" w:pos="426"/>
              </w:tabs>
              <w:wordWrap/>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color w:val="auto"/>
                <w:szCs w:val="21"/>
                <w:highlight w:val="none"/>
                <w:lang w:val="zh-CN"/>
              </w:rPr>
            </w:pPr>
          </w:p>
        </w:tc>
        <w:tc>
          <w:tcPr>
            <w:tcW w:w="2592" w:type="dxa"/>
            <w:vAlign w:val="center"/>
          </w:tcPr>
          <w:p w14:paraId="0B4F7E40">
            <w:pPr>
              <w:pStyle w:val="53"/>
              <w:keepNext w:val="0"/>
              <w:keepLines w:val="0"/>
              <w:widowControl w:val="0"/>
              <w:numPr>
                <w:ilvl w:val="0"/>
                <w:numId w:val="0"/>
              </w:numPr>
              <w:suppressLineNumbers w:val="0"/>
              <w:tabs>
                <w:tab w:val="left" w:pos="426"/>
              </w:tabs>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color w:val="auto"/>
                <w:szCs w:val="21"/>
                <w:highlight w:val="none"/>
                <w:lang w:val="en-US" w:eastAsia="zh-CN"/>
              </w:rPr>
              <w:t>监理单位</w:t>
            </w:r>
          </w:p>
        </w:tc>
        <w:tc>
          <w:tcPr>
            <w:tcW w:w="5644" w:type="dxa"/>
            <w:vAlign w:val="center"/>
          </w:tcPr>
          <w:p w14:paraId="43DEF791">
            <w:pPr>
              <w:pStyle w:val="53"/>
              <w:keepNext w:val="0"/>
              <w:keepLines w:val="0"/>
              <w:widowControl w:val="0"/>
              <w:numPr>
                <w:ilvl w:val="0"/>
                <w:numId w:val="0"/>
              </w:numPr>
              <w:suppressLineNumbers w:val="0"/>
              <w:tabs>
                <w:tab w:val="left" w:pos="426"/>
              </w:tabs>
              <w:wordWrap/>
              <w:adjustRightInd w:val="0"/>
              <w:snapToGrid w:val="0"/>
              <w:spacing w:before="0" w:beforeAutospacing="0" w:after="0" w:afterAutospacing="0" w:line="240" w:lineRule="auto"/>
              <w:ind w:left="0" w:leftChars="0" w:right="0" w:firstLine="0" w:firstLineChars="0"/>
              <w:jc w:val="center"/>
              <w:textAlignment w:val="auto"/>
              <w:outlineLvl w:val="9"/>
              <w:rPr>
                <w:rFonts w:hint="default" w:ascii="宋体" w:hAnsi="宋体" w:eastAsia="宋体" w:cs="宋体"/>
                <w:b/>
                <w:bCs/>
                <w:color w:val="auto"/>
                <w:szCs w:val="21"/>
                <w:highlight w:val="none"/>
                <w:lang w:val="en-US" w:eastAsia="zh-CN"/>
              </w:rPr>
            </w:pPr>
            <w:r>
              <w:rPr>
                <w:rFonts w:hint="default" w:ascii="宋体" w:hAnsi="宋体" w:eastAsia="宋体" w:cs="宋体"/>
                <w:b/>
                <w:bCs/>
                <w:color w:val="auto"/>
                <w:szCs w:val="21"/>
                <w:highlight w:val="none"/>
                <w:lang w:val="en-US" w:eastAsia="zh-CN"/>
              </w:rPr>
              <w:t xml:space="preserve">广东建设工程监理有限公司 </w:t>
            </w:r>
          </w:p>
        </w:tc>
      </w:tr>
      <w:bookmarkEnd w:id="502"/>
    </w:tbl>
    <w:p w14:paraId="48F07A4E">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highlight w:val="none"/>
        </w:rPr>
      </w:pPr>
    </w:p>
    <w:p w14:paraId="01D6D4D4">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highlight w:val="none"/>
        </w:rPr>
      </w:pPr>
      <w:bookmarkStart w:id="503" w:name="_Toc1678"/>
      <w:bookmarkStart w:id="504" w:name="_Toc26594"/>
      <w:bookmarkStart w:id="505" w:name="_Toc5205"/>
      <w:bookmarkStart w:id="506" w:name="_Toc142508357"/>
      <w:bookmarkStart w:id="507" w:name="_Toc29758"/>
      <w:bookmarkStart w:id="508" w:name="_Toc6198"/>
      <w:bookmarkStart w:id="509" w:name="_Toc4313"/>
      <w:r>
        <w:rPr>
          <w:rFonts w:ascii="宋体" w:hAnsi="宋体" w:eastAsia="宋体" w:cs="宋体"/>
          <w:color w:val="auto"/>
          <w:szCs w:val="21"/>
          <w:highlight w:val="none"/>
        </w:rPr>
        <w:t>40</w:t>
      </w:r>
      <w:r>
        <w:rPr>
          <w:rFonts w:hint="eastAsia" w:ascii="宋体" w:hAnsi="宋体" w:eastAsia="宋体" w:cs="宋体"/>
          <w:color w:val="auto"/>
          <w:szCs w:val="21"/>
          <w:highlight w:val="none"/>
        </w:rPr>
        <w:t xml:space="preserve"> 本次招标活动的最终解释权归招标代理机构及招标人所有。</w:t>
      </w:r>
      <w:bookmarkEnd w:id="488"/>
      <w:bookmarkEnd w:id="489"/>
      <w:bookmarkEnd w:id="503"/>
      <w:bookmarkEnd w:id="504"/>
      <w:bookmarkEnd w:id="505"/>
      <w:bookmarkEnd w:id="506"/>
      <w:bookmarkEnd w:id="507"/>
      <w:bookmarkEnd w:id="508"/>
      <w:bookmarkEnd w:id="509"/>
    </w:p>
    <w:p w14:paraId="1C94326E">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lang w:val="zh-CN"/>
        </w:rPr>
      </w:pPr>
      <w:bookmarkStart w:id="510" w:name="_Toc4386"/>
      <w:bookmarkStart w:id="511" w:name="_Toc21446"/>
      <w:bookmarkStart w:id="512" w:name="_Toc486167706"/>
      <w:bookmarkStart w:id="513" w:name="_Toc450662891"/>
      <w:bookmarkStart w:id="514" w:name="_Toc142508358"/>
      <w:bookmarkStart w:id="515" w:name="_Toc29364"/>
      <w:bookmarkStart w:id="516" w:name="_Toc27939_WPSOffice_Level1"/>
      <w:bookmarkStart w:id="517" w:name="_Toc14879"/>
      <w:bookmarkStart w:id="518" w:name="_Toc23041"/>
      <w:bookmarkStart w:id="519" w:name="_Toc24971"/>
      <w:r>
        <w:rPr>
          <w:rFonts w:hint="eastAsia" w:ascii="宋体" w:hAnsi="宋体" w:eastAsia="宋体" w:cs="宋体"/>
          <w:b/>
          <w:bCs/>
          <w:color w:val="auto"/>
          <w:kern w:val="44"/>
          <w:sz w:val="32"/>
          <w:szCs w:val="32"/>
          <w:highlight w:val="none"/>
          <w:lang w:val="zh-CN"/>
        </w:rPr>
        <w:t>第三篇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用户需求书</w:t>
      </w:r>
      <w:bookmarkEnd w:id="510"/>
      <w:bookmarkEnd w:id="511"/>
      <w:bookmarkEnd w:id="512"/>
      <w:bookmarkEnd w:id="513"/>
      <w:bookmarkEnd w:id="514"/>
      <w:bookmarkEnd w:id="515"/>
      <w:bookmarkEnd w:id="516"/>
      <w:bookmarkEnd w:id="517"/>
      <w:bookmarkEnd w:id="518"/>
      <w:bookmarkEnd w:id="519"/>
    </w:p>
    <w:p w14:paraId="0CB47C5F">
      <w:pPr>
        <w:pStyle w:val="53"/>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东莞市水务集团供水有限公司（以下简称“项目业主”）为珠三角水资源配置工程东莞配套芦花坑水厂一期配水管线工程-B标段的项目业主，招标人为上述项目的代建单位，项目业主已将珠三角水资源配置工程东莞配套芦花坑水厂一期配水管线工程-B标段委托给招标人实施代建。</w:t>
      </w:r>
    </w:p>
    <w:p w14:paraId="0D3DAC3F">
      <w:pPr>
        <w:pStyle w:val="53"/>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一、项目概况</w:t>
      </w:r>
    </w:p>
    <w:p w14:paraId="5F70A0D1">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珠三角水资源配置工程东莞配套芦花坑水厂一期配水管线工程-B标段，工程地点位于东莞市虎门镇、长安镇。起点自珠三角水资源配置工程东莞配套芦花坑水厂一期配水管线工程—A标段预留 2×DN1600 阀门井,沿居岐路5机动车道向东敷设至怀德社区田心村,随后穿越田心公园、鱼塘到达怀雅路，并沿怀雅路、横中路机动车道向长安镇敷设,终点为莲湖路与横中路交叉口，与长安 C 线（1×DN1600）连接。本工程管线全长约 4.223km，采用支护开挖和顶管施工工艺 。管材采用球墨铸铁管和钢管， 管径为DN200-DN2200mm，附属构筑物包括蝶阀井、流量计井、排气阀井和排泥阀井等。</w:t>
      </w:r>
    </w:p>
    <w:p w14:paraId="153E543A">
      <w:pPr>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二、总</w:t>
      </w:r>
      <w:r>
        <w:rPr>
          <w:rFonts w:hint="eastAsia" w:ascii="宋体" w:hAnsi="宋体" w:eastAsia="宋体" w:cs="宋体"/>
          <w:b/>
          <w:bCs w:val="0"/>
          <w:color w:val="auto"/>
          <w:sz w:val="21"/>
          <w:szCs w:val="21"/>
          <w:highlight w:val="none"/>
        </w:rPr>
        <w:t>体服务要求</w:t>
      </w:r>
    </w:p>
    <w:p w14:paraId="542608F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（一）检测周期</w:t>
      </w:r>
    </w:p>
    <w:p w14:paraId="6659949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eastAsia="zh-CN"/>
        </w:rPr>
        <w:t>自珠三角水资源配置工程东莞配套芦花坑水厂一期配水管线工程-B标段施工总承包开工至完成约定的各项检测及相关技术工作为止。</w:t>
      </w:r>
    </w:p>
    <w:p w14:paraId="180325B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（二）检测依据</w:t>
      </w:r>
    </w:p>
    <w:p w14:paraId="0B274CF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1、《建筑地基基础检测规范》（DBJ/T 15-60-2019）（广东省）；</w:t>
      </w:r>
    </w:p>
    <w:p w14:paraId="0604FF6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2、《建筑地基处理技术规范》（DBJ/T 15-38-2019）（广东省）；</w:t>
      </w:r>
    </w:p>
    <w:p w14:paraId="634D8A7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3、《建筑地基检测技术规范》（JGJ 340-2015）；</w:t>
      </w:r>
    </w:p>
    <w:p w14:paraId="6BDF395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4、《建筑基坑工程技术规程》（DBJ/T 15-20-2016）（广东省）；</w:t>
      </w:r>
    </w:p>
    <w:p w14:paraId="01B2873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5、《建筑地基基础设计规范》（DBJ 15-31-2016）</w:t>
      </w:r>
    </w:p>
    <w:p w14:paraId="3042027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6、《钢结构工程施工质量验收标准》（GB 50205-2020）；</w:t>
      </w:r>
    </w:p>
    <w:p w14:paraId="5E94F0B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7、《混凝土结构工程施工质量验收规范》（GB 50204-2015）；</w:t>
      </w:r>
    </w:p>
    <w:p w14:paraId="0912CA1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8、《城镇道路路面设计规范》（GJJ 169-2012）；</w:t>
      </w:r>
    </w:p>
    <w:p w14:paraId="7F75EF2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9、《城镇道路工程施工与质量验收规范》（GJJ 1-2008）；</w:t>
      </w:r>
    </w:p>
    <w:p w14:paraId="5F17206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10、《通用硅酸盐水泥》（GB 175-2007）；</w:t>
      </w:r>
    </w:p>
    <w:p w14:paraId="54038A3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11、《建筑砂浆基本性能试验方法标准》（JGJ/T 70-2009）；</w:t>
      </w:r>
    </w:p>
    <w:p w14:paraId="48B4D4C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12、《普通混凝土配合比设计规程》（JGJ 55-2011）；</w:t>
      </w:r>
    </w:p>
    <w:p w14:paraId="5A82BF6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13、《混凝土物理力学性能试验方法标准》（GB/T 50081-2019）；</w:t>
      </w:r>
    </w:p>
    <w:p w14:paraId="650A81D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14、《普通混凝土长期性能和耐久性能试验方法标准》（GB/T 50082-2009）；</w:t>
      </w:r>
    </w:p>
    <w:p w14:paraId="7B76535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15、《砌筑砂浆配合比设计规程》（JGJ/T 98-2010）；</w:t>
      </w:r>
    </w:p>
    <w:p w14:paraId="67C2302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16、《用于水泥和混凝土中的粉煤灰》（GB/T1596-2017）；</w:t>
      </w:r>
    </w:p>
    <w:p w14:paraId="0E22BFB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17、《普通混凝土用砂、石质量及检验方法标准》（JGJ52-2006）；</w:t>
      </w:r>
    </w:p>
    <w:p w14:paraId="13DCF0B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18、《建设用砂》（GB/T 14684-2022）；</w:t>
      </w:r>
    </w:p>
    <w:p w14:paraId="1D55BB0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19、《建设用卵石、碎石》（GB/T 14685-2022）；</w:t>
      </w:r>
    </w:p>
    <w:p w14:paraId="0520ACF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20、《混凝土外加剂》（GB 8076-2008）；</w:t>
      </w:r>
    </w:p>
    <w:p w14:paraId="7D0C51B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21、《喷射混凝土用速凝剂》（JC/T 477-2005）；</w:t>
      </w:r>
    </w:p>
    <w:p w14:paraId="090663E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22、《喷射混凝土用速凝剂》（GB/T 35159-2017）；</w:t>
      </w:r>
    </w:p>
    <w:p w14:paraId="70C0C8A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23、《混凝土膨胀剂》（GB 23439-2009）；</w:t>
      </w:r>
    </w:p>
    <w:p w14:paraId="23934BA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24、《钢筋混凝土用钢 第1部分：热轧光圆钢筋》（GB/T 1499.1-2017）；</w:t>
      </w:r>
    </w:p>
    <w:p w14:paraId="032817E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25、《钢筋混凝土用钢 第2部分：热轧带肋钢筋》（GB/T 1499.2-2018）；</w:t>
      </w:r>
    </w:p>
    <w:p w14:paraId="6A5E596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26、《钢筋焊接接头试验方法标准》（JGJ/T27-2014）；</w:t>
      </w:r>
    </w:p>
    <w:p w14:paraId="3B01F87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27、《钢筋机械连接用套筒》（JG/T 163-2013）；</w:t>
      </w:r>
    </w:p>
    <w:p w14:paraId="51D103E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28、《金属材料 拉伸试验 第1部分:室温试验方法》（GB/T 228.1-2021）；</w:t>
      </w:r>
    </w:p>
    <w:p w14:paraId="644E48D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29、《合成树脂乳液外墙涂料》（GB/T 9755-2014）；</w:t>
      </w:r>
    </w:p>
    <w:p w14:paraId="4EB1968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30、《钢结构防火涂料》（GB 14907-2018）；</w:t>
      </w:r>
    </w:p>
    <w:p w14:paraId="083EF77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31、《聚氨酯防水涂料》（GB/T 19250-2013）；</w:t>
      </w:r>
    </w:p>
    <w:p w14:paraId="288F541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32、《聚合物水泥防水涂料》（GB/T 23445-2009）；</w:t>
      </w:r>
    </w:p>
    <w:p w14:paraId="1659539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33、《塑料绝缘控制电缆》（GB/T9330-2020）；</w:t>
      </w:r>
    </w:p>
    <w:p w14:paraId="420BD23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34、《电缆和光缆在火焰条件下的燃烧试验 第12部分：单根绝缘电线电缆火焰垂直蔓延试验 1 kW 预混合型火焰试验方法》（GB/T18380.12-2022）；</w:t>
      </w:r>
    </w:p>
    <w:p w14:paraId="176343A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35、《家用和类似用途固定式电气装置的开关 第1部分：通用要求》（GB/T 16915.1-2014）；</w:t>
      </w:r>
    </w:p>
    <w:p w14:paraId="1CB7F51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36、《电工电子产品着火危险试验 第11部分：灼热丝/热丝基本试验方法 成品的灼热丝可燃性试验方法(GWEPT)》（GB/T 5169.11-2017）；</w:t>
      </w:r>
    </w:p>
    <w:p w14:paraId="01D5F17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37、《家用和类似用途插头插座 第1部分：通用要求》（GB/T 2099.1-2021）；</w:t>
      </w:r>
    </w:p>
    <w:p w14:paraId="4182675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38、《混凝土接缝密封嵌缝板》 （JC/T 2255-2014）；</w:t>
      </w:r>
    </w:p>
    <w:p w14:paraId="5E3F663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39、《高分子防水材料 第2部分：止水带》（GB/T 18173.2-2014）；</w:t>
      </w:r>
    </w:p>
    <w:p w14:paraId="18650CF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40、《建筑地基工程施工质量验收标准》（GB 50202-2018）；</w:t>
      </w:r>
    </w:p>
    <w:p w14:paraId="5B026BE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41、《混凝土结构工程施工质量验收规范》（GB 50204-2015）；</w:t>
      </w:r>
    </w:p>
    <w:p w14:paraId="2AD7A09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42、《回弹法检测混凝土抗压强度技术规程》（JGJ/T 23-2011）；</w:t>
      </w:r>
    </w:p>
    <w:p w14:paraId="5EF503B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43、《混凝土中钢筋检测技术标准》（JGJ/T 152-2019）；</w:t>
      </w:r>
    </w:p>
    <w:p w14:paraId="0787D6A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44、《焊缝无损检测 超声检测技术、检测等级和评定》（GB/T 11345-2013）；</w:t>
      </w:r>
    </w:p>
    <w:p w14:paraId="70EFF5D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45、《焊缝无损检测 射线检测 第1部分：X和伽玛射线的胶片技术》（GB／T 3323.1-2019）；</w:t>
      </w:r>
    </w:p>
    <w:p w14:paraId="73D3779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46、《东莞市建设工程质量检测服务手册》（第一版）；</w:t>
      </w:r>
    </w:p>
    <w:p w14:paraId="1E1555C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47、《东莞市建设工程检测行业参考收费标准（2023版）》；</w:t>
      </w:r>
    </w:p>
    <w:p w14:paraId="5233DD6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48、《广东省房屋建筑和市政工程工程质量安全检测收费指导价》（粤建检协[2015]8号）；</w:t>
      </w:r>
    </w:p>
    <w:p w14:paraId="15ACEB3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49、其他相关合同等文件资料及相关法律法规。</w:t>
      </w:r>
    </w:p>
    <w:p w14:paraId="3D38A7F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50、国家及省市建设主管部门的相关文件和规范；</w:t>
      </w:r>
    </w:p>
    <w:p w14:paraId="7616FFA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51、设计资料等。</w:t>
      </w:r>
    </w:p>
    <w:p w14:paraId="25E95BA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14:paraId="782A95D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（三）检测内容</w:t>
      </w:r>
    </w:p>
    <w:p w14:paraId="6DF02CD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检测内容包括但不限于</w:t>
      </w:r>
      <w:r>
        <w:rPr>
          <w:rFonts w:hint="eastAsia" w:ascii="宋体" w:hAnsi="宋体" w:eastAsia="宋体" w:cs="宋体"/>
          <w:b w:val="0"/>
          <w:bCs/>
          <w:color w:val="auto"/>
          <w:sz w:val="21"/>
          <w:szCs w:val="21"/>
          <w:highlight w:val="none"/>
          <w:lang w:eastAsia="zh-CN"/>
        </w:rPr>
        <w:t>（具体检测内容及数量以《检测工程量清单计价表》为准）</w:t>
      </w:r>
      <w:r>
        <w:rPr>
          <w:rFonts w:hint="eastAsia" w:ascii="宋体" w:hAnsi="宋体" w:eastAsia="宋体" w:cs="宋体"/>
          <w:b w:val="0"/>
          <w:bCs/>
          <w:color w:val="auto"/>
          <w:sz w:val="21"/>
          <w:szCs w:val="21"/>
          <w:highlight w:val="none"/>
        </w:rPr>
        <w:t>：</w:t>
      </w:r>
    </w:p>
    <w:p w14:paraId="56FFCBD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1、地基基础检测</w:t>
      </w:r>
      <w:r>
        <w:rPr>
          <w:rFonts w:hint="eastAsia" w:ascii="宋体" w:hAnsi="宋体" w:eastAsia="宋体" w:cs="宋体"/>
          <w:b w:val="0"/>
          <w:bCs/>
          <w:color w:val="auto"/>
          <w:sz w:val="21"/>
          <w:szCs w:val="21"/>
          <w:highlight w:val="none"/>
          <w:lang w:eastAsia="zh-CN"/>
        </w:rPr>
        <w:t>；</w:t>
      </w:r>
    </w:p>
    <w:p w14:paraId="08AD883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rPr>
        <w:t>结构实体检测</w:t>
      </w:r>
      <w:r>
        <w:rPr>
          <w:rFonts w:hint="eastAsia" w:ascii="宋体" w:hAnsi="宋体" w:eastAsia="宋体" w:cs="宋体"/>
          <w:b w:val="0"/>
          <w:bCs/>
          <w:color w:val="auto"/>
          <w:sz w:val="21"/>
          <w:szCs w:val="21"/>
          <w:highlight w:val="none"/>
          <w:lang w:eastAsia="zh-CN"/>
        </w:rPr>
        <w:t>；</w:t>
      </w:r>
    </w:p>
    <w:p w14:paraId="1F0930A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3、</w:t>
      </w:r>
      <w:r>
        <w:rPr>
          <w:rFonts w:hint="eastAsia" w:ascii="宋体" w:hAnsi="宋体" w:eastAsia="宋体" w:cs="宋体"/>
          <w:b w:val="0"/>
          <w:bCs/>
          <w:color w:val="auto"/>
          <w:sz w:val="21"/>
          <w:szCs w:val="21"/>
          <w:highlight w:val="none"/>
        </w:rPr>
        <w:t>材料检测</w:t>
      </w:r>
      <w:r>
        <w:rPr>
          <w:rFonts w:hint="eastAsia" w:ascii="宋体" w:hAnsi="宋体" w:eastAsia="宋体" w:cs="宋体"/>
          <w:b w:val="0"/>
          <w:bCs/>
          <w:color w:val="auto"/>
          <w:sz w:val="21"/>
          <w:szCs w:val="21"/>
          <w:highlight w:val="none"/>
          <w:lang w:eastAsia="zh-CN"/>
        </w:rPr>
        <w:t>；</w:t>
      </w:r>
    </w:p>
    <w:p w14:paraId="7823052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rPr>
        <w:t>道路检测</w:t>
      </w:r>
      <w:r>
        <w:rPr>
          <w:rFonts w:hint="eastAsia" w:ascii="宋体" w:hAnsi="宋体" w:eastAsia="宋体" w:cs="宋体"/>
          <w:b w:val="0"/>
          <w:bCs/>
          <w:color w:val="auto"/>
          <w:sz w:val="21"/>
          <w:szCs w:val="21"/>
          <w:highlight w:val="none"/>
          <w:lang w:eastAsia="zh-CN"/>
        </w:rPr>
        <w:t>；</w:t>
      </w:r>
    </w:p>
    <w:p w14:paraId="7E0BF03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rPr>
        <w:t>根据相关法律、法规及主管部门的规定，必须另行独立采购的项目不包含在本次采购范围之内。</w:t>
      </w:r>
    </w:p>
    <w:p w14:paraId="3D48FE7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（四）质量要求</w:t>
      </w:r>
    </w:p>
    <w:p w14:paraId="07FDEE2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1、工程检测质量要求</w:t>
      </w:r>
    </w:p>
    <w:p w14:paraId="733F460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中标人提供检定合格、手续完备的检测（试验）仪器，及时出具具有法律效力的检测（试验）报告。中标人须保证检测（试验）成果质量，对技术成果负完全责任，如因检测（试验）不实，造成招标人经济损失费用全部由</w:t>
      </w:r>
      <w:r>
        <w:rPr>
          <w:rFonts w:hint="eastAsia" w:ascii="宋体" w:hAnsi="宋体" w:eastAsia="宋体" w:cs="宋体"/>
          <w:b w:val="0"/>
          <w:bCs/>
          <w:color w:val="auto"/>
          <w:sz w:val="21"/>
          <w:szCs w:val="21"/>
          <w:highlight w:val="none"/>
          <w:lang w:val="en-US" w:eastAsia="zh-CN"/>
        </w:rPr>
        <w:t>中标人</w:t>
      </w:r>
      <w:r>
        <w:rPr>
          <w:rFonts w:hint="eastAsia" w:ascii="宋体" w:hAnsi="宋体" w:eastAsia="宋体" w:cs="宋体"/>
          <w:b w:val="0"/>
          <w:bCs/>
          <w:color w:val="auto"/>
          <w:sz w:val="21"/>
          <w:szCs w:val="21"/>
          <w:highlight w:val="none"/>
        </w:rPr>
        <w:t>承担，并应负责重检。</w:t>
      </w:r>
    </w:p>
    <w:p w14:paraId="482FFC2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（2）执行国家、广东省以及东莞市有关工程检测（试验）的标准规范的规定。</w:t>
      </w:r>
    </w:p>
    <w:p w14:paraId="3BCD637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2、其他质量要求</w:t>
      </w:r>
    </w:p>
    <w:p w14:paraId="7068894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中标人须根据国家标准及其它相关行业规程的要求，结合本工程施工图、预算文件及东莞市建筑工程质量安全监督站相关规定，制定检测方案。完成本工程检测方案内项目及数量，出具合法有效且符合检测规范要求的检测报告，为工程进度控制提供依据；提供检测咨询服务，为保证工程质量提供保障。</w:t>
      </w:r>
    </w:p>
    <w:p w14:paraId="71A9087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（2）中标人应负责按东莞市建设工程质量安全监督站要求，根据本工程质量安全监督计划及相关规范编制并完善本工程的检测方案，并完成检测方案的审查备案、检测工作根据备案确认后的方案执行。</w:t>
      </w:r>
    </w:p>
    <w:p w14:paraId="189C9A6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（3）中标人应当建立健全并落实各项管理制度，保证检测项目工作正常进行，并接受</w:t>
      </w:r>
      <w:r>
        <w:rPr>
          <w:rFonts w:hint="eastAsia" w:ascii="宋体" w:hAnsi="宋体" w:eastAsia="宋体" w:cs="宋体"/>
          <w:b w:val="0"/>
          <w:bCs/>
          <w:color w:val="auto"/>
          <w:sz w:val="21"/>
          <w:szCs w:val="21"/>
          <w:highlight w:val="none"/>
          <w:lang w:val="en-US" w:eastAsia="zh-CN"/>
        </w:rPr>
        <w:t>招标</w:t>
      </w:r>
      <w:r>
        <w:rPr>
          <w:rFonts w:hint="eastAsia" w:ascii="宋体" w:hAnsi="宋体" w:eastAsia="宋体" w:cs="宋体"/>
          <w:b w:val="0"/>
          <w:bCs/>
          <w:color w:val="auto"/>
          <w:sz w:val="21"/>
          <w:szCs w:val="21"/>
          <w:highlight w:val="none"/>
        </w:rPr>
        <w:t>人及有关主管部门对项目服务质量的监督检查。</w:t>
      </w:r>
    </w:p>
    <w:p w14:paraId="6DBCB09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（4）中标人应建立并实施符合本项目各项要求的质量管理体系。</w:t>
      </w:r>
    </w:p>
    <w:p w14:paraId="54343F4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（5）招标人代表有权在工作时间内进入中标人的工作地点检查其质量手册、质量计划及其它与质量相关的文件的实施情况。</w:t>
      </w:r>
    </w:p>
    <w:p w14:paraId="0C483BF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（五）成果要求</w:t>
      </w:r>
    </w:p>
    <w:p w14:paraId="5AE9065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签订后15天内，中标人应根据批准的工程施工组织设计、工程设计文件、市政工程建设标准、国家及行业规范等制定并向招标人提交详细的可实施的检测方案1份。中标人应积极配合招标人调整优化检测方案，并提交招标人确认。</w:t>
      </w:r>
    </w:p>
    <w:p w14:paraId="20E8F3F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2、中标人在各项检测工作完成后应提交检测报告一式三份（含纸质版及电子档），检测报告包含但不限于：项目概况、检测位置、检测结果与结论、各类原始记录等内容，具体以相关规范为准。</w:t>
      </w:r>
    </w:p>
    <w:p w14:paraId="581C55F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3、中标人应向招标人提交正式、合法的检测报告书，并同时加盖资质认定标志（即CMA印章）和中标人检验检测报告专用章。</w:t>
      </w:r>
    </w:p>
    <w:p w14:paraId="5C3410F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4、中标人所提供给招标人的成果资料所有权由招标人享有，未经招标人许可，中标人不得将成果泄露给第三方。</w:t>
      </w:r>
    </w:p>
    <w:p w14:paraId="045C55B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5、中标人须保证检测成果质量，对技术成果负完全责任，如因检测不实，造成招标人经济损失费用全部由中标人承担，并应负责重检。</w:t>
      </w:r>
    </w:p>
    <w:p w14:paraId="6636FD1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（六）安全要求</w:t>
      </w:r>
    </w:p>
    <w:p w14:paraId="79CCD92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1、中标人应做好服务的安全防护措施，服务过程中出现的安全事故由中标人自行承担。</w:t>
      </w:r>
    </w:p>
    <w:p w14:paraId="7CE6AC9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2、中标人必须做好安全防护工作，由于中标人自身的原因发生的任何伤害（包括人身伤害），均由中标人自行承担。</w:t>
      </w:r>
    </w:p>
    <w:p w14:paraId="329C073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（七）其他要求</w:t>
      </w:r>
    </w:p>
    <w:p w14:paraId="7C8730B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rPr>
        <w:t>人须严格按照东莞市住房和城乡建设局规定，使用“东莞市工程质量检测监管平台”开展相关检测工作，</w:t>
      </w:r>
      <w:r>
        <w:rPr>
          <w:rFonts w:hint="eastAsia" w:ascii="宋体" w:hAnsi="宋体" w:eastAsia="宋体" w:cs="宋体"/>
          <w:b w:val="0"/>
          <w:bCs/>
          <w:color w:val="auto"/>
          <w:sz w:val="21"/>
          <w:szCs w:val="21"/>
          <w:highlight w:val="none"/>
          <w:lang w:val="en-US" w:eastAsia="zh-CN"/>
        </w:rPr>
        <w:t>中</w:t>
      </w:r>
      <w:r>
        <w:rPr>
          <w:rFonts w:hint="eastAsia" w:ascii="宋体" w:hAnsi="宋体" w:eastAsia="宋体" w:cs="宋体"/>
          <w:b w:val="0"/>
          <w:bCs/>
          <w:color w:val="auto"/>
          <w:sz w:val="21"/>
          <w:szCs w:val="21"/>
          <w:highlight w:val="none"/>
        </w:rPr>
        <w:t>标人须在“东莞市工程质量检测监管平台”完成注册备案，并提供相关网页截图</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（须在投标时提供已备案网页截图，或在投标时提供中标后须在7个工作日内完成备案的承诺函</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w:t>
      </w:r>
    </w:p>
    <w:p w14:paraId="52682F6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2、中标人派出的检测人员应具备相应的专业知识及技术水平，有足够能力完成本项目检测服务工作。</w:t>
      </w:r>
    </w:p>
    <w:p w14:paraId="0629965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3、中标人需配备1名项目负责人、1名技术负责人及数量充足的检测工作人员，保证检测工作有序、顺利完成。</w:t>
      </w:r>
    </w:p>
    <w:p w14:paraId="73CB19D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4、中标人应配备完成本项目所必须的检测设备，其性能良好并符合国家规定。同时配备数量充足的交通警示标志和施工围档，以及检测仪器、无线通讯设备、劳动防护用品等其它必须使用的工具。</w:t>
      </w:r>
    </w:p>
    <w:p w14:paraId="2E94B88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5、若招标人、项目业主、上级行政主管部门要求（含政策变动）检测内容和频次增加或减少，中标人必须无条件遵守执行，实际检测量以招标人审核为准。</w:t>
      </w:r>
    </w:p>
    <w:p w14:paraId="54667C2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6、若特殊项目中标人无相应资质的，必须经招标人批准后送符合条件（具备相应资质）的分包单位进行检测，并出具相应的检测报告，否则将视为中标人违约，出具的报告不予承认。</w:t>
      </w:r>
    </w:p>
    <w:p w14:paraId="1D89416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7、在合同服务期内中标人不得因实际检测点过少或其他理由，而要求招标人提供任何形式的补偿或赔偿，或要求招标人所有的项目必须开展检测服务。</w:t>
      </w:r>
    </w:p>
    <w:p w14:paraId="54EAED3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8、中标人自行解决现场检测（试验）所需辅助劳务及相关费用。</w:t>
      </w:r>
    </w:p>
    <w:p w14:paraId="0EEB10F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9、服务过程中涉及的设备、工具，由中标人自行解决。</w:t>
      </w:r>
    </w:p>
    <w:p w14:paraId="4261FD6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10、服务过程中涉及的用水、用电由中标人自行接入，中标人需做好用水、用电安全防护措施并无条件接受招标人监督。</w:t>
      </w:r>
    </w:p>
    <w:p w14:paraId="629887C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1</w:t>
      </w:r>
      <w:r>
        <w:rPr>
          <w:rFonts w:hint="eastAsia" w:ascii="宋体" w:hAnsi="宋体" w:eastAsia="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rPr>
        <w:t>、</w:t>
      </w:r>
      <w:r>
        <w:rPr>
          <w:rFonts w:ascii="Arial" w:hAnsi="Arial" w:eastAsia="宋体" w:cs="Arial"/>
          <w:i w:val="0"/>
          <w:iCs w:val="0"/>
          <w:caps w:val="0"/>
          <w:color w:val="auto"/>
          <w:spacing w:val="0"/>
          <w:sz w:val="21"/>
          <w:szCs w:val="21"/>
          <w:highlight w:val="none"/>
        </w:rPr>
        <w:t>检测单位须无条件配合在施工单位自检合格后立即开展水压试验检测活动，充分利用施工单位已实施的自检措施，提升水压试验检测工作效率</w:t>
      </w:r>
      <w:r>
        <w:rPr>
          <w:rFonts w:hint="eastAsia" w:ascii="Arial" w:hAnsi="Arial" w:eastAsia="宋体" w:cs="Arial"/>
          <w:i w:val="0"/>
          <w:iCs w:val="0"/>
          <w:caps w:val="0"/>
          <w:color w:val="auto"/>
          <w:spacing w:val="0"/>
          <w:sz w:val="21"/>
          <w:szCs w:val="21"/>
          <w:highlight w:val="none"/>
          <w:lang w:eastAsia="zh-CN"/>
        </w:rPr>
        <w:t>。</w:t>
      </w:r>
    </w:p>
    <w:p w14:paraId="550CD370">
      <w:pPr>
        <w:pStyle w:val="53"/>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三、合同价款</w:t>
      </w:r>
    </w:p>
    <w:p w14:paraId="39E563E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项目《工程量清单计价表》（详见附件）的计费标准参照《东莞市建设工程检测行业参考收费标准（2023版）》（东检协字（2023）3号）的参考单价，计费标准未包含的部分参照《广东省房屋建筑和市政工程质量安全检测收费指导价》（粤建检协[2015]8号）。暂定总合同价款按照招标文件所附《工程量清单计价表》（详见附件）的不含税综合单价（不含税综合单价=参考单价÷1.06）×</w:t>
      </w:r>
      <w:r>
        <w:rPr>
          <w:rFonts w:hint="eastAsia" w:ascii="宋体" w:hAnsi="宋体" w:eastAsia="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rPr>
        <w:t>检测服务系数×实际检测工作量计算所得，但最终结算价不得超出暂定总合同价款（含税）。</w:t>
      </w:r>
    </w:p>
    <w:p w14:paraId="0E4BA5D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不含税综合单价包含为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检测人销项税额以外的税金等，报价过程产生的费用、办理履约担保费用、水电及进退场、差旅、驻地、办公设施、用品、食宿费、交通、通讯、施工配合费、保险费、风险费、检测方案的审查及专家论证费等完成本项目服务相关的直接及间接费用。除另有约定外，本工程检测（试验）的不含税综合单价在合同实施期间不因任何因素而调整（包括但不限于工程的工期延长、检测工作量变化等），招标人及项目业主也不承担任何额外费用。检测时，如需土建施工单位配合或向其租借设备时，中标人自行与施工单位协调，配合及租借费用已包括在不含税综合单价内。</w:t>
      </w:r>
    </w:p>
    <w:p w14:paraId="6240375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工程量清单计价表》不作为中标人最终服务范围及业务承接数量的保证，招标人有权根据实际需求对检测工程量进行优化调整，最终服务费用按实际发生工程量结算，但最终结算价不得超出暂定总合同价款（含税）。在合同服务期内，中标人不得因实际检测项目数量及服务费用的增减而要求招标人提供任何形式的补偿或赔偿，或只按招标人暂定的《工程量清单计价表》提供相应的对应服务。否则，视为中标人违约，招标人有权依据合同约定追究中标人的违约责任。</w:t>
      </w:r>
    </w:p>
    <w:p w14:paraId="0C85617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4、对于《工程量清单计价表》外新增的检测项目，不含税综合单价按以下方法计算：</w:t>
      </w:r>
    </w:p>
    <w:p w14:paraId="0D5F5BB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（1）《东莞市建设工程检测行业参考收费标准 (2023版)》（东检协字（2023）3号）对应项参考单价÷1.06×</w:t>
      </w:r>
      <w:r>
        <w:rPr>
          <w:rFonts w:hint="eastAsia" w:ascii="宋体" w:hAnsi="宋体" w:eastAsia="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rPr>
        <w:t>检测服务系数；</w:t>
      </w:r>
    </w:p>
    <w:p w14:paraId="275316F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（2）《东莞市建设工程检测行业参考收费标准 (2023版)》（东检协字（2023）3号）中无对应项，则按照《广东省房屋建筑和市政工程工程质量安全检测收费指导价》（粤建检协〔2015〕8号）对应项单价÷1.06×</w:t>
      </w:r>
      <w:r>
        <w:rPr>
          <w:rFonts w:hint="eastAsia" w:ascii="宋体" w:hAnsi="宋体" w:eastAsia="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rPr>
        <w:t>检测服务系数；</w:t>
      </w:r>
    </w:p>
    <w:p w14:paraId="4B2595A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（3）《东莞市建设工程检测行业参考收费标准 (2023版)》（东检协字（2023）3号）与《广东省房屋建筑和市政工程工程质量安全检测收费指导价》（粤建检协〔2015〕8号）均无对应项的，由招标人结合本地及周边同类城市市场询价的不含税综合单价×</w:t>
      </w:r>
      <w:r>
        <w:rPr>
          <w:rFonts w:hint="eastAsia" w:ascii="宋体" w:hAnsi="宋体" w:eastAsia="宋体" w:cs="宋体"/>
          <w:b w:val="0"/>
          <w:bCs/>
          <w:color w:val="auto"/>
          <w:sz w:val="21"/>
          <w:szCs w:val="21"/>
          <w:highlight w:val="none"/>
          <w:lang w:val="en-US" w:eastAsia="zh-CN"/>
        </w:rPr>
        <w:t>中标</w:t>
      </w:r>
      <w:r>
        <w:rPr>
          <w:rFonts w:hint="eastAsia" w:ascii="宋体" w:hAnsi="宋体" w:eastAsia="宋体" w:cs="宋体"/>
          <w:b w:val="0"/>
          <w:bCs/>
          <w:color w:val="auto"/>
          <w:sz w:val="21"/>
          <w:szCs w:val="21"/>
          <w:highlight w:val="none"/>
        </w:rPr>
        <w:t>检测服务系数。</w:t>
      </w:r>
    </w:p>
    <w:p w14:paraId="7C66C4C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以上不含税综合单价均保留两位小数。</w:t>
      </w:r>
    </w:p>
    <w:p w14:paraId="18CADF18">
      <w:pPr>
        <w:pStyle w:val="53"/>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四、费用支付</w:t>
      </w:r>
    </w:p>
    <w:p w14:paraId="4F242B04">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中标人向招标人、项目业主承诺，项目业主有权直接向中标人支付合同价款，也有权委托招标人向中标人代付价款，具体支付方式以招标人通知为准，中标人对此不持异议。如项目业主委托招标人向中标人代付工程价款的，因招标人系受项目业主委托代付，中标人承诺不得就合同款项问题向招标人主张任何权利，中标人同意招标人亦无需承担任何责任；如因款项支付产生纠纷的(包括但不限于诉讼等)，由中标人与项目业主协调处理，与招标人无关。</w:t>
      </w:r>
    </w:p>
    <w:p w14:paraId="6D3BEBF3">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、以季度为单位，即按季度计量支付进度款，中标人须向招标人提供相应的正式检测报告，经监理人及招标人审核通过后，项目业主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应在中标人提交对应的请款报告30天内向中标人支付进度款。</w:t>
      </w:r>
    </w:p>
    <w:p w14:paraId="4ECCBF69">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以季度为单位按经监理人及招标人审核通过的检测报告所涉款项的80%支付本合同进度款，但项目业主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累计支付的进度款不超过暂定总合同价款价税合计的80%，待工程竣工验收合格，项目结算完毕，并提交请款报告后30天内，项目业主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按结算价一次性支付余款。</w:t>
      </w:r>
    </w:p>
    <w:p w14:paraId="3AF24302">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、中标人收取每笔款项前，在提交请款报告的同时一并提供等额有效的增值税</w:t>
      </w:r>
      <w:r>
        <w:rPr>
          <w:rFonts w:hint="eastAsia" w:ascii="宋体" w:hAnsi="宋体" w:eastAsia="宋体" w:cs="宋体"/>
          <w:color w:val="auto"/>
          <w:sz w:val="21"/>
          <w:szCs w:val="21"/>
          <w:highlight w:val="none"/>
          <w:lang w:val="en-US" w:eastAsia="zh-CN"/>
        </w:rPr>
        <w:t>普通</w:t>
      </w:r>
      <w:r>
        <w:rPr>
          <w:rFonts w:hint="eastAsia" w:ascii="宋体" w:hAnsi="宋体" w:eastAsia="宋体" w:cs="宋体"/>
          <w:color w:val="auto"/>
          <w:sz w:val="21"/>
          <w:szCs w:val="21"/>
          <w:highlight w:val="none"/>
        </w:rPr>
        <w:t>发票，项目业主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在收到相关请款材料审核后支付；中标人逾期提交请款材料或提供的发票不合格的，项目业主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的付款时间可相应顺延，且不视为违约。因支付产生的相关银行手续费用，根据有关银行规定执行，如不能明确费用承担主体的，相关手续费用由双方各承担50%。由于中标人提供的发票不符合税法规定，给项目业主</w:t>
      </w:r>
      <w:r>
        <w:rPr>
          <w:rFonts w:hint="eastAsia" w:ascii="宋体" w:hAnsi="宋体" w:eastAsia="宋体" w:cs="宋体"/>
          <w:color w:val="auto"/>
          <w:sz w:val="21"/>
          <w:szCs w:val="21"/>
          <w:highlight w:val="none"/>
          <w:lang w:val="en-US" w:eastAsia="zh-CN"/>
        </w:rPr>
        <w:t>或招标人</w:t>
      </w:r>
      <w:r>
        <w:rPr>
          <w:rFonts w:hint="eastAsia" w:ascii="宋体" w:hAnsi="宋体" w:eastAsia="宋体" w:cs="宋体"/>
          <w:color w:val="auto"/>
          <w:sz w:val="21"/>
          <w:szCs w:val="21"/>
          <w:highlight w:val="none"/>
        </w:rPr>
        <w:t>造成的损失由中标人承担赔偿责任。</w:t>
      </w:r>
    </w:p>
    <w:p w14:paraId="2D6338B0">
      <w:pPr>
        <w:pStyle w:val="53"/>
        <w:widowControl w:val="0"/>
        <w:wordWrap/>
        <w:adjustRightInd w:val="0"/>
        <w:snapToGrid w:val="0"/>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五、考核制度</w:t>
      </w:r>
    </w:p>
    <w:p w14:paraId="4BD46DEF">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招标人每季度对中标人评价一次，出具考核评价结果。招标人将严格按照考核评分标准对中标人进行季度检查和考核。考评[70,80)分的，处相应付款周期内经招标人确认的检测费的10%作为违约金，考评[60,70)分的，处相应付款周期经招标人确认的检测费的20%作为违约金，考评60分以下的，处相应付款周期经招标人确认的检测</w:t>
      </w:r>
      <w:r>
        <w:rPr>
          <w:rFonts w:hint="eastAsia" w:ascii="宋体" w:hAnsi="宋体" w:eastAsia="宋体" w:cs="宋体"/>
          <w:bCs/>
          <w:color w:val="auto"/>
          <w:sz w:val="21"/>
          <w:szCs w:val="21"/>
          <w:highlight w:val="none"/>
          <w:lang w:val="en-US" w:eastAsia="zh-CN"/>
        </w:rPr>
        <w:t>费</w:t>
      </w:r>
      <w:r>
        <w:rPr>
          <w:rFonts w:hint="eastAsia" w:ascii="宋体" w:hAnsi="宋体" w:eastAsia="宋体" w:cs="宋体"/>
          <w:bCs/>
          <w:color w:val="auto"/>
          <w:sz w:val="21"/>
          <w:szCs w:val="21"/>
          <w:highlight w:val="none"/>
        </w:rPr>
        <w:t>的30%作为违约金。上述“[”代表闭区间，“)”代表开区间，如[70,80)代表该分数段范围为大于等于70且小于80。达到相应付款周期时,如中标人未申请支付本期费用, 招标人根据支付条件暂定本周期检测费并计算本周期内应缴纳的暂定违约金，中标人应予以缴纳。下一周期仍未申请时按上述做法执行，待到中标人申请支付费用时，根据合同付款流程确认检测费，同步对以往暂定违约金在本次一并确认并予以结算。</w:t>
      </w:r>
    </w:p>
    <w:p w14:paraId="142BEBD6">
      <w:pPr>
        <w:adjustRightInd w:val="0"/>
        <w:snapToGrid w:val="0"/>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检测单位履约考核评分表</w:t>
      </w:r>
    </w:p>
    <w:tbl>
      <w:tblPr>
        <w:tblStyle w:val="36"/>
        <w:tblW w:w="10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1"/>
        <w:gridCol w:w="804"/>
        <w:gridCol w:w="4306"/>
        <w:gridCol w:w="340"/>
        <w:gridCol w:w="1773"/>
        <w:gridCol w:w="1080"/>
        <w:gridCol w:w="1072"/>
      </w:tblGrid>
      <w:tr w14:paraId="2C20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95" w:type="dxa"/>
            <w:gridSpan w:val="2"/>
            <w:vAlign w:val="center"/>
          </w:tcPr>
          <w:p w14:paraId="5D1C9F63">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检测人名称</w:t>
            </w:r>
          </w:p>
        </w:tc>
        <w:tc>
          <w:tcPr>
            <w:tcW w:w="4646" w:type="dxa"/>
            <w:gridSpan w:val="2"/>
            <w:vAlign w:val="center"/>
          </w:tcPr>
          <w:p w14:paraId="60718ECC">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c>
          <w:tcPr>
            <w:tcW w:w="1773" w:type="dxa"/>
            <w:vAlign w:val="center"/>
          </w:tcPr>
          <w:p w14:paraId="28DB8FE2">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评价时间</w:t>
            </w:r>
          </w:p>
        </w:tc>
        <w:tc>
          <w:tcPr>
            <w:tcW w:w="2152" w:type="dxa"/>
            <w:gridSpan w:val="2"/>
            <w:vAlign w:val="center"/>
          </w:tcPr>
          <w:p w14:paraId="5CCBC84B">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0DFE6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91" w:type="dxa"/>
            <w:vAlign w:val="center"/>
          </w:tcPr>
          <w:p w14:paraId="364A5C2D">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评价内容</w:t>
            </w:r>
          </w:p>
        </w:tc>
        <w:tc>
          <w:tcPr>
            <w:tcW w:w="804" w:type="dxa"/>
            <w:vAlign w:val="center"/>
          </w:tcPr>
          <w:p w14:paraId="094AF540">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各项分值</w:t>
            </w:r>
          </w:p>
        </w:tc>
        <w:tc>
          <w:tcPr>
            <w:tcW w:w="6419" w:type="dxa"/>
            <w:gridSpan w:val="3"/>
            <w:vAlign w:val="center"/>
          </w:tcPr>
          <w:p w14:paraId="48659B1A">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具体内容</w:t>
            </w:r>
          </w:p>
        </w:tc>
        <w:tc>
          <w:tcPr>
            <w:tcW w:w="1080" w:type="dxa"/>
            <w:vAlign w:val="center"/>
          </w:tcPr>
          <w:p w14:paraId="549AEB5A">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评分 </w:t>
            </w:r>
          </w:p>
          <w:p w14:paraId="316ABBD9">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center"/>
          </w:tcPr>
          <w:p w14:paraId="33C4FEA9">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各项</w:t>
            </w:r>
          </w:p>
          <w:p w14:paraId="02556E1A">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得分</w:t>
            </w:r>
          </w:p>
        </w:tc>
      </w:tr>
      <w:tr w14:paraId="3C5A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1" w:type="dxa"/>
            <w:vAlign w:val="center"/>
          </w:tcPr>
          <w:p w14:paraId="1A766065">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服务响应</w:t>
            </w:r>
          </w:p>
        </w:tc>
        <w:tc>
          <w:tcPr>
            <w:tcW w:w="804" w:type="dxa"/>
            <w:vAlign w:val="center"/>
          </w:tcPr>
          <w:p w14:paraId="307085D5">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419" w:type="dxa"/>
            <w:gridSpan w:val="3"/>
            <w:vAlign w:val="center"/>
          </w:tcPr>
          <w:p w14:paraId="577B1293">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1、不积极配合协助处理服务履行中发生的争议，不主动提供真实情况，每次扣3分；</w:t>
            </w:r>
          </w:p>
          <w:p w14:paraId="11CFBB2B">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2、未能在约定时间内进驻现场的，每次扣5分；</w:t>
            </w:r>
          </w:p>
          <w:p w14:paraId="15C82F79">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3、因无相应资质，需另行委托分包单位进行检测的，每检测项（细项）扣5分；</w:t>
            </w:r>
          </w:p>
          <w:p w14:paraId="627C9DA3">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4、未派人员参加业主要求的相关会议，每次扣5分。</w:t>
            </w:r>
          </w:p>
        </w:tc>
        <w:tc>
          <w:tcPr>
            <w:tcW w:w="1080" w:type="dxa"/>
            <w:vAlign w:val="center"/>
          </w:tcPr>
          <w:p w14:paraId="585961DE">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457A9EC4">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5ADB88DA">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1071E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991" w:type="dxa"/>
            <w:vAlign w:val="center"/>
          </w:tcPr>
          <w:p w14:paraId="1EF8F40E">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设备人员配置</w:t>
            </w:r>
          </w:p>
        </w:tc>
        <w:tc>
          <w:tcPr>
            <w:tcW w:w="804" w:type="dxa"/>
            <w:vAlign w:val="center"/>
          </w:tcPr>
          <w:p w14:paraId="2A604002">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6419" w:type="dxa"/>
            <w:gridSpan w:val="3"/>
            <w:vAlign w:val="center"/>
          </w:tcPr>
          <w:p w14:paraId="3BBA4E78">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1、未按我公司要求配齐相应检测人员的，每人每次扣5分；</w:t>
            </w:r>
          </w:p>
          <w:p w14:paraId="15F5DB73">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2、未按我公司要求配齐相应设备的，每次扣5分：</w:t>
            </w:r>
          </w:p>
          <w:p w14:paraId="67BE61EE">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3、检测人员能力无法满足实际需要，且经我公司要求更换而未更换的，每人每次扣5分；</w:t>
            </w:r>
          </w:p>
          <w:p w14:paraId="49DEA915">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4、检测人员未持有效证件上岗及佩戴工作证，每人每次扣5分；</w:t>
            </w:r>
          </w:p>
          <w:p w14:paraId="0765308A">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5、特种作业人员未持有效证件上岗及佩戴工作证，每人每次扣5分；</w:t>
            </w:r>
          </w:p>
          <w:p w14:paraId="5BD30A1F">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6、开展检测的设备未在检定有效期内，每台设备每次扣5分。</w:t>
            </w:r>
          </w:p>
        </w:tc>
        <w:tc>
          <w:tcPr>
            <w:tcW w:w="1080" w:type="dxa"/>
            <w:vAlign w:val="center"/>
          </w:tcPr>
          <w:p w14:paraId="4C142B0C">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62EE00CA">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458CA43D">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064E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91" w:type="dxa"/>
            <w:vAlign w:val="center"/>
          </w:tcPr>
          <w:p w14:paraId="718CD9CD">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工作质量</w:t>
            </w:r>
          </w:p>
        </w:tc>
        <w:tc>
          <w:tcPr>
            <w:tcW w:w="804" w:type="dxa"/>
            <w:vAlign w:val="center"/>
          </w:tcPr>
          <w:p w14:paraId="7FB64015">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419" w:type="dxa"/>
            <w:gridSpan w:val="3"/>
            <w:vAlign w:val="center"/>
          </w:tcPr>
          <w:p w14:paraId="1C3AEB1A">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1、实际检测协作服务未达用户需求书、合同文件要求，且经我公司要求后未配合整改至符合要求的，每处每次扣5分；</w:t>
            </w:r>
          </w:p>
          <w:p w14:paraId="3A38A529">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2、检测记录、数据与实际不相符的，每次扣5分；</w:t>
            </w:r>
          </w:p>
          <w:p w14:paraId="12619425">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3、检测资料管理混乱、台账不及时更新、资料不及时签字或盖章不全的，每次扣5分；</w:t>
            </w:r>
          </w:p>
          <w:p w14:paraId="4ECC0414">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4、未按《关于加强东莞市建设工程质量检测机构监督管理的通知》的规定进行拍照或录像的，每次扣5分；</w:t>
            </w:r>
          </w:p>
          <w:p w14:paraId="7F6A8EE7">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5、检测报告的准确率，如出现报告的工程部位、工程名称、数据等错误的，每份报告扣5分；</w:t>
            </w:r>
          </w:p>
          <w:p w14:paraId="49B4C950">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6、检测结果不合格未及时反馈或通报的，每次扣10分。</w:t>
            </w:r>
          </w:p>
        </w:tc>
        <w:tc>
          <w:tcPr>
            <w:tcW w:w="1080" w:type="dxa"/>
            <w:vAlign w:val="center"/>
          </w:tcPr>
          <w:p w14:paraId="57931BF3">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388B9D4C">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2F32EC82">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0EF91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991" w:type="dxa"/>
            <w:vAlign w:val="center"/>
          </w:tcPr>
          <w:p w14:paraId="54869549">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服务进度</w:t>
            </w:r>
          </w:p>
        </w:tc>
        <w:tc>
          <w:tcPr>
            <w:tcW w:w="804" w:type="dxa"/>
            <w:vAlign w:val="center"/>
          </w:tcPr>
          <w:p w14:paraId="32539A1C">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6419" w:type="dxa"/>
            <w:gridSpan w:val="3"/>
            <w:vAlign w:val="center"/>
          </w:tcPr>
          <w:p w14:paraId="7DEED935">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1、没有在规定时间内完成检测协作服务工作的，每处每次扣5分；</w:t>
            </w:r>
          </w:p>
          <w:p w14:paraId="79F6676C">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2、没有按照合同规定时间内出具检测报告的，每份报告扣5分。</w:t>
            </w:r>
          </w:p>
        </w:tc>
        <w:tc>
          <w:tcPr>
            <w:tcW w:w="1080" w:type="dxa"/>
            <w:vAlign w:val="center"/>
          </w:tcPr>
          <w:p w14:paraId="6D9C1286">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3883FA9A">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4DB4D786">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7F20D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991" w:type="dxa"/>
            <w:vAlign w:val="center"/>
          </w:tcPr>
          <w:p w14:paraId="49C61B85">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安全文明管理</w:t>
            </w:r>
          </w:p>
        </w:tc>
        <w:tc>
          <w:tcPr>
            <w:tcW w:w="804" w:type="dxa"/>
            <w:vAlign w:val="center"/>
          </w:tcPr>
          <w:p w14:paraId="1D8CDD91">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p>
        </w:tc>
        <w:tc>
          <w:tcPr>
            <w:tcW w:w="6419" w:type="dxa"/>
            <w:gridSpan w:val="3"/>
            <w:vAlign w:val="center"/>
          </w:tcPr>
          <w:p w14:paraId="79C81CC9">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1、未按要求进行安全防护或安全防护不到位，我公司或上级部门检查中发现的，每处扣5分；</w:t>
            </w:r>
          </w:p>
          <w:p w14:paraId="23C6D466">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2、涉及有限空间作业未按照相关流程制度审批的，每次扣5分；</w:t>
            </w:r>
          </w:p>
          <w:p w14:paraId="07CFC7F7">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3、发生一般安全事故的，每次扣10分；</w:t>
            </w:r>
          </w:p>
          <w:p w14:paraId="78D53A9B">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4、发生较大安全事故的，每次扣20分。</w:t>
            </w:r>
          </w:p>
        </w:tc>
        <w:tc>
          <w:tcPr>
            <w:tcW w:w="1080" w:type="dxa"/>
            <w:vAlign w:val="center"/>
          </w:tcPr>
          <w:p w14:paraId="11FB310F">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安全管理部</w:t>
            </w:r>
          </w:p>
        </w:tc>
        <w:tc>
          <w:tcPr>
            <w:tcW w:w="1072" w:type="dxa"/>
            <w:vAlign w:val="bottom"/>
          </w:tcPr>
          <w:p w14:paraId="6FF4A3C5">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672B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91" w:type="dxa"/>
            <w:vAlign w:val="center"/>
          </w:tcPr>
          <w:p w14:paraId="56C530A3">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服务态度</w:t>
            </w:r>
          </w:p>
        </w:tc>
        <w:tc>
          <w:tcPr>
            <w:tcW w:w="804" w:type="dxa"/>
            <w:vAlign w:val="center"/>
          </w:tcPr>
          <w:p w14:paraId="6B45B226">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c>
          <w:tcPr>
            <w:tcW w:w="6419" w:type="dxa"/>
            <w:gridSpan w:val="3"/>
            <w:vAlign w:val="center"/>
          </w:tcPr>
          <w:p w14:paraId="553D9348">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对检测协作服务单位日常工作的服务态度，以及甲方、上级主管部门、建设单位检查中配合情况、服务投诉情况进行评价。每收到投诉一次扣5分。</w:t>
            </w:r>
          </w:p>
        </w:tc>
        <w:tc>
          <w:tcPr>
            <w:tcW w:w="1080" w:type="dxa"/>
            <w:vAlign w:val="center"/>
          </w:tcPr>
          <w:p w14:paraId="665367BD">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需求</w:t>
            </w:r>
          </w:p>
          <w:p w14:paraId="212DC25F">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部门</w:t>
            </w:r>
          </w:p>
        </w:tc>
        <w:tc>
          <w:tcPr>
            <w:tcW w:w="1072" w:type="dxa"/>
            <w:vAlign w:val="bottom"/>
          </w:tcPr>
          <w:p w14:paraId="38929FAA">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4FC05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14" w:type="dxa"/>
            <w:gridSpan w:val="5"/>
            <w:vAlign w:val="center"/>
          </w:tcPr>
          <w:p w14:paraId="4C6BBC61">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2152" w:type="dxa"/>
            <w:gridSpan w:val="2"/>
            <w:vAlign w:val="center"/>
          </w:tcPr>
          <w:p w14:paraId="7DCF2E4B">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r w14:paraId="17FD5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0366" w:type="dxa"/>
            <w:gridSpan w:val="7"/>
            <w:vAlign w:val="center"/>
          </w:tcPr>
          <w:p w14:paraId="7C80C097">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default" w:ascii="宋体" w:hAnsi="宋体" w:eastAsia="宋体" w:cs="宋体"/>
                <w:color w:val="auto"/>
                <w:szCs w:val="21"/>
                <w:highlight w:val="none"/>
              </w:rPr>
            </w:pPr>
            <w:r>
              <w:rPr>
                <w:rFonts w:hint="eastAsia" w:ascii="宋体" w:hAnsi="宋体" w:eastAsia="宋体" w:cs="宋体"/>
                <w:color w:val="auto"/>
                <w:szCs w:val="21"/>
                <w:highlight w:val="none"/>
              </w:rPr>
              <w:t>考核评分须知：</w:t>
            </w:r>
          </w:p>
          <w:p w14:paraId="218C2BC0">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default" w:ascii="宋体" w:hAnsi="宋体" w:eastAsia="宋体" w:cs="宋体"/>
                <w:b w:val="0"/>
                <w:bCs w:val="0"/>
                <w:color w:val="auto"/>
                <w:szCs w:val="21"/>
                <w:highlight w:val="none"/>
              </w:rPr>
            </w:pPr>
            <w:bookmarkStart w:id="520" w:name="_Hlk139741337"/>
            <w:r>
              <w:rPr>
                <w:rFonts w:hint="eastAsia" w:ascii="宋体" w:hAnsi="宋体" w:eastAsia="宋体" w:cs="宋体"/>
                <w:b w:val="0"/>
                <w:bCs w:val="0"/>
                <w:color w:val="auto"/>
                <w:szCs w:val="21"/>
                <w:highlight w:val="none"/>
              </w:rPr>
              <w:t>1、委托人每季度对检测人评价一次，出具考核评价结果。</w:t>
            </w:r>
          </w:p>
          <w:p w14:paraId="5180F1B7">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default"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2、委托人将严格按照考核评分标准对检测人进行季度检查和考核。</w:t>
            </w:r>
          </w:p>
          <w:p w14:paraId="488A07C4">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textAlignment w:val="auto"/>
              <w:outlineLvl w:val="9"/>
              <w:rPr>
                <w:rFonts w:hint="eastAsia" w:ascii="宋体" w:hAnsi="宋体" w:eastAsia="宋体" w:cs="宋体"/>
                <w:color w:val="auto"/>
                <w:szCs w:val="21"/>
                <w:highlight w:val="none"/>
              </w:rPr>
            </w:pPr>
            <w:r>
              <w:rPr>
                <w:rFonts w:hint="eastAsia" w:ascii="宋体" w:hAnsi="宋体" w:eastAsia="宋体" w:cs="宋体"/>
                <w:b w:val="0"/>
                <w:bCs w:val="0"/>
                <w:color w:val="auto"/>
                <w:szCs w:val="21"/>
                <w:highlight w:val="none"/>
              </w:rPr>
              <w:t>3、考评[70,80)分的，处相应付款周期内经委托人确认的检测费的10%作为违约金，考评[60,70)分的，处相应付款周期经委托人确认的检测费的20%作为违约金，考评60分以下的，处相应付款周期经委托人确认的检测</w:t>
            </w:r>
            <w:r>
              <w:rPr>
                <w:rFonts w:hint="eastAsia" w:ascii="宋体" w:hAnsi="宋体" w:eastAsia="宋体" w:cs="宋体"/>
                <w:b w:val="0"/>
                <w:bCs w:val="0"/>
                <w:color w:val="auto"/>
                <w:szCs w:val="21"/>
                <w:highlight w:val="none"/>
                <w:lang w:val="en-US" w:eastAsia="zh-CN"/>
              </w:rPr>
              <w:t>费</w:t>
            </w:r>
            <w:r>
              <w:rPr>
                <w:rFonts w:hint="eastAsia" w:ascii="宋体" w:hAnsi="宋体" w:eastAsia="宋体" w:cs="宋体"/>
                <w:b w:val="0"/>
                <w:bCs w:val="0"/>
                <w:color w:val="auto"/>
                <w:szCs w:val="21"/>
                <w:highlight w:val="none"/>
              </w:rPr>
              <w:t>的30%作为违约金。上述“[”代表闭区间，“)”代表开区间，如[70,80)代表该分数段范围为大于等于70且小于80。达到相应付款周期时,如检测人未申请支付本期费用, 委托人根据支付条件暂定本周期检测费并计算本周期内应缴纳的暂定违约金，检测人应予以缴纳。下一周期仍未申请时按上述做法执行，待到检测人申请支付费用时，根据合同付款流程确认检测费，同步对以往暂定违约金在本次一并确认并予以结算。</w:t>
            </w:r>
            <w:bookmarkEnd w:id="520"/>
          </w:p>
        </w:tc>
      </w:tr>
      <w:tr w14:paraId="59741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95" w:type="dxa"/>
            <w:gridSpan w:val="2"/>
            <w:vAlign w:val="center"/>
          </w:tcPr>
          <w:p w14:paraId="70079FD4">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评价人员签名</w:t>
            </w:r>
          </w:p>
        </w:tc>
        <w:tc>
          <w:tcPr>
            <w:tcW w:w="4306" w:type="dxa"/>
            <w:vAlign w:val="center"/>
          </w:tcPr>
          <w:p w14:paraId="02BF76EC">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c>
          <w:tcPr>
            <w:tcW w:w="2113" w:type="dxa"/>
            <w:gridSpan w:val="2"/>
            <w:vAlign w:val="center"/>
          </w:tcPr>
          <w:p w14:paraId="43B77EF7">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评价日期</w:t>
            </w:r>
          </w:p>
        </w:tc>
        <w:tc>
          <w:tcPr>
            <w:tcW w:w="2152" w:type="dxa"/>
            <w:gridSpan w:val="2"/>
            <w:vAlign w:val="center"/>
          </w:tcPr>
          <w:p w14:paraId="78040FF8">
            <w:pPr>
              <w:keepNext w:val="0"/>
              <w:keepLines w:val="0"/>
              <w:widowControl w:val="0"/>
              <w:suppressLineNumbers w:val="0"/>
              <w:wordWrap/>
              <w:adjustRightInd w:val="0"/>
              <w:snapToGrid w:val="0"/>
              <w:spacing w:before="0" w:beforeAutospacing="0" w:after="0" w:afterAutospacing="0" w:line="240" w:lineRule="auto"/>
              <w:ind w:left="0" w:leftChars="0" w:right="0" w:firstLine="0" w:firstLineChars="0"/>
              <w:jc w:val="center"/>
              <w:textAlignment w:val="auto"/>
              <w:outlineLvl w:val="9"/>
              <w:rPr>
                <w:rFonts w:hint="eastAsia" w:ascii="宋体" w:hAnsi="宋体" w:eastAsia="宋体" w:cs="宋体"/>
                <w:color w:val="auto"/>
                <w:szCs w:val="21"/>
                <w:highlight w:val="none"/>
              </w:rPr>
            </w:pPr>
          </w:p>
        </w:tc>
      </w:tr>
    </w:tbl>
    <w:p w14:paraId="681270B9">
      <w:pPr>
        <w:widowControl w:val="0"/>
        <w:wordWrap/>
        <w:adjustRightInd/>
        <w:snapToGrid/>
        <w:spacing w:line="360" w:lineRule="auto"/>
        <w:contextualSpacing/>
        <w:textAlignment w:val="auto"/>
        <w:rPr>
          <w:rFonts w:hint="eastAsia" w:ascii="宋体" w:hAnsi="宋体" w:eastAsia="宋体" w:cs="宋体"/>
          <w:b w:val="0"/>
          <w:bCs/>
          <w:color w:val="auto"/>
          <w:sz w:val="21"/>
          <w:szCs w:val="21"/>
          <w:highlight w:val="none"/>
        </w:rPr>
      </w:pPr>
    </w:p>
    <w:p w14:paraId="6A9101CD">
      <w:pPr>
        <w:widowControl w:val="0"/>
        <w:wordWrap/>
        <w:adjustRightInd/>
        <w:snapToGrid/>
        <w:spacing w:line="360" w:lineRule="auto"/>
        <w:contextualSpacing/>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附件：</w:t>
      </w:r>
      <w:r>
        <w:rPr>
          <w:rFonts w:hint="eastAsia" w:ascii="宋体" w:hAnsi="宋体" w:eastAsia="宋体" w:cs="宋体"/>
          <w:b/>
          <w:bCs w:val="0"/>
          <w:color w:val="auto"/>
          <w:sz w:val="21"/>
          <w:szCs w:val="21"/>
          <w:highlight w:val="none"/>
          <w:lang w:val="en-US" w:eastAsia="zh-CN"/>
        </w:rPr>
        <w:t>《工程量清单计价表》</w:t>
      </w:r>
    </w:p>
    <w:p w14:paraId="3518BC53">
      <w:pPr>
        <w:spacing w:line="360" w:lineRule="auto"/>
        <w:rPr>
          <w:rFonts w:ascii="宋体" w:hAnsi="宋体" w:eastAsia="宋体" w:cs="Times New Roman"/>
          <w:b/>
          <w:color w:val="auto"/>
          <w:szCs w:val="21"/>
          <w:highlight w:val="none"/>
          <w:lang w:val="zh-CN"/>
        </w:rPr>
      </w:pPr>
    </w:p>
    <w:p w14:paraId="59A35FA6">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color w:val="auto"/>
          <w:kern w:val="0"/>
          <w:sz w:val="24"/>
          <w:szCs w:val="24"/>
          <w:highlight w:val="none"/>
        </w:rPr>
      </w:pPr>
      <w:bookmarkStart w:id="521" w:name="_Toc16287"/>
      <w:bookmarkStart w:id="522" w:name="_Toc142508359"/>
      <w:bookmarkStart w:id="523" w:name="_Toc486167707"/>
      <w:bookmarkStart w:id="524" w:name="_Toc20401"/>
      <w:bookmarkStart w:id="525" w:name="_Toc11281_WPSOffice_Level1"/>
      <w:bookmarkStart w:id="526" w:name="_Toc450662892"/>
      <w:bookmarkStart w:id="527" w:name="_Toc25251"/>
      <w:bookmarkStart w:id="528" w:name="_Toc25099"/>
      <w:bookmarkStart w:id="529" w:name="_Toc12955"/>
      <w:bookmarkStart w:id="530" w:name="_Toc27270"/>
      <w:r>
        <w:rPr>
          <w:rFonts w:hint="eastAsia" w:ascii="宋体" w:hAnsi="宋体" w:eastAsia="宋体" w:cs="宋体"/>
          <w:b/>
          <w:bCs/>
          <w:color w:val="auto"/>
          <w:kern w:val="44"/>
          <w:sz w:val="32"/>
          <w:szCs w:val="32"/>
          <w:highlight w:val="none"/>
          <w:lang w:val="zh-CN"/>
        </w:rPr>
        <w:t>第四篇</w:t>
      </w:r>
      <w:r>
        <w:rPr>
          <w:rFonts w:ascii="宋体" w:hAnsi="宋体" w:eastAsia="宋体" w:cs="宋体"/>
          <w:b/>
          <w:bCs/>
          <w:color w:val="auto"/>
          <w:kern w:val="44"/>
          <w:sz w:val="32"/>
          <w:szCs w:val="32"/>
          <w:highlight w:val="none"/>
          <w:lang w:val="zh-CN"/>
        </w:rPr>
        <w:t xml:space="preserve"> </w:t>
      </w:r>
      <w:r>
        <w:rPr>
          <w:rFonts w:hint="eastAsia" w:ascii="宋体" w:hAnsi="宋体" w:eastAsia="宋体" w:cs="宋体"/>
          <w:b/>
          <w:bCs/>
          <w:color w:val="auto"/>
          <w:kern w:val="44"/>
          <w:sz w:val="32"/>
          <w:szCs w:val="32"/>
          <w:highlight w:val="none"/>
          <w:lang w:val="zh-CN"/>
        </w:rPr>
        <w:t>合同条款格式</w:t>
      </w:r>
      <w:bookmarkEnd w:id="521"/>
      <w:bookmarkEnd w:id="522"/>
      <w:bookmarkEnd w:id="523"/>
      <w:bookmarkEnd w:id="524"/>
      <w:bookmarkEnd w:id="525"/>
      <w:bookmarkEnd w:id="526"/>
      <w:bookmarkEnd w:id="527"/>
      <w:bookmarkEnd w:id="528"/>
      <w:bookmarkEnd w:id="529"/>
      <w:bookmarkEnd w:id="530"/>
    </w:p>
    <w:p w14:paraId="6F351FC4">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6C7046AA">
      <w:pPr>
        <w:autoSpaceDE w:val="0"/>
        <w:autoSpaceDN w:val="0"/>
        <w:adjustRightInd w:val="0"/>
        <w:snapToGrid w:val="0"/>
        <w:spacing w:line="360" w:lineRule="auto"/>
        <w:jc w:val="center"/>
        <w:rPr>
          <w:rFonts w:ascii="宋体" w:hAnsi="宋体" w:eastAsia="宋体" w:cs="Times New Roman"/>
          <w:color w:val="auto"/>
          <w:kern w:val="0"/>
          <w:sz w:val="24"/>
          <w:szCs w:val="24"/>
          <w:highlight w:val="none"/>
        </w:rPr>
      </w:pPr>
    </w:p>
    <w:p w14:paraId="3FD3DF5E">
      <w:pPr>
        <w:ind w:right="281"/>
        <w:jc w:val="right"/>
        <w:rPr>
          <w:rFonts w:ascii="宋体" w:hAnsi="宋体"/>
          <w:color w:val="auto"/>
          <w:sz w:val="30"/>
          <w:szCs w:val="30"/>
          <w:highlight w:val="none"/>
          <w:u w:val="single"/>
        </w:rPr>
      </w:pPr>
      <w:r>
        <w:rPr>
          <w:rFonts w:hint="eastAsia" w:ascii="宋体" w:hAnsi="宋体" w:eastAsia="宋体" w:cs="宋体"/>
          <w:color w:val="auto"/>
          <w:sz w:val="30"/>
          <w:szCs w:val="30"/>
          <w:highlight w:val="none"/>
        </w:rPr>
        <w:t>合同编号：</w:t>
      </w:r>
      <w:r>
        <w:rPr>
          <w:rFonts w:hint="eastAsia" w:ascii="宋体" w:hAnsi="宋体" w:eastAsia="宋体" w:cs="宋体"/>
          <w:color w:val="auto"/>
          <w:sz w:val="30"/>
          <w:szCs w:val="30"/>
          <w:highlight w:val="none"/>
          <w:u w:val="single"/>
        </w:rPr>
        <w:t xml:space="preserve">  </w:t>
      </w:r>
      <w:r>
        <w:rPr>
          <w:rFonts w:hint="eastAsia" w:ascii="宋体" w:hAnsi="宋体"/>
          <w:color w:val="auto"/>
          <w:sz w:val="30"/>
          <w:szCs w:val="30"/>
          <w:highlight w:val="none"/>
          <w:u w:val="single"/>
        </w:rPr>
        <w:t xml:space="preserve">       </w:t>
      </w:r>
    </w:p>
    <w:p w14:paraId="51D0A461">
      <w:pPr>
        <w:ind w:right="500" w:firstLine="2940" w:firstLineChars="1400"/>
        <w:rPr>
          <w:rFonts w:ascii="宋体" w:hAnsi="宋体"/>
          <w:color w:val="auto"/>
          <w:szCs w:val="28"/>
          <w:highlight w:val="none"/>
        </w:rPr>
      </w:pPr>
    </w:p>
    <w:p w14:paraId="5BAC3733">
      <w:pPr>
        <w:spacing w:line="360" w:lineRule="auto"/>
        <w:rPr>
          <w:rFonts w:ascii="宋体" w:hAnsi="宋体" w:cs="宋体"/>
          <w:b/>
          <w:bCs/>
          <w:snapToGrid w:val="0"/>
          <w:color w:val="auto"/>
          <w:sz w:val="52"/>
          <w:szCs w:val="32"/>
          <w:highlight w:val="none"/>
        </w:rPr>
      </w:pPr>
    </w:p>
    <w:p w14:paraId="158BFDF7">
      <w:pPr>
        <w:spacing w:line="360" w:lineRule="auto"/>
        <w:jc w:val="center"/>
        <w:rPr>
          <w:rFonts w:hint="eastAsia" w:ascii="宋体" w:hAnsi="宋体" w:eastAsia="宋体" w:cs="宋体"/>
          <w:b/>
          <w:bCs/>
          <w:snapToGrid w:val="0"/>
          <w:color w:val="auto"/>
          <w:sz w:val="52"/>
          <w:szCs w:val="32"/>
          <w:highlight w:val="none"/>
        </w:rPr>
      </w:pPr>
    </w:p>
    <w:p w14:paraId="29F20E7C">
      <w:pPr>
        <w:spacing w:line="360" w:lineRule="auto"/>
        <w:jc w:val="center"/>
        <w:rPr>
          <w:rFonts w:ascii="宋体" w:hAnsi="宋体" w:eastAsia="宋体" w:cs="宋体"/>
          <w:b/>
          <w:bCs/>
          <w:snapToGrid w:val="0"/>
          <w:color w:val="auto"/>
          <w:sz w:val="52"/>
          <w:szCs w:val="32"/>
          <w:highlight w:val="none"/>
        </w:rPr>
      </w:pPr>
      <w:r>
        <w:rPr>
          <w:rFonts w:hint="eastAsia" w:ascii="宋体" w:hAnsi="宋体" w:eastAsia="宋体" w:cs="宋体"/>
          <w:b/>
          <w:bCs/>
          <w:snapToGrid w:val="0"/>
          <w:color w:val="auto"/>
          <w:sz w:val="52"/>
          <w:szCs w:val="32"/>
          <w:highlight w:val="none"/>
        </w:rPr>
        <w:t>第 三 方 检 测 合 同</w:t>
      </w:r>
    </w:p>
    <w:p w14:paraId="7B372EED">
      <w:pPr>
        <w:spacing w:line="360" w:lineRule="auto"/>
        <w:ind w:left="420" w:leftChars="200"/>
        <w:rPr>
          <w:rFonts w:ascii="宋体" w:hAnsi="宋体" w:eastAsia="宋体" w:cs="宋体"/>
          <w:b/>
          <w:bCs/>
          <w:snapToGrid w:val="0"/>
          <w:color w:val="auto"/>
          <w:highlight w:val="none"/>
        </w:rPr>
      </w:pPr>
    </w:p>
    <w:p w14:paraId="44AEA7E6">
      <w:pPr>
        <w:spacing w:line="360" w:lineRule="auto"/>
        <w:ind w:left="420" w:leftChars="200"/>
        <w:rPr>
          <w:rFonts w:ascii="宋体" w:hAnsi="宋体" w:eastAsia="宋体" w:cs="宋体"/>
          <w:b/>
          <w:bCs/>
          <w:snapToGrid w:val="0"/>
          <w:color w:val="auto"/>
          <w:highlight w:val="none"/>
        </w:rPr>
      </w:pPr>
    </w:p>
    <w:p w14:paraId="689121D5">
      <w:pPr>
        <w:spacing w:line="360" w:lineRule="auto"/>
        <w:ind w:left="420" w:leftChars="200"/>
        <w:rPr>
          <w:rFonts w:ascii="宋体" w:hAnsi="宋体" w:eastAsia="宋体" w:cs="宋体"/>
          <w:color w:val="auto"/>
          <w:highlight w:val="none"/>
          <w:u w:val="single"/>
        </w:rPr>
      </w:pPr>
    </w:p>
    <w:p w14:paraId="4FF27449">
      <w:pPr>
        <w:spacing w:line="360" w:lineRule="auto"/>
        <w:ind w:left="420" w:leftChars="200"/>
        <w:rPr>
          <w:rFonts w:ascii="宋体" w:hAnsi="宋体" w:eastAsia="宋体" w:cs="宋体"/>
          <w:color w:val="auto"/>
          <w:highlight w:val="none"/>
          <w:u w:val="single"/>
        </w:rPr>
      </w:pPr>
    </w:p>
    <w:p w14:paraId="13165556">
      <w:pPr>
        <w:spacing w:line="360" w:lineRule="auto"/>
        <w:ind w:left="420" w:leftChars="200"/>
        <w:rPr>
          <w:rFonts w:ascii="宋体" w:hAnsi="宋体" w:eastAsia="宋体" w:cs="宋体"/>
          <w:color w:val="auto"/>
          <w:highlight w:val="none"/>
          <w:u w:val="single"/>
        </w:rPr>
      </w:pPr>
    </w:p>
    <w:p w14:paraId="5894A2D0">
      <w:pPr>
        <w:spacing w:line="360" w:lineRule="auto"/>
        <w:ind w:left="420" w:leftChars="200"/>
        <w:rPr>
          <w:rFonts w:ascii="宋体" w:hAnsi="宋体" w:eastAsia="宋体" w:cs="宋体"/>
          <w:color w:val="auto"/>
          <w:highlight w:val="none"/>
          <w:u w:val="single"/>
        </w:rPr>
      </w:pPr>
    </w:p>
    <w:p w14:paraId="723077AD">
      <w:pPr>
        <w:spacing w:line="360" w:lineRule="auto"/>
        <w:ind w:left="420" w:leftChars="200"/>
        <w:rPr>
          <w:rFonts w:ascii="宋体" w:hAnsi="宋体" w:eastAsia="宋体" w:cs="宋体"/>
          <w:color w:val="auto"/>
          <w:highlight w:val="none"/>
          <w:u w:val="single"/>
        </w:rPr>
      </w:pPr>
    </w:p>
    <w:p w14:paraId="10E60130">
      <w:pPr>
        <w:spacing w:line="360" w:lineRule="auto"/>
        <w:rPr>
          <w:rFonts w:ascii="宋体" w:hAnsi="宋体" w:eastAsia="宋体" w:cs="宋体"/>
          <w:b/>
          <w:color w:val="auto"/>
          <w:sz w:val="30"/>
          <w:szCs w:val="30"/>
          <w:highlight w:val="none"/>
          <w:u w:val="single"/>
        </w:rPr>
      </w:pPr>
    </w:p>
    <w:p w14:paraId="05FD32F0">
      <w:pPr>
        <w:spacing w:line="360" w:lineRule="auto"/>
        <w:ind w:left="1405" w:hanging="1405" w:hangingChars="500"/>
        <w:jc w:val="left"/>
        <w:rPr>
          <w:rFonts w:hint="eastAsia" w:ascii="宋体" w:hAnsi="宋体" w:eastAsia="宋体" w:cs="宋体"/>
          <w:b/>
          <w:color w:val="auto"/>
          <w:sz w:val="28"/>
          <w:szCs w:val="28"/>
          <w:highlight w:val="none"/>
          <w:u w:val="single"/>
          <w:lang w:eastAsia="zh-CN"/>
        </w:rPr>
      </w:pPr>
      <w:r>
        <w:rPr>
          <w:rFonts w:hint="eastAsia" w:ascii="宋体" w:hAnsi="宋体" w:eastAsia="宋体" w:cs="宋体"/>
          <w:b/>
          <w:color w:val="auto"/>
          <w:sz w:val="28"/>
          <w:szCs w:val="28"/>
          <w:highlight w:val="none"/>
        </w:rPr>
        <w:t>项目名称：</w:t>
      </w:r>
      <w:r>
        <w:rPr>
          <w:rFonts w:hint="eastAsia" w:ascii="宋体" w:hAnsi="宋体" w:eastAsia="宋体" w:cs="宋体"/>
          <w:b/>
          <w:color w:val="auto"/>
          <w:sz w:val="28"/>
          <w:szCs w:val="28"/>
          <w:highlight w:val="none"/>
          <w:u w:val="single"/>
          <w:lang w:eastAsia="zh-CN"/>
        </w:rPr>
        <w:t>珠三角水资源配置工程东莞配套芦花坑水厂一期配水管线工程-B标段第三方检测服务采购项目</w:t>
      </w:r>
    </w:p>
    <w:p w14:paraId="0ED67C3D">
      <w:pPr>
        <w:spacing w:line="360" w:lineRule="auto"/>
        <w:rPr>
          <w:rFonts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委 托 人：</w:t>
      </w:r>
      <w:r>
        <w:rPr>
          <w:rFonts w:hint="eastAsia" w:ascii="宋体" w:hAnsi="宋体" w:eastAsia="宋体" w:cs="宋体"/>
          <w:b/>
          <w:color w:val="auto"/>
          <w:sz w:val="28"/>
          <w:szCs w:val="28"/>
          <w:highlight w:val="none"/>
          <w:u w:val="single"/>
        </w:rPr>
        <w:t>东莞市水务集团建设管理有限公司</w:t>
      </w:r>
    </w:p>
    <w:p w14:paraId="625F3570">
      <w:pPr>
        <w:spacing w:line="360" w:lineRule="auto"/>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检 测 人：</w:t>
      </w:r>
      <w:r>
        <w:rPr>
          <w:rFonts w:hint="eastAsia" w:ascii="宋体" w:hAnsi="宋体" w:eastAsia="宋体" w:cs="宋体"/>
          <w:b/>
          <w:color w:val="auto"/>
          <w:sz w:val="28"/>
          <w:szCs w:val="28"/>
          <w:highlight w:val="none"/>
          <w:u w:val="single"/>
        </w:rPr>
        <w:t xml:space="preserve">                              </w:t>
      </w:r>
    </w:p>
    <w:p w14:paraId="3A9B1BDE">
      <w:pPr>
        <w:spacing w:line="360" w:lineRule="auto"/>
        <w:rPr>
          <w:rFonts w:ascii="宋体" w:hAnsi="宋体" w:eastAsia="宋体" w:cs="宋体"/>
          <w:color w:val="auto"/>
          <w:highlight w:val="none"/>
        </w:rPr>
      </w:pPr>
      <w:r>
        <w:rPr>
          <w:rFonts w:hint="eastAsia" w:ascii="宋体" w:hAnsi="宋体" w:eastAsia="宋体" w:cs="宋体"/>
          <w:b/>
          <w:color w:val="auto"/>
          <w:sz w:val="28"/>
          <w:szCs w:val="28"/>
          <w:highlight w:val="none"/>
        </w:rPr>
        <w:t>项目业主：</w:t>
      </w:r>
      <w:r>
        <w:rPr>
          <w:rFonts w:hint="eastAsia" w:ascii="宋体" w:hAnsi="宋体" w:eastAsia="宋体" w:cs="宋体"/>
          <w:b/>
          <w:color w:val="auto"/>
          <w:sz w:val="28"/>
          <w:szCs w:val="28"/>
          <w:highlight w:val="none"/>
          <w:u w:val="single"/>
          <w:lang w:eastAsia="zh-CN"/>
        </w:rPr>
        <w:t>东莞市水务集团供水有限公司</w:t>
      </w:r>
      <w:r>
        <w:rPr>
          <w:rFonts w:hint="eastAsia" w:ascii="宋体" w:hAnsi="宋体" w:eastAsia="宋体" w:cs="宋体"/>
          <w:b/>
          <w:color w:val="auto"/>
          <w:sz w:val="28"/>
          <w:szCs w:val="28"/>
          <w:highlight w:val="none"/>
          <w:u w:val="single"/>
        </w:rPr>
        <w:t xml:space="preserve">    </w:t>
      </w:r>
    </w:p>
    <w:p w14:paraId="7F54A440">
      <w:pPr>
        <w:pStyle w:val="21"/>
        <w:rPr>
          <w:rFonts w:hAnsi="宋体" w:cs="宋体"/>
          <w:color w:val="auto"/>
          <w:highlight w:val="none"/>
        </w:rPr>
      </w:pPr>
    </w:p>
    <w:p w14:paraId="122A140F">
      <w:pPr>
        <w:spacing w:line="360" w:lineRule="auto"/>
        <w:ind w:left="420" w:leftChars="200" w:firstLine="585"/>
        <w:jc w:val="center"/>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rPr>
        <w:t>年    月    日</w:t>
      </w:r>
    </w:p>
    <w:p w14:paraId="18335E6D">
      <w:pPr>
        <w:autoSpaceDE w:val="0"/>
        <w:autoSpaceDN w:val="0"/>
        <w:adjustRightInd w:val="0"/>
        <w:jc w:val="left"/>
        <w:rPr>
          <w:rFonts w:ascii="宋体" w:hAnsi="宋体" w:eastAsia="宋体" w:cs="宋体"/>
          <w:b/>
          <w:bCs/>
          <w:color w:val="auto"/>
          <w:kern w:val="0"/>
          <w:sz w:val="28"/>
          <w:szCs w:val="28"/>
          <w:highlight w:val="none"/>
        </w:rPr>
      </w:pPr>
    </w:p>
    <w:p w14:paraId="2917993D">
      <w:pPr>
        <w:autoSpaceDE w:val="0"/>
        <w:autoSpaceDN w:val="0"/>
        <w:adjustRightInd w:val="0"/>
        <w:jc w:val="left"/>
        <w:rPr>
          <w:rFonts w:ascii="宋体" w:hAnsi="宋体" w:eastAsia="宋体" w:cs="宋体"/>
          <w:b/>
          <w:bCs/>
          <w:color w:val="auto"/>
          <w:kern w:val="0"/>
          <w:sz w:val="28"/>
          <w:szCs w:val="28"/>
          <w:highlight w:val="none"/>
        </w:rPr>
      </w:pPr>
    </w:p>
    <w:p w14:paraId="102FA508">
      <w:pPr>
        <w:autoSpaceDE w:val="0"/>
        <w:autoSpaceDN w:val="0"/>
        <w:adjustRightInd w:val="0"/>
        <w:jc w:val="left"/>
        <w:rPr>
          <w:rFonts w:ascii="宋体" w:hAnsi="宋体" w:eastAsia="宋体" w:cs="宋体"/>
          <w:b/>
          <w:bCs/>
          <w:color w:val="auto"/>
          <w:kern w:val="0"/>
          <w:sz w:val="28"/>
          <w:szCs w:val="28"/>
          <w:highlight w:val="none"/>
        </w:rPr>
      </w:pPr>
    </w:p>
    <w:p w14:paraId="1F2D9E6E">
      <w:pPr>
        <w:adjustRightInd w:val="0"/>
        <w:snapToGrid w:val="0"/>
        <w:spacing w:line="360" w:lineRule="auto"/>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委托人（甲方）：</w:t>
      </w:r>
      <w:r>
        <w:rPr>
          <w:rFonts w:hint="eastAsia" w:ascii="宋体" w:hAnsi="宋体" w:eastAsia="宋体" w:cs="宋体"/>
          <w:b/>
          <w:color w:val="auto"/>
          <w:sz w:val="21"/>
          <w:szCs w:val="21"/>
          <w:highlight w:val="none"/>
          <w:u w:val="single"/>
        </w:rPr>
        <w:t>东莞市水务集团建设管理有限公司</w:t>
      </w:r>
    </w:p>
    <w:p w14:paraId="0F3AA9B9">
      <w:pPr>
        <w:adjustRightInd w:val="0"/>
        <w:snapToGrid w:val="0"/>
        <w:spacing w:line="360" w:lineRule="auto"/>
        <w:rPr>
          <w:rFonts w:hint="default"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检测人（乙方）：</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p>
    <w:p w14:paraId="63E47580">
      <w:p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项目业主（丙方）：</w:t>
      </w:r>
      <w:r>
        <w:rPr>
          <w:rFonts w:hint="eastAsia" w:ascii="宋体" w:hAnsi="宋体" w:eastAsia="宋体" w:cs="宋体"/>
          <w:b/>
          <w:color w:val="auto"/>
          <w:sz w:val="21"/>
          <w:szCs w:val="21"/>
          <w:highlight w:val="none"/>
          <w:u w:val="single"/>
          <w:lang w:eastAsia="zh-CN"/>
        </w:rPr>
        <w:t>东莞市水务集团供水有限公司</w:t>
      </w:r>
    </w:p>
    <w:p w14:paraId="29D8C44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p>
    <w:p w14:paraId="6861652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1.乙方已明确知悉：</w:t>
      </w:r>
      <w:r>
        <w:rPr>
          <w:rFonts w:hint="eastAsia" w:ascii="宋体" w:hAnsi="宋体" w:eastAsia="宋体" w:cs="宋体"/>
          <w:bCs/>
          <w:color w:val="auto"/>
          <w:sz w:val="21"/>
          <w:szCs w:val="21"/>
          <w:highlight w:val="none"/>
          <w:u w:val="single"/>
          <w:lang w:eastAsia="zh-CN"/>
        </w:rPr>
        <w:t>东莞市水务集团供水有限公司</w:t>
      </w:r>
      <w:r>
        <w:rPr>
          <w:rFonts w:hint="eastAsia" w:ascii="宋体" w:hAnsi="宋体" w:eastAsia="宋体" w:cs="宋体"/>
          <w:color w:val="auto"/>
          <w:sz w:val="21"/>
          <w:szCs w:val="21"/>
          <w:highlight w:val="none"/>
        </w:rPr>
        <w:t>（以下简称“丙方”）为</w:t>
      </w:r>
      <w:r>
        <w:rPr>
          <w:rFonts w:hint="eastAsia" w:ascii="宋体" w:hAnsi="宋体" w:eastAsia="宋体" w:cs="宋体"/>
          <w:color w:val="auto"/>
          <w:sz w:val="21"/>
          <w:szCs w:val="21"/>
          <w:highlight w:val="none"/>
          <w:u w:val="single"/>
          <w:lang w:eastAsia="zh-CN"/>
        </w:rPr>
        <w:t>珠三角水资源配置工程东莞配套芦花坑水厂一期配水管线工程-B标段</w:t>
      </w:r>
      <w:r>
        <w:rPr>
          <w:rFonts w:hint="eastAsia" w:ascii="宋体" w:hAnsi="宋体" w:eastAsia="宋体" w:cs="宋体"/>
          <w:color w:val="auto"/>
          <w:sz w:val="21"/>
          <w:szCs w:val="21"/>
          <w:highlight w:val="none"/>
        </w:rPr>
        <w:t>的项目业主，</w:t>
      </w:r>
      <w:r>
        <w:rPr>
          <w:rFonts w:hint="eastAsia" w:ascii="宋体" w:hAnsi="宋体" w:eastAsia="宋体" w:cs="宋体"/>
          <w:color w:val="auto"/>
          <w:sz w:val="21"/>
          <w:szCs w:val="21"/>
          <w:highlight w:val="none"/>
          <w:u w:val="single"/>
        </w:rPr>
        <w:t>东莞市水务集团建设管理有限公司</w:t>
      </w:r>
      <w:r>
        <w:rPr>
          <w:rFonts w:hint="eastAsia" w:ascii="宋体" w:hAnsi="宋体" w:eastAsia="宋体" w:cs="宋体"/>
          <w:color w:val="auto"/>
          <w:sz w:val="21"/>
          <w:szCs w:val="21"/>
          <w:highlight w:val="none"/>
        </w:rPr>
        <w:t>（以下简称“甲方”）为上述项目的代建单位。</w:t>
      </w:r>
      <w:r>
        <w:rPr>
          <w:rFonts w:hint="eastAsia" w:ascii="宋体" w:hAnsi="宋体" w:eastAsia="宋体" w:cs="宋体"/>
          <w:color w:val="auto"/>
          <w:sz w:val="21"/>
          <w:szCs w:val="21"/>
          <w:highlight w:val="none"/>
          <w:u w:val="single"/>
          <w:lang w:eastAsia="zh-CN"/>
        </w:rPr>
        <w:t>东莞市水务集团供水有限公司</w:t>
      </w:r>
      <w:r>
        <w:rPr>
          <w:rFonts w:hint="eastAsia" w:ascii="宋体" w:hAnsi="宋体" w:eastAsia="宋体" w:cs="宋体"/>
          <w:color w:val="auto"/>
          <w:sz w:val="21"/>
          <w:szCs w:val="21"/>
          <w:highlight w:val="none"/>
        </w:rPr>
        <w:t>已将</w:t>
      </w:r>
      <w:r>
        <w:rPr>
          <w:rFonts w:hint="eastAsia" w:ascii="宋体" w:hAnsi="宋体" w:eastAsia="宋体" w:cs="宋体"/>
          <w:color w:val="auto"/>
          <w:sz w:val="21"/>
          <w:szCs w:val="21"/>
          <w:highlight w:val="none"/>
          <w:u w:val="single"/>
          <w:lang w:eastAsia="zh-CN"/>
        </w:rPr>
        <w:t>珠三角水资源配置工程东莞配套芦花坑水厂一期配水管线工程-B标段</w:t>
      </w:r>
      <w:r>
        <w:rPr>
          <w:rFonts w:hint="eastAsia" w:ascii="宋体" w:hAnsi="宋体" w:eastAsia="宋体" w:cs="宋体"/>
          <w:color w:val="auto"/>
          <w:sz w:val="21"/>
          <w:szCs w:val="21"/>
          <w:highlight w:val="none"/>
        </w:rPr>
        <w:t>委托给</w:t>
      </w:r>
      <w:r>
        <w:rPr>
          <w:rFonts w:hint="eastAsia" w:ascii="宋体" w:hAnsi="宋体" w:eastAsia="宋体" w:cs="宋体"/>
          <w:color w:val="auto"/>
          <w:sz w:val="21"/>
          <w:szCs w:val="21"/>
          <w:highlight w:val="none"/>
          <w:u w:val="single"/>
        </w:rPr>
        <w:t>东莞市水务集团建设管理有限公司</w:t>
      </w:r>
      <w:r>
        <w:rPr>
          <w:rFonts w:hint="eastAsia" w:ascii="宋体" w:hAnsi="宋体" w:eastAsia="宋体" w:cs="宋体"/>
          <w:color w:val="auto"/>
          <w:sz w:val="21"/>
          <w:szCs w:val="21"/>
          <w:highlight w:val="none"/>
        </w:rPr>
        <w:t>实施代建，珠三角水资源配置工程东莞配套芦花坑水厂一期配水管线工程-B标段第三方检测服务采购项目</w:t>
      </w:r>
      <w:r>
        <w:rPr>
          <w:rFonts w:hint="eastAsia" w:ascii="宋体" w:hAnsi="宋体" w:eastAsia="宋体" w:cs="宋体"/>
          <w:color w:val="auto"/>
          <w:sz w:val="21"/>
          <w:szCs w:val="21"/>
          <w:highlight w:val="none"/>
          <w:lang w:eastAsia="zh-CN"/>
        </w:rPr>
        <w:t>由</w:t>
      </w:r>
      <w:r>
        <w:rPr>
          <w:rFonts w:hint="eastAsia" w:ascii="宋体" w:hAnsi="宋体" w:eastAsia="宋体" w:cs="宋体"/>
          <w:color w:val="auto"/>
          <w:sz w:val="21"/>
          <w:szCs w:val="21"/>
          <w:highlight w:val="none"/>
        </w:rPr>
        <w:t>东莞市水务集团建设管理有限公司</w:t>
      </w:r>
      <w:r>
        <w:rPr>
          <w:rFonts w:hint="eastAsia" w:ascii="宋体" w:hAnsi="宋体" w:eastAsia="宋体" w:cs="宋体"/>
          <w:color w:val="auto"/>
          <w:sz w:val="21"/>
          <w:szCs w:val="21"/>
          <w:highlight w:val="none"/>
          <w:lang w:eastAsia="zh-CN"/>
        </w:rPr>
        <w:t>实施招标，</w:t>
      </w:r>
      <w:r>
        <w:rPr>
          <w:rFonts w:hint="eastAsia" w:ascii="宋体" w:hAnsi="宋体" w:eastAsia="宋体" w:cs="宋体"/>
          <w:color w:val="auto"/>
          <w:sz w:val="21"/>
          <w:szCs w:val="21"/>
          <w:highlight w:val="none"/>
        </w:rPr>
        <w:t>并且乙方已认真查阅、理解甲方招标文件的全部内容，并对丙方授予甲方的权利义务无任何异议。</w:t>
      </w:r>
    </w:p>
    <w:p w14:paraId="1ACEC407">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乙方因违反本合同约定应承担的违约责任中涉及的各类履约担保、押金、质量保证金及违约金、利息等款项及由此产生的孳息等均归甲方所有，甲方有权自行处置、使用上述款项，丙方对此予以确认并不持异议。</w:t>
      </w:r>
    </w:p>
    <w:p w14:paraId="790D44C6">
      <w:pPr>
        <w:adjustRightInd w:val="0"/>
        <w:snapToGrid w:val="0"/>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根据《中华人民共和国民法典》、《中华人民共和国招标投标法》等相关法律法规的规定，遵循平等、自愿、公平和诚实信用的原则，三方就</w:t>
      </w:r>
      <w:r>
        <w:rPr>
          <w:rFonts w:hint="eastAsia" w:ascii="宋体" w:hAnsi="宋体" w:eastAsia="宋体" w:cs="宋体"/>
          <w:color w:val="auto"/>
          <w:sz w:val="21"/>
          <w:szCs w:val="21"/>
          <w:highlight w:val="none"/>
          <w:lang w:eastAsia="zh-CN"/>
        </w:rPr>
        <w:t>珠三角水资源配置工程东莞配套芦花坑水厂一期配水管线工程-B标段第三方检测服务采购项目</w:t>
      </w:r>
      <w:r>
        <w:rPr>
          <w:rFonts w:hint="eastAsia" w:ascii="宋体" w:hAnsi="宋体" w:eastAsia="宋体" w:cs="宋体"/>
          <w:color w:val="auto"/>
          <w:sz w:val="21"/>
          <w:szCs w:val="21"/>
          <w:highlight w:val="none"/>
        </w:rPr>
        <w:t>有关事项协商一致，达成本合同。</w:t>
      </w:r>
    </w:p>
    <w:p w14:paraId="68D2A381">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31" w:name="_Toc5890"/>
      <w:bookmarkStart w:id="532" w:name="_Toc15611"/>
      <w:r>
        <w:rPr>
          <w:rFonts w:hint="eastAsia" w:ascii="宋体" w:hAnsi="宋体" w:eastAsia="宋体" w:cs="宋体"/>
          <w:b/>
          <w:color w:val="auto"/>
          <w:sz w:val="21"/>
          <w:szCs w:val="21"/>
          <w:highlight w:val="none"/>
        </w:rPr>
        <w:t>一、工程概况</w:t>
      </w:r>
      <w:bookmarkEnd w:id="531"/>
      <w:bookmarkEnd w:id="532"/>
    </w:p>
    <w:p w14:paraId="7F614957">
      <w:pPr>
        <w:widowControl/>
        <w:adjustRightInd w:val="0"/>
        <w:snapToGrid w:val="0"/>
        <w:spacing w:line="360" w:lineRule="auto"/>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sz w:val="21"/>
          <w:szCs w:val="21"/>
          <w:highlight w:val="none"/>
          <w:u w:val="none"/>
        </w:rPr>
        <w:t xml:space="preserve"> 1.项目名称：</w:t>
      </w:r>
      <w:r>
        <w:rPr>
          <w:rFonts w:hint="eastAsia" w:ascii="宋体" w:hAnsi="宋体" w:eastAsia="宋体" w:cs="宋体"/>
          <w:color w:val="auto"/>
          <w:sz w:val="21"/>
          <w:szCs w:val="21"/>
          <w:highlight w:val="none"/>
          <w:u w:val="none"/>
          <w:lang w:eastAsia="zh-CN"/>
        </w:rPr>
        <w:t>珠三角水资源配置工程东莞配套芦花坑水厂一期配水管线工程-B标段</w:t>
      </w:r>
    </w:p>
    <w:p w14:paraId="435E1C02">
      <w:pPr>
        <w:adjustRightInd w:val="0"/>
        <w:snapToGrid w:val="0"/>
        <w:spacing w:line="360" w:lineRule="auto"/>
        <w:ind w:firstLine="424" w:firstLineChars="201"/>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2.建设地点：</w:t>
      </w:r>
      <w:r>
        <w:rPr>
          <w:rFonts w:hint="eastAsia" w:ascii="宋体" w:hAnsi="宋体" w:eastAsia="宋体" w:cs="宋体"/>
          <w:color w:val="auto"/>
          <w:szCs w:val="21"/>
          <w:highlight w:val="none"/>
          <w:u w:val="single"/>
        </w:rPr>
        <w:t>东莞市</w:t>
      </w:r>
      <w:r>
        <w:rPr>
          <w:rFonts w:hint="eastAsia" w:ascii="宋体" w:hAnsi="宋体" w:eastAsia="宋体" w:cs="宋体"/>
          <w:color w:val="auto"/>
          <w:sz w:val="21"/>
          <w:szCs w:val="21"/>
          <w:highlight w:val="none"/>
          <w:u w:val="none"/>
          <w:lang w:eastAsia="zh-CN"/>
        </w:rPr>
        <w:t>。</w:t>
      </w:r>
    </w:p>
    <w:p w14:paraId="2EB52B05">
      <w:pPr>
        <w:widowControl w:val="0"/>
        <w:wordWrap/>
        <w:adjustRightInd w:val="0"/>
        <w:snapToGrid w:val="0"/>
        <w:spacing w:line="360" w:lineRule="auto"/>
        <w:ind w:firstLine="422" w:firstLineChars="200"/>
        <w:textAlignment w:val="auto"/>
        <w:rPr>
          <w:rFonts w:hint="eastAsia" w:ascii="宋体" w:hAnsi="宋体" w:eastAsia="宋体" w:cs="宋体"/>
          <w:bCs/>
          <w:color w:val="auto"/>
          <w:sz w:val="21"/>
          <w:szCs w:val="21"/>
          <w:highlight w:val="none"/>
          <w:u w:val="none"/>
        </w:rPr>
      </w:pPr>
      <w:r>
        <w:rPr>
          <w:rFonts w:hint="eastAsia" w:ascii="宋体" w:hAnsi="宋体" w:eastAsia="宋体" w:cs="宋体"/>
          <w:b/>
          <w:color w:val="auto"/>
          <w:sz w:val="21"/>
          <w:szCs w:val="21"/>
          <w:highlight w:val="none"/>
          <w:u w:val="none"/>
        </w:rPr>
        <w:t>3.项目基本情况：</w:t>
      </w:r>
      <w:r>
        <w:rPr>
          <w:rFonts w:hint="eastAsia" w:ascii="宋体" w:hAnsi="宋体" w:eastAsia="宋体" w:cs="宋体"/>
          <w:color w:val="auto"/>
          <w:sz w:val="21"/>
          <w:szCs w:val="21"/>
          <w:highlight w:val="none"/>
          <w:u w:val="none"/>
          <w:lang w:val="en-US" w:eastAsia="zh-CN"/>
        </w:rPr>
        <w:t>珠三角水资源配置工程东莞配套芦花坑水厂一期配水管线工程-B标段，工程地点位于东莞市虎门镇、长安镇。起点自珠三角水资源配置工程东莞配套芦花坑水厂一期配水管线工程—A标段预留 2×DN1600 阀门井,沿居岐路5机动车道向东敷设至怀德社区田心村,随后穿越田心公园、鱼塘到达怀雅路，并沿怀雅路、横中路机动车道向长安镇敷设,终点为莲湖路与横中路交叉口，与长安 C 线（1×DN1600）连接。本工程管线全长约 4.223km，采用支护开挖和顶管施工工艺 。管材采用球墨铸铁管和钢管， 管径为DN200-DN2200mm，附属构筑物包括蝶阀井、流量计井、排气阀井和排泥阀井等。</w:t>
      </w:r>
    </w:p>
    <w:p w14:paraId="5833E59D">
      <w:pPr>
        <w:adjustRightInd w:val="0"/>
        <w:snapToGrid w:val="0"/>
        <w:spacing w:line="360" w:lineRule="auto"/>
        <w:ind w:left="17" w:leftChars="8" w:firstLine="405" w:firstLineChars="192"/>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4.检测任务（内容）和技术要求：</w:t>
      </w:r>
      <w:r>
        <w:rPr>
          <w:rFonts w:hint="eastAsia" w:ascii="宋体" w:hAnsi="宋体" w:eastAsia="宋体" w:cs="宋体"/>
          <w:color w:val="auto"/>
          <w:sz w:val="21"/>
          <w:szCs w:val="21"/>
          <w:highlight w:val="none"/>
          <w:u w:val="none"/>
        </w:rPr>
        <w:t xml:space="preserve">在服务期间执行国家、广东省以及东莞市有关市政工程检测、试验的标准规范的要求，确保检测（试验）成果客观有效，并满足竣工验收所需检测数量与频率要求。 </w:t>
      </w:r>
    </w:p>
    <w:p w14:paraId="42B171A0">
      <w:pPr>
        <w:adjustRightInd w:val="0"/>
        <w:snapToGrid w:val="0"/>
        <w:spacing w:line="360" w:lineRule="auto"/>
        <w:ind w:left="17" w:leftChars="8" w:firstLine="405" w:firstLineChars="192"/>
        <w:rPr>
          <w:rFonts w:hint="eastAsia" w:ascii="宋体" w:hAnsi="宋体" w:eastAsia="宋体" w:cs="宋体"/>
          <w:color w:val="auto"/>
          <w:sz w:val="21"/>
          <w:szCs w:val="21"/>
          <w:highlight w:val="none"/>
          <w:u w:val="none"/>
        </w:rPr>
      </w:pPr>
      <w:r>
        <w:rPr>
          <w:rFonts w:hint="eastAsia" w:ascii="宋体" w:hAnsi="宋体" w:eastAsia="宋体" w:cs="宋体"/>
          <w:b/>
          <w:color w:val="auto"/>
          <w:sz w:val="21"/>
          <w:szCs w:val="21"/>
          <w:highlight w:val="none"/>
          <w:u w:val="none"/>
        </w:rPr>
        <w:t>5.承包方式：</w:t>
      </w:r>
      <w:r>
        <w:rPr>
          <w:rFonts w:hint="eastAsia" w:ascii="宋体" w:hAnsi="宋体" w:eastAsia="宋体" w:cs="宋体"/>
          <w:color w:val="auto"/>
          <w:sz w:val="21"/>
          <w:szCs w:val="21"/>
          <w:highlight w:val="none"/>
          <w:u w:val="none"/>
        </w:rPr>
        <w:t>最终实际支付的检测服务费根据经甲方（含其委托的第三方审核机构）、监理人审核确认的检测（试验）方案及甲方（含其委托的第三方审核机构）、监理人确认的实际检测（试验）工作量按实结算。</w:t>
      </w:r>
    </w:p>
    <w:p w14:paraId="02E8E82A">
      <w:pPr>
        <w:adjustRightInd w:val="0"/>
        <w:snapToGrid w:val="0"/>
        <w:spacing w:line="360" w:lineRule="auto"/>
        <w:ind w:left="17" w:leftChars="8" w:firstLine="405" w:firstLineChars="192"/>
        <w:rPr>
          <w:rFonts w:hint="eastAsia" w:ascii="宋体" w:hAnsi="宋体" w:eastAsia="宋体" w:cs="宋体"/>
          <w:color w:val="auto"/>
          <w:sz w:val="21"/>
          <w:szCs w:val="21"/>
          <w:highlight w:val="none"/>
          <w:u w:val="none"/>
          <w:lang w:eastAsia="zh-CN"/>
        </w:rPr>
      </w:pPr>
      <w:r>
        <w:rPr>
          <w:rFonts w:hint="eastAsia" w:ascii="宋体" w:hAnsi="宋体" w:eastAsia="宋体" w:cs="宋体"/>
          <w:b/>
          <w:color w:val="auto"/>
          <w:sz w:val="21"/>
          <w:szCs w:val="21"/>
          <w:highlight w:val="none"/>
          <w:u w:val="none"/>
        </w:rPr>
        <w:t>6.合同服务期：</w:t>
      </w:r>
      <w:r>
        <w:rPr>
          <w:rFonts w:hint="eastAsia" w:ascii="宋体" w:hAnsi="宋体" w:eastAsia="宋体" w:cs="宋体"/>
          <w:color w:val="auto"/>
          <w:sz w:val="21"/>
          <w:szCs w:val="21"/>
          <w:highlight w:val="none"/>
          <w:u w:val="none"/>
          <w:lang w:eastAsia="zh-CN"/>
        </w:rPr>
        <w:t>自珠三角水资源配置工程东莞配套芦花坑水厂一期配水管线工程-B标段施工总承包开工至完成约定的各项检测及相关技术工作为止。</w:t>
      </w:r>
    </w:p>
    <w:p w14:paraId="19B8FF4F">
      <w:pPr>
        <w:adjustRightInd w:val="0"/>
        <w:snapToGrid w:val="0"/>
        <w:spacing w:line="360" w:lineRule="auto"/>
        <w:ind w:firstLine="424" w:firstLineChars="201"/>
        <w:rPr>
          <w:rFonts w:hint="eastAsia" w:ascii="宋体" w:hAnsi="宋体" w:eastAsia="宋体" w:cs="宋体"/>
          <w:b/>
          <w:color w:val="auto"/>
          <w:sz w:val="21"/>
          <w:szCs w:val="21"/>
          <w:highlight w:val="none"/>
          <w:u w:val="none"/>
        </w:rPr>
      </w:pPr>
      <w:r>
        <w:rPr>
          <w:rFonts w:hint="eastAsia" w:ascii="宋体" w:hAnsi="宋体" w:eastAsia="宋体" w:cs="宋体"/>
          <w:b/>
          <w:color w:val="auto"/>
          <w:sz w:val="21"/>
          <w:szCs w:val="21"/>
          <w:highlight w:val="none"/>
          <w:u w:val="none"/>
        </w:rPr>
        <w:t>7.质量要求：</w:t>
      </w:r>
    </w:p>
    <w:p w14:paraId="077D4B49">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工程检测质量要求</w:t>
      </w:r>
    </w:p>
    <w:p w14:paraId="7ECD56C9">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①</w:t>
      </w:r>
      <w:r>
        <w:rPr>
          <w:rFonts w:hint="eastAsia" w:ascii="宋体" w:hAnsi="宋体" w:eastAsia="宋体" w:cs="宋体"/>
          <w:color w:val="auto"/>
          <w:sz w:val="21"/>
          <w:szCs w:val="21"/>
          <w:highlight w:val="none"/>
          <w:u w:val="none"/>
          <w:lang w:eastAsia="zh-CN"/>
        </w:rPr>
        <w:t>乙方提供检定合格、手续完备的检测（试验）仪器，及时出具具有法律效力的检测（试验）报告。乙方须保证检测（试验）成果质量，对技术成果负完全责任，如因检测（试验）不实，造成</w:t>
      </w:r>
      <w:r>
        <w:rPr>
          <w:rFonts w:hint="eastAsia" w:ascii="宋体" w:hAnsi="宋体" w:eastAsia="宋体" w:cs="宋体"/>
          <w:color w:val="auto"/>
          <w:sz w:val="21"/>
          <w:szCs w:val="21"/>
          <w:highlight w:val="none"/>
          <w:u w:val="none"/>
          <w:lang w:val="en-US" w:eastAsia="zh-CN"/>
        </w:rPr>
        <w:t>甲方</w:t>
      </w:r>
      <w:r>
        <w:rPr>
          <w:rFonts w:hint="eastAsia" w:ascii="宋体" w:hAnsi="宋体" w:eastAsia="宋体" w:cs="宋体"/>
          <w:color w:val="auto"/>
          <w:sz w:val="21"/>
          <w:szCs w:val="21"/>
          <w:highlight w:val="none"/>
          <w:u w:val="none"/>
          <w:lang w:eastAsia="zh-CN"/>
        </w:rPr>
        <w:t>经济损失费用全部由检测单位承担，并应负责重检。</w:t>
      </w:r>
    </w:p>
    <w:p w14:paraId="6CE817FC">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②</w:t>
      </w:r>
      <w:r>
        <w:rPr>
          <w:rFonts w:hint="eastAsia" w:ascii="宋体" w:hAnsi="宋体" w:eastAsia="宋体" w:cs="宋体"/>
          <w:color w:val="auto"/>
          <w:sz w:val="21"/>
          <w:szCs w:val="21"/>
          <w:highlight w:val="none"/>
          <w:u w:val="none"/>
        </w:rPr>
        <w:t>执行国家、广东省以及东莞市有关工程检测（试验）的标准规范的规定。</w:t>
      </w:r>
    </w:p>
    <w:p w14:paraId="6E9E50A6">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其他质量要求</w:t>
      </w:r>
    </w:p>
    <w:p w14:paraId="3C6E02C1">
      <w:pPr>
        <w:adjustRightInd w:val="0"/>
        <w:snapToGrid w:val="0"/>
        <w:spacing w:line="360" w:lineRule="auto"/>
        <w:ind w:firstLine="422" w:firstLineChars="20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①乙方须根据国家标准及其它相关行业规程的要求，结合本工程施工图、预算文件及东莞市建筑工程质量安全监督站相关规定，制定检测方案。完成本工程检测方案内项目及数量，出具合法有效且符合检测规范要求的检测报告，为工程进度控制提供依据；提供检测咨询服务，为保证工程质量提供保障。</w:t>
      </w:r>
    </w:p>
    <w:p w14:paraId="3157C78B">
      <w:pPr>
        <w:adjustRightInd w:val="0"/>
        <w:snapToGrid w:val="0"/>
        <w:spacing w:line="360" w:lineRule="auto"/>
        <w:ind w:firstLine="422" w:firstLineChars="20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②乙方应负责按东莞市建设工程质量安全监督站要求，根据本工程质量安全监督计划及相关规范编制并完善本工程的检测方案，并完成检测方案的审查备案、检测工作根据备案确认后的方案执行。</w:t>
      </w:r>
    </w:p>
    <w:p w14:paraId="120BEFAC">
      <w:pPr>
        <w:adjustRightInd w:val="0"/>
        <w:snapToGrid w:val="0"/>
        <w:spacing w:line="360" w:lineRule="auto"/>
        <w:ind w:firstLine="422" w:firstLineChars="20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③乙方应当建立健全并落实各项管理制度，保证检测项目工作正常进行，并接受甲方及有关主管部门对项目服务质量的监督检查。</w:t>
      </w:r>
    </w:p>
    <w:p w14:paraId="1372CB4F">
      <w:pPr>
        <w:adjustRightInd w:val="0"/>
        <w:snapToGrid w:val="0"/>
        <w:spacing w:line="360" w:lineRule="auto"/>
        <w:ind w:firstLine="422" w:firstLineChars="20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④乙方应建立并实施符合本项目各项要求的质量管理体系。</w:t>
      </w:r>
    </w:p>
    <w:p w14:paraId="4878193C">
      <w:pPr>
        <w:adjustRightInd w:val="0"/>
        <w:snapToGrid w:val="0"/>
        <w:spacing w:line="360" w:lineRule="auto"/>
        <w:ind w:firstLine="422" w:firstLineChars="201"/>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⑤甲方代表有权在工作时间内进入乙方的工作地点检查其质量手册、质量计划及其它与质量相关的文件的实施情况。</w:t>
      </w:r>
    </w:p>
    <w:p w14:paraId="52098735">
      <w:pPr>
        <w:adjustRightInd w:val="0"/>
        <w:snapToGrid w:val="0"/>
        <w:spacing w:line="360" w:lineRule="auto"/>
        <w:ind w:firstLine="424" w:firstLineChars="201"/>
        <w:rPr>
          <w:rFonts w:hint="eastAsia" w:ascii="宋体" w:hAnsi="宋体" w:eastAsia="宋体" w:cs="宋体"/>
          <w:b/>
          <w:color w:val="auto"/>
          <w:sz w:val="21"/>
          <w:szCs w:val="21"/>
          <w:highlight w:val="none"/>
          <w:u w:val="none"/>
          <w:lang w:val="en-US" w:eastAsia="zh-CN"/>
        </w:rPr>
      </w:pPr>
      <w:r>
        <w:rPr>
          <w:rFonts w:hint="eastAsia" w:ascii="宋体" w:hAnsi="宋体" w:eastAsia="宋体" w:cs="宋体"/>
          <w:b/>
          <w:color w:val="auto"/>
          <w:sz w:val="21"/>
          <w:szCs w:val="21"/>
          <w:highlight w:val="none"/>
          <w:u w:val="none"/>
          <w:lang w:val="en-US" w:eastAsia="zh-CN"/>
        </w:rPr>
        <w:t>8.安全要求：</w:t>
      </w:r>
    </w:p>
    <w:p w14:paraId="615B5719">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①乙方</w:t>
      </w:r>
      <w:r>
        <w:rPr>
          <w:rFonts w:hint="eastAsia" w:ascii="宋体" w:hAnsi="宋体" w:eastAsia="宋体" w:cs="宋体"/>
          <w:color w:val="auto"/>
          <w:sz w:val="21"/>
          <w:szCs w:val="21"/>
          <w:highlight w:val="none"/>
          <w:u w:val="none"/>
        </w:rPr>
        <w:t>应做好服务的安全防护措施，服务过程中出现的安全事故由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自行承担。</w:t>
      </w:r>
    </w:p>
    <w:p w14:paraId="69FF4D0B">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②乙方</w:t>
      </w:r>
      <w:r>
        <w:rPr>
          <w:rFonts w:hint="eastAsia" w:ascii="宋体" w:hAnsi="宋体" w:eastAsia="宋体" w:cs="宋体"/>
          <w:color w:val="auto"/>
          <w:sz w:val="21"/>
          <w:szCs w:val="21"/>
          <w:highlight w:val="none"/>
          <w:u w:val="none"/>
        </w:rPr>
        <w:t>必须做好安全防护工作，由于</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自身的原因发生的任何伤害（包括人身伤害），均由</w:t>
      </w:r>
      <w:r>
        <w:rPr>
          <w:rFonts w:hint="eastAsia" w:ascii="宋体" w:hAnsi="宋体" w:eastAsia="宋体" w:cs="宋体"/>
          <w:color w:val="auto"/>
          <w:sz w:val="21"/>
          <w:szCs w:val="21"/>
          <w:highlight w:val="none"/>
          <w:u w:val="none"/>
          <w:lang w:val="en-US" w:eastAsia="zh-CN"/>
        </w:rPr>
        <w:t>乙方</w:t>
      </w:r>
      <w:r>
        <w:rPr>
          <w:rFonts w:hint="eastAsia" w:ascii="宋体" w:hAnsi="宋体" w:eastAsia="宋体" w:cs="宋体"/>
          <w:color w:val="auto"/>
          <w:sz w:val="21"/>
          <w:szCs w:val="21"/>
          <w:highlight w:val="none"/>
          <w:u w:val="none"/>
        </w:rPr>
        <w:t>自行承担。</w:t>
      </w:r>
    </w:p>
    <w:p w14:paraId="24CF53F2">
      <w:pPr>
        <w:adjustRightInd w:val="0"/>
        <w:snapToGrid w:val="0"/>
        <w:spacing w:line="360" w:lineRule="auto"/>
        <w:ind w:firstLine="424" w:firstLineChars="201"/>
        <w:rPr>
          <w:rFonts w:hint="eastAsia" w:ascii="宋体" w:hAnsi="宋体" w:eastAsia="宋体" w:cs="宋体"/>
          <w:b/>
          <w:color w:val="auto"/>
          <w:sz w:val="21"/>
          <w:szCs w:val="21"/>
          <w:highlight w:val="none"/>
          <w:u w:val="none"/>
          <w:lang w:val="en-US" w:eastAsia="zh-CN"/>
        </w:rPr>
      </w:pPr>
      <w:r>
        <w:rPr>
          <w:rFonts w:hint="eastAsia" w:ascii="宋体" w:hAnsi="宋体" w:eastAsia="宋体" w:cs="宋体"/>
          <w:b/>
          <w:color w:val="auto"/>
          <w:sz w:val="21"/>
          <w:szCs w:val="21"/>
          <w:highlight w:val="none"/>
          <w:u w:val="none"/>
          <w:lang w:val="en-US" w:eastAsia="zh-CN"/>
        </w:rPr>
        <w:t>9.其他要求：</w:t>
      </w:r>
    </w:p>
    <w:p w14:paraId="3F75CB23">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1</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若</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w:t>
      </w:r>
      <w:r>
        <w:rPr>
          <w:rFonts w:hint="eastAsia" w:ascii="宋体" w:hAnsi="宋体" w:eastAsia="宋体" w:cs="宋体"/>
          <w:color w:val="auto"/>
          <w:sz w:val="21"/>
          <w:szCs w:val="21"/>
          <w:highlight w:val="none"/>
          <w:u w:val="none"/>
          <w:lang w:val="en-US" w:eastAsia="zh-CN"/>
        </w:rPr>
        <w:t>丙方</w:t>
      </w:r>
      <w:r>
        <w:rPr>
          <w:rFonts w:hint="eastAsia" w:ascii="宋体" w:hAnsi="宋体" w:eastAsia="宋体" w:cs="宋体"/>
          <w:color w:val="auto"/>
          <w:sz w:val="21"/>
          <w:szCs w:val="21"/>
          <w:highlight w:val="none"/>
          <w:u w:val="none"/>
        </w:rPr>
        <w:t>、上级行政主管部门要求（含政策变动）检测内容和频次增加或减少，</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必须无条件遵守执行，实际检测量以</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审核为准。</w:t>
      </w:r>
    </w:p>
    <w:p w14:paraId="4DB710D4">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2</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若特殊项目</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无相应资质的，必须经</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批准后送符合条件（具备相应资质）的分包单位进行检测，并出具相应的检测报告，否则将视为</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违约，出具的报告不予承认。</w:t>
      </w:r>
    </w:p>
    <w:p w14:paraId="55FE7842">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3</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在合同服务期内</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不得因实际检测点过少或其他理由，而要求</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提供任何形式的补偿或赔偿，或要求</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所有的项目必须开展检测服务。</w:t>
      </w:r>
    </w:p>
    <w:p w14:paraId="5B7D38C9">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4</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自行解决现场检测（试验）所需辅助劳务及相关费用。</w:t>
      </w:r>
    </w:p>
    <w:p w14:paraId="6CC3015F">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5</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服务过程中涉及的设备、工具，由</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自行解决。</w:t>
      </w:r>
    </w:p>
    <w:p w14:paraId="7E4F635E">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6</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服务过程中涉及的用水、用电由</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自行接入，</w:t>
      </w:r>
      <w:r>
        <w:rPr>
          <w:rFonts w:hint="eastAsia" w:ascii="宋体" w:hAnsi="宋体" w:eastAsia="宋体" w:cs="宋体"/>
          <w:color w:val="auto"/>
          <w:sz w:val="21"/>
          <w:szCs w:val="21"/>
          <w:highlight w:val="none"/>
          <w:u w:val="none"/>
          <w:lang w:eastAsia="zh-CN"/>
        </w:rPr>
        <w:t>乙方</w:t>
      </w:r>
      <w:r>
        <w:rPr>
          <w:rFonts w:hint="eastAsia" w:ascii="宋体" w:hAnsi="宋体" w:eastAsia="宋体" w:cs="宋体"/>
          <w:color w:val="auto"/>
          <w:sz w:val="21"/>
          <w:szCs w:val="21"/>
          <w:highlight w:val="none"/>
          <w:u w:val="none"/>
        </w:rPr>
        <w:t>需做好用水、用电安全防护措施并无条件接受</w:t>
      </w:r>
      <w:r>
        <w:rPr>
          <w:rFonts w:hint="eastAsia" w:ascii="宋体" w:hAnsi="宋体" w:eastAsia="宋体" w:cs="宋体"/>
          <w:color w:val="auto"/>
          <w:sz w:val="21"/>
          <w:szCs w:val="21"/>
          <w:highlight w:val="none"/>
          <w:u w:val="none"/>
          <w:lang w:eastAsia="zh-CN"/>
        </w:rPr>
        <w:t>甲方</w:t>
      </w:r>
      <w:r>
        <w:rPr>
          <w:rFonts w:hint="eastAsia" w:ascii="宋体" w:hAnsi="宋体" w:eastAsia="宋体" w:cs="宋体"/>
          <w:color w:val="auto"/>
          <w:sz w:val="21"/>
          <w:szCs w:val="21"/>
          <w:highlight w:val="none"/>
          <w:u w:val="none"/>
        </w:rPr>
        <w:t>监督。</w:t>
      </w:r>
    </w:p>
    <w:p w14:paraId="0CB34447">
      <w:pPr>
        <w:snapToGrid w:val="0"/>
        <w:spacing w:line="360" w:lineRule="auto"/>
        <w:ind w:firstLine="420" w:firstLineChars="200"/>
        <w:rPr>
          <w:rFonts w:hint="eastAsia" w:ascii="宋体" w:hAnsi="宋体" w:eastAsia="宋体" w:cs="宋体"/>
          <w:color w:val="auto"/>
          <w:szCs w:val="21"/>
          <w:highlight w:val="none"/>
          <w:u w:val="none"/>
          <w:lang w:eastAsia="zh-CN"/>
        </w:rPr>
      </w:pP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7</w:t>
      </w:r>
      <w:r>
        <w:rPr>
          <w:rFonts w:hint="eastAsia" w:ascii="宋体" w:hAnsi="宋体" w:eastAsia="宋体" w:cs="宋体"/>
          <w:color w:val="auto"/>
          <w:sz w:val="21"/>
          <w:szCs w:val="21"/>
          <w:highlight w:val="none"/>
          <w:u w:val="none"/>
          <w:lang w:eastAsia="zh-CN"/>
        </w:rPr>
        <w:t>）</w:t>
      </w:r>
      <w:r>
        <w:rPr>
          <w:rFonts w:hint="eastAsia" w:ascii="宋体" w:hAnsi="宋体" w:eastAsia="宋体" w:cs="宋体"/>
          <w:i w:val="0"/>
          <w:iCs w:val="0"/>
          <w:caps w:val="0"/>
          <w:color w:val="auto"/>
          <w:spacing w:val="0"/>
          <w:sz w:val="21"/>
          <w:szCs w:val="21"/>
          <w:highlight w:val="none"/>
          <w:u w:val="none"/>
          <w:lang w:val="en-US" w:eastAsia="zh-CN"/>
        </w:rPr>
        <w:t>乙方</w:t>
      </w:r>
      <w:r>
        <w:rPr>
          <w:rFonts w:hint="eastAsia" w:ascii="宋体" w:hAnsi="宋体" w:eastAsia="宋体" w:cs="宋体"/>
          <w:i w:val="0"/>
          <w:iCs w:val="0"/>
          <w:caps w:val="0"/>
          <w:color w:val="auto"/>
          <w:spacing w:val="0"/>
          <w:sz w:val="21"/>
          <w:szCs w:val="21"/>
          <w:highlight w:val="none"/>
          <w:u w:val="none"/>
        </w:rPr>
        <w:t>须无条件配合在施工单位自检合格后立即开展水压试验检测活动，充分利用施工单位已实施的自检措施，提升水压试验检测工作效率</w:t>
      </w:r>
      <w:r>
        <w:rPr>
          <w:rFonts w:hint="eastAsia" w:ascii="宋体" w:hAnsi="宋体" w:eastAsia="宋体" w:cs="宋体"/>
          <w:i w:val="0"/>
          <w:iCs w:val="0"/>
          <w:caps w:val="0"/>
          <w:color w:val="auto"/>
          <w:spacing w:val="0"/>
          <w:sz w:val="21"/>
          <w:szCs w:val="21"/>
          <w:highlight w:val="none"/>
          <w:u w:val="none"/>
          <w:lang w:eastAsia="zh-CN"/>
        </w:rPr>
        <w:t>。</w:t>
      </w:r>
    </w:p>
    <w:p w14:paraId="71608367">
      <w:pPr>
        <w:adjustRightInd w:val="0"/>
        <w:snapToGrid w:val="0"/>
        <w:spacing w:line="360" w:lineRule="auto"/>
        <w:ind w:firstLine="424" w:firstLineChars="20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 xml:space="preserve">.合同价款： </w:t>
      </w:r>
    </w:p>
    <w:p w14:paraId="0621CCA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暂定总合同价款（即销售额，不含乙方销项税额）（大写）：人民币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）。检测服务系数为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2C19583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依法计得并根据本合同约定确定的销项税额由丙方或甲方承担。根据《中华人民共和国增值税暂行条例》(国务院令第691号修订版)及当前税务部门的相关规定，本合同项目的增值税税率为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14:paraId="466DB37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0354E77">
      <w:pPr>
        <w:adjustRightInd w:val="0"/>
        <w:snapToGrid w:val="0"/>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bCs/>
          <w:color w:val="auto"/>
          <w:sz w:val="21"/>
          <w:szCs w:val="21"/>
          <w:highlight w:val="none"/>
        </w:rPr>
        <w:t>合同附件一《工程量清单计价表》的不含税综合单价（即结算不含税综合单价）等于招标文件附件《工程量清单计价表》列出的不含税综合单价乘以中标报价（检测服务系数），结算时不作调整</w:t>
      </w:r>
      <w:r>
        <w:rPr>
          <w:rFonts w:hint="eastAsia" w:ascii="宋体" w:hAnsi="宋体" w:eastAsia="宋体" w:cs="宋体"/>
          <w:color w:val="auto"/>
          <w:sz w:val="21"/>
          <w:szCs w:val="21"/>
          <w:highlight w:val="none"/>
        </w:rPr>
        <w:t>，再结合本项目最终经甲方（含其委托的第三方审核机构）、监理人审核确认的检测（试验）方案及甲方（含其委托的第三方审核机构）、监理人确认的实际检测（试验）工作量按实结算，但最终结算价不得超出暂定总合同价款（含税）。</w:t>
      </w:r>
    </w:p>
    <w:p w14:paraId="58585A93">
      <w:pPr>
        <w:widowControl w:val="0"/>
        <w:wordWrap/>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zh-CN"/>
        </w:rPr>
        <w:t>不含税综合单价包含为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乙方销项税额以外的税金等，报价过程产生的费用、办理履约担保费用、水电及进退场、差旅、驻地、办公设施、用品、食宿费、交通、通讯、施工配合费、保险费、风险费、检测方案的审查及专家论证费等完成本项目服务相关的直接及间接费用。除另有约定外，本工程检测（试验）的不含税综合单价在合同实施期间不因任何因素而调整（包括但不限于工程的工期延长、检测工作量变化等），</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lang w:val="zh-CN"/>
        </w:rPr>
        <w:t>及丙方也不承担任何额外费用。检测时，如需土建施工单位配合或向其租借设备时，</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lang w:val="zh-CN"/>
        </w:rPr>
        <w:t>自行与施工单位协调，配合及租借费用已包括在不含税综合单价内。</w:t>
      </w:r>
    </w:p>
    <w:p w14:paraId="4FAAF978">
      <w:pPr>
        <w:adjustRightInd w:val="0"/>
        <w:snapToGrid w:val="0"/>
        <w:spacing w:line="360" w:lineRule="auto"/>
        <w:ind w:left="420" w:left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11</w:t>
      </w:r>
      <w:r>
        <w:rPr>
          <w:rFonts w:hint="eastAsia" w:ascii="宋体" w:hAnsi="宋体" w:eastAsia="宋体" w:cs="宋体"/>
          <w:b/>
          <w:color w:val="auto"/>
          <w:sz w:val="21"/>
          <w:szCs w:val="21"/>
          <w:highlight w:val="none"/>
        </w:rPr>
        <w:t>.第三方检测合同计费依据</w:t>
      </w:r>
    </w:p>
    <w:p w14:paraId="216401EB">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（1）本项目的计费标准按照合同附件一《工程量清单计价表》（详见附件）中的不含税</w:t>
      </w:r>
      <w:r>
        <w:rPr>
          <w:rFonts w:hint="eastAsia" w:ascii="宋体" w:hAnsi="宋体" w:eastAsia="宋体" w:cs="宋体"/>
          <w:color w:val="auto"/>
          <w:sz w:val="21"/>
          <w:szCs w:val="21"/>
          <w:highlight w:val="none"/>
        </w:rPr>
        <w:t>综合单价×实际检测工作量进行结算。</w:t>
      </w:r>
    </w:p>
    <w:p w14:paraId="77095DC3">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量清单计价表》不作为乙方最终服务范围及业务承接数量的保证，甲方有权根据实际需求对检测工程量进行优化调整，最终服务费用按实际发生工程量结算，但最终结算价不得超出暂定总合同价款（含税）。在合同服务期内，乙方不得因实际检测项目数量及服务费用的增减而要求甲方提供任何形式的补偿或赔偿，或只按甲方暂定的《工程量清单计价表》提供相应的对应服务。否则，视为乙方违约，甲方有权依据合同约定追究乙方的违约责任。</w:t>
      </w:r>
    </w:p>
    <w:p w14:paraId="638F669C">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（3）对于《工程量清单计价表》外新增的检测项目，不含税综合单价按以下方法计算：</w:t>
      </w:r>
    </w:p>
    <w:p w14:paraId="79B9DFEC">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①《东莞市建设工程检测行业参考收费标准（2023版）》（东检协字（2023）3号）对应项参考单价÷1.06×</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rPr>
        <w:t>检测服务系数；</w:t>
      </w:r>
    </w:p>
    <w:p w14:paraId="1CBFE087">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rPr>
        <w:t>检测服务系数；</w:t>
      </w:r>
    </w:p>
    <w:p w14:paraId="0966915E">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东莞市建设工程检测行业参考收费标准（2023版）》（东检协字（2023）3号）与《广东省房屋建筑和市政工程工程质量安全检测收费指导价》（粤建检协〔2015〕8号）均无对应项的，由甲方结合本地及周边同类城市市场询价</w:t>
      </w:r>
      <w:r>
        <w:rPr>
          <w:rFonts w:hint="eastAsia" w:ascii="宋体" w:hAnsi="宋体" w:eastAsia="宋体" w:cs="宋体"/>
          <w:color w:val="auto"/>
          <w:sz w:val="21"/>
          <w:szCs w:val="21"/>
          <w:highlight w:val="none"/>
        </w:rPr>
        <w:t>的不含税综合单价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中标</w:t>
      </w:r>
      <w:r>
        <w:rPr>
          <w:rFonts w:hint="eastAsia" w:ascii="宋体" w:hAnsi="宋体" w:eastAsia="宋体" w:cs="宋体"/>
          <w:bCs/>
          <w:color w:val="auto"/>
          <w:sz w:val="21"/>
          <w:szCs w:val="21"/>
          <w:highlight w:val="none"/>
          <w:lang w:eastAsia="zh-CN"/>
        </w:rPr>
        <w:t>检测服务系数</w:t>
      </w:r>
      <w:r>
        <w:rPr>
          <w:rFonts w:hint="eastAsia" w:ascii="宋体" w:hAnsi="宋体" w:eastAsia="宋体" w:cs="宋体"/>
          <w:bCs/>
          <w:color w:val="auto"/>
          <w:sz w:val="21"/>
          <w:szCs w:val="21"/>
          <w:highlight w:val="none"/>
        </w:rPr>
        <w:t>。</w:t>
      </w:r>
    </w:p>
    <w:p w14:paraId="7F783E2F">
      <w:pPr>
        <w:adjustRightInd w:val="0"/>
        <w:snapToGrid w:val="0"/>
        <w:spacing w:line="360" w:lineRule="auto"/>
        <w:ind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以上不含税综合单价均保留两位小数。</w:t>
      </w:r>
    </w:p>
    <w:p w14:paraId="47650F8E">
      <w:pPr>
        <w:adjustRightInd w:val="0"/>
        <w:snapToGrid w:val="0"/>
        <w:spacing w:line="360" w:lineRule="auto"/>
        <w:ind w:left="420" w:leftChars="20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.结算调整规则、范围及方式</w:t>
      </w:r>
    </w:p>
    <w:p w14:paraId="41650C4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算调整的范围：因设计变更、改线或者重大工艺变更等工程变更引起的检测（试验）项目的变更，包含检测项目增减和已有检测项目中工作量的增减，乙方在实施前，须提出变更申请，经本工程的设计人、监理人及甲方（含其委托的第三方审核机构）批准后方可实施。</w:t>
      </w:r>
    </w:p>
    <w:p w14:paraId="183E0505">
      <w:pPr>
        <w:adjustRightInd w:val="0"/>
        <w:snapToGrid w:val="0"/>
        <w:spacing w:line="360" w:lineRule="auto"/>
        <w:ind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（2）工程变更项目检测的计价：</w:t>
      </w:r>
      <w:r>
        <w:rPr>
          <w:rFonts w:hint="eastAsia" w:ascii="宋体" w:hAnsi="宋体" w:eastAsia="宋体" w:cs="宋体"/>
          <w:b/>
          <w:bCs/>
          <w:color w:val="auto"/>
          <w:sz w:val="21"/>
          <w:szCs w:val="21"/>
          <w:highlight w:val="none"/>
        </w:rPr>
        <w:t>合同价中已有适用于变更检测项目的不含税综合单价，按合同已有的不含税综合单价变更合同价款；合同中已有类似变更检测项目的不含税综合单价，可参照类似检测项目不含税综合单价变更合同价款；合同中没有适用于变更检测项目的不含税综合单价，经批准变更后，按照《东莞市建设工程检测行业参考收费标准（2023版）》（东检协字（2023）3号）对应项参考单价÷1.06×</w:t>
      </w: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color w:val="auto"/>
          <w:sz w:val="21"/>
          <w:szCs w:val="21"/>
          <w:highlight w:val="none"/>
          <w:lang w:eastAsia="zh-CN"/>
        </w:rPr>
        <w:t>检测服务系数</w:t>
      </w:r>
      <w:r>
        <w:rPr>
          <w:rFonts w:hint="eastAsia" w:ascii="宋体" w:hAnsi="宋体" w:eastAsia="宋体" w:cs="宋体"/>
          <w:b/>
          <w:bCs/>
          <w:color w:val="auto"/>
          <w:sz w:val="21"/>
          <w:szCs w:val="21"/>
          <w:highlight w:val="none"/>
        </w:rPr>
        <w:t>，《东莞市建设工程检测行业参考收费标准(2023版)》（东检协字（2023）3号）中无对应项，则按照《广东省房屋建筑和市政工程工程质量安全检测收费指导价》（粤建检协〔2015〕8号）对应项单价÷1.06×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color w:val="auto"/>
          <w:sz w:val="21"/>
          <w:szCs w:val="21"/>
          <w:highlight w:val="none"/>
          <w:lang w:eastAsia="zh-CN"/>
        </w:rPr>
        <w:t>检测服务系数</w:t>
      </w:r>
      <w:r>
        <w:rPr>
          <w:rFonts w:hint="eastAsia" w:ascii="宋体" w:hAnsi="宋体" w:eastAsia="宋体" w:cs="宋体"/>
          <w:b/>
          <w:bCs/>
          <w:color w:val="auto"/>
          <w:sz w:val="21"/>
          <w:szCs w:val="21"/>
          <w:highlight w:val="none"/>
        </w:rPr>
        <w:t>,《东莞市建设工程检测行业参考收费标准(2023版)》（东检协字（2023）3号）与《广东省房屋建筑和市政工程工程质量安全检测收费指导价》（粤建检协〔2015〕8号）均无对应项的，由甲方结合本地及周边同类城市市场询价的不含税综合单价×</w:t>
      </w:r>
      <w:r>
        <w:rPr>
          <w:rFonts w:hint="eastAsia" w:ascii="宋体" w:hAnsi="宋体" w:eastAsia="宋体" w:cs="宋体"/>
          <w:b/>
          <w:bCs/>
          <w:color w:val="auto"/>
          <w:sz w:val="21"/>
          <w:szCs w:val="21"/>
          <w:highlight w:val="none"/>
          <w:lang w:val="en-US" w:eastAsia="zh-CN"/>
        </w:rPr>
        <w:t>中标</w:t>
      </w:r>
      <w:r>
        <w:rPr>
          <w:rFonts w:hint="eastAsia" w:ascii="宋体" w:hAnsi="宋体" w:eastAsia="宋体" w:cs="宋体"/>
          <w:b/>
          <w:color w:val="auto"/>
          <w:sz w:val="21"/>
          <w:szCs w:val="21"/>
          <w:highlight w:val="none"/>
          <w:lang w:eastAsia="zh-CN"/>
        </w:rPr>
        <w:t>检测服务系数</w:t>
      </w:r>
      <w:r>
        <w:rPr>
          <w:rFonts w:hint="eastAsia" w:ascii="宋体" w:hAnsi="宋体" w:eastAsia="宋体" w:cs="宋体"/>
          <w:b/>
          <w:bCs/>
          <w:color w:val="auto"/>
          <w:sz w:val="21"/>
          <w:szCs w:val="21"/>
          <w:highlight w:val="none"/>
        </w:rPr>
        <w:t>计算。所有变更的检测项目均须书面向甲方申报，经甲方（含其委托的第三方审核机构）审核批准同意后方可实施。</w:t>
      </w:r>
    </w:p>
    <w:p w14:paraId="5A8A65B7">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（3）在完成所有合同内容并具备结算条件3个月后，仍未报结算资料，甲方将书面发函督促办理结算，函中明确接到函件10个工作日后，仍未提交结算资料，或不配合甲方完成结算工作，丙方</w:t>
      </w:r>
      <w:r>
        <w:rPr>
          <w:rFonts w:hint="eastAsia" w:ascii="宋体" w:hAnsi="宋体" w:eastAsia="宋体" w:cs="宋体"/>
          <w:b/>
          <w:bCs/>
          <w:color w:val="auto"/>
          <w:sz w:val="21"/>
          <w:szCs w:val="21"/>
          <w:highlight w:val="none"/>
          <w:lang w:eastAsia="zh-CN"/>
        </w:rPr>
        <w:t>或甲方</w:t>
      </w:r>
      <w:r>
        <w:rPr>
          <w:rFonts w:hint="eastAsia" w:ascii="宋体" w:hAnsi="宋体" w:eastAsia="宋体" w:cs="宋体"/>
          <w:b/>
          <w:bCs/>
          <w:color w:val="auto"/>
          <w:sz w:val="21"/>
          <w:szCs w:val="21"/>
          <w:highlight w:val="none"/>
        </w:rPr>
        <w:t>将根据已支付的进度款进行单方结算，由此所产生的法律责任均由乙方承担。</w:t>
      </w:r>
    </w:p>
    <w:p w14:paraId="2FB75DE1">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33" w:name="_Toc28743"/>
      <w:bookmarkStart w:id="534" w:name="_Toc29878"/>
    </w:p>
    <w:p w14:paraId="719F7464">
      <w:pPr>
        <w:keepNext/>
        <w:keepLines/>
        <w:adjustRightInd w:val="0"/>
        <w:snapToGri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二、检测内容</w:t>
      </w:r>
      <w:bookmarkEnd w:id="533"/>
      <w:bookmarkEnd w:id="534"/>
    </w:p>
    <w:p w14:paraId="186A43A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检测内容包括但不限于（具体检测内容及数量以《检测工程量清单计价表》为准）：</w:t>
      </w:r>
    </w:p>
    <w:p w14:paraId="56FD58A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bookmarkStart w:id="535" w:name="_Toc21598"/>
      <w:bookmarkStart w:id="536" w:name="_Toc5003"/>
      <w:r>
        <w:rPr>
          <w:rFonts w:hint="eastAsia" w:ascii="宋体" w:hAnsi="宋体" w:eastAsia="宋体" w:cs="宋体"/>
          <w:b w:val="0"/>
          <w:bCs/>
          <w:color w:val="auto"/>
          <w:sz w:val="21"/>
          <w:szCs w:val="21"/>
          <w:highlight w:val="none"/>
        </w:rPr>
        <w:t>1、地基基础检测；</w:t>
      </w:r>
    </w:p>
    <w:p w14:paraId="5F6024A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2、结构实体检测；</w:t>
      </w:r>
    </w:p>
    <w:p w14:paraId="0607651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3、材料检测；</w:t>
      </w:r>
    </w:p>
    <w:p w14:paraId="7FDB4AE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4、道路检测；</w:t>
      </w:r>
    </w:p>
    <w:p w14:paraId="2D804158">
      <w:pPr>
        <w:ind w:firstLine="420" w:firstLineChars="200"/>
        <w:rPr>
          <w:rFonts w:hint="eastAsia"/>
          <w:color w:val="auto"/>
          <w:highlight w:val="none"/>
        </w:rPr>
      </w:pPr>
      <w:r>
        <w:rPr>
          <w:rFonts w:hint="eastAsia" w:ascii="宋体" w:hAnsi="宋体" w:eastAsia="宋体" w:cs="宋体"/>
          <w:b w:val="0"/>
          <w:bCs/>
          <w:color w:val="auto"/>
          <w:sz w:val="21"/>
          <w:szCs w:val="21"/>
          <w:highlight w:val="none"/>
        </w:rPr>
        <w:t>5、根据相关法律、法规及主管部门的规定，必须另行独立采购的项目不包含在本次采购范围之内。</w:t>
      </w:r>
    </w:p>
    <w:p w14:paraId="21DB61B0">
      <w:pPr>
        <w:keepNext/>
        <w:keepLines/>
        <w:adjustRightInd w:val="0"/>
        <w:snapToGrid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三、检测数量</w:t>
      </w:r>
      <w:bookmarkEnd w:id="535"/>
      <w:bookmarkEnd w:id="536"/>
    </w:p>
    <w:p w14:paraId="66375257">
      <w:pPr>
        <w:adjustRightInd w:val="0"/>
        <w:snapToGrid w:val="0"/>
        <w:spacing w:line="360" w:lineRule="auto"/>
        <w:ind w:left="18" w:hanging="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具体参照《工程量清单计价表》，并以甲方最终审核为准。《工程量清单计价表》不作为乙方最终服务范围及业务承接数量的保证，甲方有权根据实际需求对检测工程量进行优化调整，最终按实际发生工程量统计。</w:t>
      </w:r>
    </w:p>
    <w:p w14:paraId="3788701B">
      <w:pPr>
        <w:rPr>
          <w:rFonts w:hint="eastAsia"/>
          <w:color w:val="auto"/>
          <w:highlight w:val="none"/>
        </w:rPr>
      </w:pPr>
    </w:p>
    <w:p w14:paraId="45E9A40D">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37" w:name="_Toc28787"/>
      <w:bookmarkStart w:id="538" w:name="_Toc29325"/>
      <w:r>
        <w:rPr>
          <w:rFonts w:hint="eastAsia" w:ascii="宋体" w:hAnsi="宋体" w:eastAsia="宋体" w:cs="宋体"/>
          <w:b/>
          <w:color w:val="auto"/>
          <w:sz w:val="21"/>
          <w:szCs w:val="21"/>
          <w:highlight w:val="none"/>
        </w:rPr>
        <w:t>四、检测依据（如有新规范，以新的为准）</w:t>
      </w:r>
      <w:bookmarkEnd w:id="537"/>
      <w:bookmarkEnd w:id="538"/>
    </w:p>
    <w:p w14:paraId="15D66109">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1、《建筑地基基础检测规范》（DBJ/T 15-60-2019）（广东省）；</w:t>
      </w:r>
    </w:p>
    <w:p w14:paraId="6809160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2、《建筑地基处理技术规范》（DBJ/T 15-38-2019）（广东省）；</w:t>
      </w:r>
    </w:p>
    <w:p w14:paraId="74F9AC5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3、《建筑地基检测技术规范》（JGJ 340-2015）；</w:t>
      </w:r>
    </w:p>
    <w:p w14:paraId="76AA30A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4、《建筑基坑工程技术规程》（DBJ/T 15-20-2016）（广东省）；</w:t>
      </w:r>
    </w:p>
    <w:p w14:paraId="1699945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5、《建筑地基基础设计规范》（DBJ 15-31-2016）</w:t>
      </w:r>
    </w:p>
    <w:p w14:paraId="389509D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6、《钢结构工程施工质量验收标准》（GB 50205-2020）；</w:t>
      </w:r>
    </w:p>
    <w:p w14:paraId="69A61BB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7、《混凝土结构工程施工质量验收规范》（GB 50204-2015）；</w:t>
      </w:r>
    </w:p>
    <w:p w14:paraId="210D0A87">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8、《城镇道路路面设计规范》（GJJ 169-2012）；</w:t>
      </w:r>
    </w:p>
    <w:p w14:paraId="3014A2B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9、《城镇道路工程施工与质量验收规范》（GJJ 1-2008）；</w:t>
      </w:r>
    </w:p>
    <w:p w14:paraId="673A9AD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10、《通用硅酸盐水泥》（GB 175-2007）；</w:t>
      </w:r>
    </w:p>
    <w:p w14:paraId="1B22B64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11、《建筑砂浆基本性能试验方法标准》（JGJ/T 70-2009）；</w:t>
      </w:r>
    </w:p>
    <w:p w14:paraId="74E1CD2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12、《普通混凝土配合比设计规程》（JGJ 55-2011）；</w:t>
      </w:r>
    </w:p>
    <w:p w14:paraId="4BCB03E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13、《混凝土物理力学性能试验方法标准》（GB/T 50081-2019）；</w:t>
      </w:r>
    </w:p>
    <w:p w14:paraId="5BD049B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14、《普通混凝土长期性能和耐久性能试验方法标准》（GB/T 50082-2009）；</w:t>
      </w:r>
    </w:p>
    <w:p w14:paraId="05C3372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15、《砌筑砂浆配合比设计规程》（JGJ/T 98-2010）；</w:t>
      </w:r>
    </w:p>
    <w:p w14:paraId="67596AAD">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16、《用于水泥和混凝土中的粉煤灰》（GB/T1596-2017）；</w:t>
      </w:r>
    </w:p>
    <w:p w14:paraId="524388F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17、《普通混凝土用砂、石质量及检验方法标准》（JGJ52-2006）；</w:t>
      </w:r>
    </w:p>
    <w:p w14:paraId="2017D5A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18、《建设用砂》（GB/T 14684-2022）；</w:t>
      </w:r>
    </w:p>
    <w:p w14:paraId="60C64A9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19、《建设用卵石、碎石》（GB/T 14685-2022）；</w:t>
      </w:r>
    </w:p>
    <w:p w14:paraId="6403CDA3">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20、《混凝土外加剂》（GB 8076-2008）；</w:t>
      </w:r>
    </w:p>
    <w:p w14:paraId="094F262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21、《喷射混凝土用速凝剂》（JC/T 477-2005）；</w:t>
      </w:r>
    </w:p>
    <w:p w14:paraId="7405213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22、《喷射混凝土用速凝剂》（GB/T 35159-2017）；</w:t>
      </w:r>
    </w:p>
    <w:p w14:paraId="2FA6475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23、《混凝土膨胀剂》（GB 23439-2009）；</w:t>
      </w:r>
    </w:p>
    <w:p w14:paraId="2BB4647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24、《钢筋混凝土用钢 第1部分：热轧光圆钢筋》（GB/T 1499.1-2017）；</w:t>
      </w:r>
    </w:p>
    <w:p w14:paraId="2FB8F37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25、《钢筋混凝土用钢 第2部分：热轧带肋钢筋》（GB/T 1499.2-2018）；</w:t>
      </w:r>
    </w:p>
    <w:p w14:paraId="02EE268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26、《钢筋焊接接头试验方法标准》（JGJ/T27-2014）；</w:t>
      </w:r>
    </w:p>
    <w:p w14:paraId="1AF414D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27、《钢筋机械连接用套筒》（JG/T 163-2013）；</w:t>
      </w:r>
    </w:p>
    <w:p w14:paraId="7E23AB8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28、《金属材料 拉伸试验 第1部分:室温试验方法》（GB/T 228.1-2021）；</w:t>
      </w:r>
    </w:p>
    <w:p w14:paraId="576A025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29、《合成树脂乳液外墙涂料》（GB/T 9755-2014）；</w:t>
      </w:r>
    </w:p>
    <w:p w14:paraId="73005BF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30、《钢结构防火涂料》（GB 14907-2018）；</w:t>
      </w:r>
    </w:p>
    <w:p w14:paraId="033DF8F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31、《聚氨酯防水涂料》（GB/T 19250-2013）；</w:t>
      </w:r>
    </w:p>
    <w:p w14:paraId="093FF8A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32、《聚合物水泥防水涂料》（GB/T 23445-2009）；</w:t>
      </w:r>
    </w:p>
    <w:p w14:paraId="7E62065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33、《塑料绝缘控制电缆》（GB/T9330-2020）；</w:t>
      </w:r>
    </w:p>
    <w:p w14:paraId="1C9361B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34、《电缆和光缆在火焰条件下的燃烧试验 第12部分：单根绝缘电线电缆火焰垂直蔓延试验 1 kW 预混合型火焰试验方法》（GB/T18380.12-2022）；</w:t>
      </w:r>
    </w:p>
    <w:p w14:paraId="2688D04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35、《家用和类似用途固定式电气装置的开关 第1部分：通用要求》（GB/T 16915.1-2014）；</w:t>
      </w:r>
    </w:p>
    <w:p w14:paraId="1B6E77E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36、《电工电子产品着火危险试验 第11部分：灼热丝/热丝基本试验方法 成品的灼热丝可燃性试验方法(GWEPT)》（GB/T 5169.11-2017）；</w:t>
      </w:r>
    </w:p>
    <w:p w14:paraId="0F86E03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37、《家用和类似用途插头插座 第1部分：通用要求》（GB/T 2099.1-2021）；</w:t>
      </w:r>
    </w:p>
    <w:p w14:paraId="7AC1C27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38、《混凝土接缝密封嵌缝板》 （JC/T 2255-2014）；</w:t>
      </w:r>
    </w:p>
    <w:p w14:paraId="49CC215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39、《高分子防水材料 第2部分：止水带》（GB/T 18173.2-2014）；</w:t>
      </w:r>
    </w:p>
    <w:p w14:paraId="273609EC">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40、《建筑地基工程施工质量验收标准》（GB 50202-2018）；</w:t>
      </w:r>
    </w:p>
    <w:p w14:paraId="71A65EB4">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41、《混凝土结构工程施工质量验收规范》（GB 50204-2015）；</w:t>
      </w:r>
    </w:p>
    <w:p w14:paraId="5AD795F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42、《回弹法检测混凝土抗压强度技术规程》（JGJ/T 23-2011）；</w:t>
      </w:r>
    </w:p>
    <w:p w14:paraId="5FABFCD0">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43、《混凝土中钢筋检测技术标准》（JGJ/T 152-2019）；</w:t>
      </w:r>
    </w:p>
    <w:p w14:paraId="26A4B31A">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44、《焊缝无损检测 超声检测技术、检测等级和评定》（GB/T 11345-2013）；</w:t>
      </w:r>
    </w:p>
    <w:p w14:paraId="6F9ECE6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45、《焊缝无损检测 射线检测 第1部分：X和伽玛射线的胶片技术》（GB／T 3323.1-2019）；</w:t>
      </w:r>
    </w:p>
    <w:p w14:paraId="62AACD7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46、《东莞市建设工程质量检测服务手册》（第一版）；</w:t>
      </w:r>
    </w:p>
    <w:p w14:paraId="1721EE1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47、《东莞市建设工程检测行业参考收费标准（2023版）》；</w:t>
      </w:r>
    </w:p>
    <w:p w14:paraId="1EF96F9F">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48、《广东省房屋建筑和市政工程工程质量安全检测收费指导价》（粤建检协[2015]8号）；</w:t>
      </w:r>
    </w:p>
    <w:p w14:paraId="292A7471">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49、其他相关合同等文件资料及相关法律法规。</w:t>
      </w:r>
    </w:p>
    <w:p w14:paraId="0D66D0B5">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50、国家及省市建设主管部门的相关文件和规范；</w:t>
      </w:r>
    </w:p>
    <w:p w14:paraId="3915FDC8">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51、设计资料等。</w:t>
      </w:r>
    </w:p>
    <w:p w14:paraId="6EC8C256">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以上规范若有更新版本，应按最新的版本执行。在合同执行期内，各专项施工的执行标准、规范，如未列举，则按国家、行业、地方颁布的相应的政策、法规、规范、标准等执行。</w:t>
      </w:r>
    </w:p>
    <w:p w14:paraId="3B6BB702">
      <w:pPr>
        <w:adjustRightInd w:val="0"/>
        <w:snapToGrid w:val="0"/>
        <w:spacing w:line="360" w:lineRule="auto"/>
        <w:ind w:left="210"/>
        <w:rPr>
          <w:rFonts w:hint="eastAsia" w:ascii="宋体" w:hAnsi="宋体" w:eastAsia="宋体" w:cs="宋体"/>
          <w:color w:val="auto"/>
          <w:sz w:val="21"/>
          <w:szCs w:val="21"/>
          <w:highlight w:val="none"/>
        </w:rPr>
      </w:pPr>
    </w:p>
    <w:p w14:paraId="6DFF7D04">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39" w:name="_Toc10812"/>
      <w:bookmarkStart w:id="540" w:name="_Toc19219"/>
      <w:r>
        <w:rPr>
          <w:rFonts w:hint="eastAsia" w:ascii="宋体" w:hAnsi="宋体" w:eastAsia="宋体" w:cs="宋体"/>
          <w:b/>
          <w:color w:val="auto"/>
          <w:sz w:val="21"/>
          <w:szCs w:val="21"/>
          <w:highlight w:val="none"/>
        </w:rPr>
        <w:t>五、检测费用支付方式</w:t>
      </w:r>
      <w:bookmarkEnd w:id="539"/>
      <w:bookmarkEnd w:id="540"/>
    </w:p>
    <w:p w14:paraId="7397B342">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乙方向甲方、丙方承诺，丙方有权直接向乙方支付合同价款，也有权委托甲方向乙方代付价款，具体支付方式以甲方通知为准，乙方对此不持异议。如丙方委托甲方向乙方代付工程价款的，因甲方系受丙方委托代付，乙方承诺不得就合同款项问题向甲方主张任何权利，乙方同意甲方亦无需承担任何责任；如因款项支付产生纠纷的(包括但不限于诉讼等)，由乙方与丙方协调处理，与甲方无关。</w:t>
      </w:r>
    </w:p>
    <w:p w14:paraId="535DBE0B">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以季度为单位，即按季度计量支付进度款，</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须向</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提供相应的正式检测报告，经监理人及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审核通过后，</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提交对应的请款报告30天内向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支付进度款。</w:t>
      </w:r>
    </w:p>
    <w:p w14:paraId="33D19AED">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以季度为单位按经监理人及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审核通过的检测报告所涉款项的80%支付本合同进度款，但</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累计支付的进度款不超过暂定总合同价款价税合计的80%，待工程竣工验收合格，项目结算完毕，并提交请款报告后30天内，</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按结算价一次性支付余款。</w:t>
      </w:r>
    </w:p>
    <w:p w14:paraId="3F4CB797">
      <w:pPr>
        <w:widowControl w:val="0"/>
        <w:wordWrap/>
        <w:adjustRightInd w:val="0"/>
        <w:snapToGrid w:val="0"/>
        <w:spacing w:line="360" w:lineRule="auto"/>
        <w:ind w:firstLine="420" w:firstLineChars="200"/>
        <w:contextualSpacing/>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收取每笔款项前，在提交请款报告的同时一并提供等额有效的增值税</w:t>
      </w:r>
      <w:r>
        <w:rPr>
          <w:rFonts w:hint="eastAsia" w:ascii="宋体" w:hAnsi="宋体" w:eastAsia="宋体" w:cs="宋体"/>
          <w:color w:val="auto"/>
          <w:sz w:val="21"/>
          <w:szCs w:val="21"/>
          <w:highlight w:val="none"/>
          <w:lang w:eastAsia="zh-CN"/>
        </w:rPr>
        <w:t>普通</w:t>
      </w:r>
      <w:r>
        <w:rPr>
          <w:rFonts w:hint="eastAsia" w:ascii="宋体" w:hAnsi="宋体" w:eastAsia="宋体" w:cs="宋体"/>
          <w:color w:val="auto"/>
          <w:sz w:val="21"/>
          <w:szCs w:val="21"/>
          <w:highlight w:val="none"/>
        </w:rPr>
        <w:t>发票，</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在收到相关请款材料审核后支付；</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逾期提交请款材料或提供的发票不合格的，</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的付款时间可相应顺延，且不视为违约。因支付产生的相关银行手续费用，根据有关银行规定执行，如不能明确费用承担主体的，相关手续费用由双方各承担50%。由于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提供的发票不符合税法规定，给</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造成的损失由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承担赔偿责任。</w:t>
      </w:r>
    </w:p>
    <w:p w14:paraId="2730102B">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4AD6DA90">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41" w:name="_Toc22236"/>
      <w:bookmarkStart w:id="542" w:name="_Toc12139"/>
      <w:r>
        <w:rPr>
          <w:rFonts w:hint="eastAsia" w:ascii="宋体" w:hAnsi="宋体" w:eastAsia="宋体" w:cs="宋体"/>
          <w:b/>
          <w:color w:val="auto"/>
          <w:sz w:val="21"/>
          <w:szCs w:val="21"/>
          <w:highlight w:val="none"/>
        </w:rPr>
        <w:t>六、双方权利及义务</w:t>
      </w:r>
      <w:bookmarkEnd w:id="541"/>
      <w:bookmarkEnd w:id="542"/>
    </w:p>
    <w:p w14:paraId="17796653">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1.甲方权利及义务：</w:t>
      </w:r>
    </w:p>
    <w:p w14:paraId="06CBA602">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14:paraId="24A6A0C9">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14:paraId="619B614E">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14:paraId="0B1A3B70">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（4）协助乙方仪器及运输设备顺利进场。</w:t>
      </w:r>
    </w:p>
    <w:p w14:paraId="7148F39F">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（5）监督受监施工单位定时向乙方提供进度计划，协调作业时间，保证乙方有足够时间展开检测工作。</w:t>
      </w:r>
    </w:p>
    <w:p w14:paraId="1385AE3A">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（6）有权对乙方的检测工作进行监督，对其违约行为发出整改通知。</w:t>
      </w:r>
    </w:p>
    <w:p w14:paraId="2C68BD28">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（7）合同履约期间，甲方有权对检测范围、要求、规模及特征等根据项目实际情况作出相应调整，调整后双方根据实际工作量进行结算。</w:t>
      </w:r>
    </w:p>
    <w:p w14:paraId="33734E2A">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（8）甲方按照既定的审批程序，及时办理服务费的审批手续。</w:t>
      </w:r>
    </w:p>
    <w:p w14:paraId="276FE67E">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（9）施工现场用水、用电在有条件的情况下由甲方负责提供水、电接入点，乙方自行接入。</w:t>
      </w:r>
    </w:p>
    <w:p w14:paraId="057E9806">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（10）合同文件及附件内容约定的甲方其余权利义务。</w:t>
      </w:r>
    </w:p>
    <w:p w14:paraId="306C5FCA">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2.乙方权利及义务：</w:t>
      </w:r>
    </w:p>
    <w:p w14:paraId="07A66ED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的履行期间，乙方应当保持相应资质的有效性，且具备在东莞市开展检测服务工作的资格条件。因乙方资质条件丧失，导致无法开展检测工作的，甲方有权另行委托其他第三方，并且乙方需向甲方支付暂定总合同价款（含税）的20%的违约金。同时，造成甲方的经济损失（包括但不限于重新招标、委托第三方的费用），由乙方承担全部赔偿。</w:t>
      </w:r>
    </w:p>
    <w:p w14:paraId="5112EBF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（2）对甲方委派的检测工作，乙方应当根据本合同约定、招投标文件及甲方要求进行开展，不得借故拒绝接受委托。</w:t>
      </w:r>
    </w:p>
    <w:p w14:paraId="3080B04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（3）按照国家颁发的有关检测技术标准或规范，采用科学先进的方法进行检测评估和试验过程的全程监控、记录，保证数据真实可靠，对检测结果真实性、准确性、合法性、完整性负责。</w:t>
      </w:r>
    </w:p>
    <w:p w14:paraId="5CFC08B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检测报告、数据成果、文件等质量不合格的，应负责无偿给予修改、补充完善使其达到甲方要求；如乙方怠于或无力修改、补充完善，甲方有权另委托其他单位继续进行，乙方应承担由此产生的全部检测费用及其他损失。</w:t>
      </w:r>
    </w:p>
    <w:p w14:paraId="4DD3129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乙方提供的检测报告、数据成果、文件等质量不合格造成甲方经济损失（包括但不限于检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p>
    <w:p w14:paraId="3D45799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14:paraId="54E1AC9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（7）严格遵守国家法律、法规，协助甲方做好社会治安综合管理工作和计划生育等工作。乙方员工有违法乱纪或犯罪的行为，乙方应承担一切经济责任和法律责任。</w:t>
      </w:r>
    </w:p>
    <w:p w14:paraId="31C5BCA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14:paraId="1878D11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14:paraId="3EF7654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合同期限内保存好全部与检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37689CE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（11）如施工现场甲方无法提供水、电接入点，乙方自行解决施工用水、用电并承担相关费用。</w:t>
      </w:r>
    </w:p>
    <w:p w14:paraId="4FA071C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（12）乙方应按本合同及招、投标文件的要求按时提供检测报告和其他甲方认为有必要提供的中间过程资料、图表、照片（包括电子资料）等，以及向甲方提供咨询服务和建议。</w:t>
      </w:r>
    </w:p>
    <w:p w14:paraId="6E66FF8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（13）检测过程中，乙方自行对本单位的仪器、设备安全负责，自行承担保管职责，对检测所产生的水、电等费用由乙方负责。</w:t>
      </w:r>
    </w:p>
    <w:p w14:paraId="7FE534C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（14）与检测工程的施工单位、设计单位、监理单位等单位相互配合，数据共享。</w:t>
      </w:r>
    </w:p>
    <w:p w14:paraId="4A58800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（15）本合同约定范围内必要的修改，补充，应由乙方负责，甲方不再另付检测费用或其他费用。</w:t>
      </w:r>
    </w:p>
    <w:p w14:paraId="23E3B17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在检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14:paraId="774D289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（17）乙方提交给甲方的检测成果知识产权归属甲方，乙方须确保甲方在使用过程中免受第三方关于知识产权或其他合法权益的起诉，否则，乙方应承担由此给甲方造成的一切损失。</w:t>
      </w:r>
    </w:p>
    <w:p w14:paraId="68EBA12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乙方应确保其具备履行本合同工作所需的相关资质，否则，因此产生的一切后果由乙方承担。乙方应建立健全内部管理制度，并接受甲方及有关主管部门对项目服务状况、服务质量的监督检查。因乙方原因导致甲方损失的，应当全额赔偿甲方的损失。</w:t>
      </w:r>
    </w:p>
    <w:p w14:paraId="0D22885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若甲方需参加诉讼，相关费用（包括但不限于诉讼费、律师费、鉴定费、公证费、交通住宿费等全部）及损失全部由乙方承担，甲方可启动履约担保支付。</w:t>
      </w:r>
    </w:p>
    <w:p w14:paraId="253A714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（20）本合同所述的乙方应承担的甲方损失，包括但不限于甲方支出的赔偿金、诉讼费、保全费、律师费、鉴定费等。</w:t>
      </w:r>
    </w:p>
    <w:p w14:paraId="6ACB546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（21）本项目禁止转包，若特殊项目乙方无相应资质的，必须经甲方批准后送符合条件（具备相应资质）的分包单位进行检测，并出具相应的检测报告，否则将视为乙方违约，出具的报告不予承认。</w:t>
      </w:r>
    </w:p>
    <w:p w14:paraId="0259AD6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（22）合同文件及附件内容约定的乙方其他权利义务。</w:t>
      </w:r>
    </w:p>
    <w:p w14:paraId="36EB72A9">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1AA443EF">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43" w:name="_Toc12889"/>
      <w:bookmarkStart w:id="544" w:name="_Toc20858"/>
      <w:r>
        <w:rPr>
          <w:rFonts w:hint="eastAsia" w:ascii="宋体" w:hAnsi="宋体" w:eastAsia="宋体" w:cs="宋体"/>
          <w:b/>
          <w:color w:val="auto"/>
          <w:sz w:val="21"/>
          <w:szCs w:val="21"/>
          <w:highlight w:val="none"/>
        </w:rPr>
        <w:t>七、成果要求</w:t>
      </w:r>
      <w:bookmarkEnd w:id="543"/>
      <w:bookmarkEnd w:id="544"/>
    </w:p>
    <w:p w14:paraId="4BAB6E0B">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1、合同签订后15天内，</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应根据批准的工程施工组织设计、工程设计文件、市政工程建设标准、国家及行业规范等制定并向</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提交详细的可实施的检测方案1份。</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应积极配合</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调整优化检测方案，并提交</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确认。</w:t>
      </w:r>
    </w:p>
    <w:p w14:paraId="48C3977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在各项检测工作完成后应提交检测报告一式三份（含纸质版及电子档），检测报告包含但不限于：项目概况、检测位置、检测结果与结论、各类原始记录等内容，具体以相关规范为准。</w:t>
      </w:r>
    </w:p>
    <w:p w14:paraId="107076F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应向</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提交正式、合法的检测报告书，并同时加盖资质认定标志（即CMA印章）和</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检验检测报告专用章。</w:t>
      </w:r>
    </w:p>
    <w:p w14:paraId="78074ADE">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4、</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所提供给</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的成果资料所有权由</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享有，未经</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许可，</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不得将成果泄露给第三方。</w:t>
      </w:r>
    </w:p>
    <w:p w14:paraId="6C503E02">
      <w:pPr>
        <w:pStyle w:val="53"/>
        <w:widowControl w:val="0"/>
        <w:wordWrap/>
        <w:adjustRightInd w:val="0"/>
        <w:snapToGrid w:val="0"/>
        <w:spacing w:line="360" w:lineRule="auto"/>
        <w:ind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5、</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须保证检测成果质量，对技术成果负完全责任，如因检测不实，造成</w:t>
      </w:r>
      <w:r>
        <w:rPr>
          <w:rFonts w:hint="eastAsia" w:ascii="宋体" w:hAnsi="宋体" w:eastAsia="宋体" w:cs="宋体"/>
          <w:b w:val="0"/>
          <w:bCs/>
          <w:color w:val="auto"/>
          <w:sz w:val="21"/>
          <w:szCs w:val="21"/>
          <w:highlight w:val="none"/>
          <w:lang w:eastAsia="zh-CN"/>
        </w:rPr>
        <w:t>甲方</w:t>
      </w:r>
      <w:r>
        <w:rPr>
          <w:rFonts w:hint="eastAsia" w:ascii="宋体" w:hAnsi="宋体" w:eastAsia="宋体" w:cs="宋体"/>
          <w:b w:val="0"/>
          <w:bCs/>
          <w:color w:val="auto"/>
          <w:sz w:val="21"/>
          <w:szCs w:val="21"/>
          <w:highlight w:val="none"/>
        </w:rPr>
        <w:t>经济损失费用全部由</w:t>
      </w:r>
      <w:r>
        <w:rPr>
          <w:rFonts w:hint="eastAsia" w:ascii="宋体" w:hAnsi="宋体" w:eastAsia="宋体" w:cs="宋体"/>
          <w:b w:val="0"/>
          <w:bCs/>
          <w:color w:val="auto"/>
          <w:sz w:val="21"/>
          <w:szCs w:val="21"/>
          <w:highlight w:val="none"/>
          <w:lang w:eastAsia="zh-CN"/>
        </w:rPr>
        <w:t>乙方</w:t>
      </w:r>
      <w:r>
        <w:rPr>
          <w:rFonts w:hint="eastAsia" w:ascii="宋体" w:hAnsi="宋体" w:eastAsia="宋体" w:cs="宋体"/>
          <w:b w:val="0"/>
          <w:bCs/>
          <w:color w:val="auto"/>
          <w:sz w:val="21"/>
          <w:szCs w:val="21"/>
          <w:highlight w:val="none"/>
        </w:rPr>
        <w:t>承担，并应负责重检。</w:t>
      </w:r>
    </w:p>
    <w:p w14:paraId="10651045">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70C7851B">
      <w:pPr>
        <w:adjustRightInd w:val="0"/>
        <w:snapToGrid w:val="0"/>
        <w:spacing w:line="360" w:lineRule="auto"/>
        <w:ind w:firstLine="420" w:firstLineChars="200"/>
        <w:rPr>
          <w:rFonts w:hint="eastAsia" w:ascii="宋体" w:hAnsi="宋体" w:eastAsia="宋体" w:cs="宋体"/>
          <w:bCs/>
          <w:color w:val="auto"/>
          <w:sz w:val="21"/>
          <w:szCs w:val="21"/>
          <w:highlight w:val="none"/>
        </w:rPr>
      </w:pPr>
    </w:p>
    <w:p w14:paraId="29FBB9A3">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45" w:name="_Toc29923"/>
      <w:bookmarkStart w:id="546" w:name="_Toc27788"/>
      <w:r>
        <w:rPr>
          <w:rFonts w:hint="eastAsia" w:ascii="宋体" w:hAnsi="宋体" w:eastAsia="宋体" w:cs="宋体"/>
          <w:b/>
          <w:color w:val="auto"/>
          <w:sz w:val="21"/>
          <w:szCs w:val="21"/>
          <w:highlight w:val="none"/>
        </w:rPr>
        <w:t>八、质量控制标准</w:t>
      </w:r>
      <w:bookmarkEnd w:id="545"/>
      <w:bookmarkEnd w:id="546"/>
    </w:p>
    <w:p w14:paraId="533841D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1.乙方应当建立健全并落实各项管理制度，保证检测项目工作正常进行，并接受甲方及有关主管部门对项目服务质量的监督检查。</w:t>
      </w:r>
    </w:p>
    <w:p w14:paraId="68C2A4D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2.乙方应建立并实施符合本项目各项要求的质量管理体系。</w:t>
      </w:r>
    </w:p>
    <w:p w14:paraId="29DDF4E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3.甲方代表有权在工作时间内进入乙方的工作地点检查其质保手册、质量计划及其它与质量相关的文件的实施情况。</w:t>
      </w:r>
    </w:p>
    <w:p w14:paraId="2CF19A25">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p>
    <w:p w14:paraId="3EF6413C">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47" w:name="_Toc17838"/>
      <w:bookmarkStart w:id="548" w:name="_Toc18764"/>
      <w:r>
        <w:rPr>
          <w:rFonts w:hint="eastAsia" w:ascii="宋体" w:hAnsi="宋体" w:eastAsia="宋体" w:cs="宋体"/>
          <w:b/>
          <w:color w:val="auto"/>
          <w:sz w:val="21"/>
          <w:szCs w:val="21"/>
          <w:highlight w:val="none"/>
        </w:rPr>
        <w:t>九、人员及设备要求</w:t>
      </w:r>
      <w:bookmarkEnd w:id="547"/>
      <w:bookmarkEnd w:id="548"/>
    </w:p>
    <w:p w14:paraId="7A27A76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1.乙方派出的检测人员应具备相应的专业知识及技术水平，有足够能力完成本项目检测服务工作。</w:t>
      </w:r>
    </w:p>
    <w:p w14:paraId="71DA7D8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需配备1名项目负责人、1名技术负责人及数量充足的检测工作人员，保证检测工作有序、顺利完成。</w:t>
      </w:r>
    </w:p>
    <w:p w14:paraId="6A48D5D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3.乙方应配备完成本项目所必须的检测设备，其性能良好并符合国家规定。同时配备数量充足的交通警示标志和施工</w:t>
      </w:r>
      <w:r>
        <w:rPr>
          <w:rFonts w:hint="eastAsia" w:ascii="宋体" w:hAnsi="宋体" w:eastAsia="宋体" w:cs="宋体"/>
          <w:color w:val="auto"/>
          <w:sz w:val="21"/>
          <w:szCs w:val="21"/>
          <w:highlight w:val="none"/>
          <w:lang w:eastAsia="zh-CN"/>
        </w:rPr>
        <w:t>围挡</w:t>
      </w:r>
      <w:r>
        <w:rPr>
          <w:rFonts w:hint="eastAsia" w:ascii="宋体" w:hAnsi="宋体" w:eastAsia="宋体" w:cs="宋体"/>
          <w:color w:val="auto"/>
          <w:sz w:val="21"/>
          <w:szCs w:val="21"/>
          <w:highlight w:val="none"/>
        </w:rPr>
        <w:t>，以及检测仪器、无线通讯设备、劳动防护用品等其它必须使用的工具。</w:t>
      </w:r>
    </w:p>
    <w:p w14:paraId="29397561">
      <w:pPr>
        <w:widowControl/>
        <w:adjustRightInd w:val="0"/>
        <w:snapToGrid w:val="0"/>
        <w:spacing w:line="360" w:lineRule="auto"/>
        <w:rPr>
          <w:rFonts w:hint="eastAsia" w:ascii="宋体" w:hAnsi="宋体" w:eastAsia="宋体" w:cs="宋体"/>
          <w:color w:val="auto"/>
          <w:sz w:val="21"/>
          <w:szCs w:val="21"/>
          <w:highlight w:val="none"/>
        </w:rPr>
      </w:pPr>
    </w:p>
    <w:p w14:paraId="75BE1C2B">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49" w:name="_Toc28935"/>
      <w:bookmarkStart w:id="550" w:name="_Toc26320"/>
      <w:r>
        <w:rPr>
          <w:rFonts w:hint="eastAsia" w:ascii="宋体" w:hAnsi="宋体" w:eastAsia="宋体" w:cs="宋体"/>
          <w:b/>
          <w:color w:val="auto"/>
          <w:sz w:val="21"/>
          <w:szCs w:val="21"/>
          <w:highlight w:val="none"/>
        </w:rPr>
        <w:t>十、违约责任</w:t>
      </w:r>
      <w:bookmarkEnd w:id="549"/>
      <w:bookmarkEnd w:id="550"/>
    </w:p>
    <w:p w14:paraId="25AE855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乙方未按本合同约定配备必要的办公场所、设备或者服务人员的，甲方有权就违约事宜提出改正，如乙方仍拒不改正的，甲方有权选择解除本合同或服务合同，并没收全部履约担保。</w:t>
      </w:r>
    </w:p>
    <w:p w14:paraId="34E012CD">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在本合同履行过程中，无论何种原因，乙方均不得消极怠工或拒不履行合同义务（包括但不限于技术支持、专家会审、解答释疑、事故处理，修正检测报告及数据成果等），或履行的合同义务不符合要求的。如有违反，将视为乙方违约，甲方有权就违约事宜提出改正，要求乙方按壹万元/次承担违约金，若限期内未按照甲方要求进行整改或限期整改后不符合甲方要求的，甲方有权选择解除合同，要求乙方按暂定总合同价款（含税）的10%承担违约金，并有权依法委托有资质的第三方继续履行本合同义务，由此造成的一切损失由乙方承担。同时，甲方有权将情况如实报送至政府相关主管部门</w:t>
      </w:r>
      <w:r>
        <w:rPr>
          <w:rFonts w:hint="eastAsia" w:ascii="宋体" w:hAnsi="宋体" w:eastAsia="宋体" w:cs="宋体"/>
          <w:bCs/>
          <w:color w:val="auto"/>
          <w:sz w:val="21"/>
          <w:szCs w:val="21"/>
          <w:highlight w:val="none"/>
        </w:rPr>
        <w:t>。</w:t>
      </w:r>
    </w:p>
    <w:p w14:paraId="438CD1C0">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由于乙方原因造成检测报告、成果数据、文件等质量不合格，不能满足技术要求时，乙方除按合同约定承担责任外，其返工重新检测等产生的费用由乙方承担</w:t>
      </w:r>
      <w:r>
        <w:rPr>
          <w:rFonts w:hint="eastAsia" w:ascii="宋体" w:hAnsi="宋体" w:eastAsia="宋体" w:cs="宋体"/>
          <w:bCs/>
          <w:color w:val="auto"/>
          <w:sz w:val="21"/>
          <w:szCs w:val="21"/>
          <w:highlight w:val="none"/>
        </w:rPr>
        <w:t>。</w:t>
      </w:r>
    </w:p>
    <w:p w14:paraId="6B0D2F34">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履行期间，由于工程停建而终止合同或甲方要求解除合同时，双方互不承担赔偿责任。乙方未进行检测工作的，应退还甲方已预付的费用；已进行检测工作的，根据其中标报价按甲方审核确认实际完成的工作量进行结算。</w:t>
      </w:r>
    </w:p>
    <w:p w14:paraId="306DDBB0">
      <w:pPr>
        <w:adjustRightInd w:val="0"/>
        <w:snapToGrid w:val="0"/>
        <w:spacing w:line="360" w:lineRule="auto"/>
        <w:ind w:firstLine="420" w:firstLineChars="200"/>
        <w:contextualSpacing/>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5.若非甲方原因，由于乙方原因未按甲方要求时间（日期）提交检测报告、成果数据、文件资料、检测方案的，或未按期履行其他义务的，每逾期一日，乙方按贰仟元/天承担违约金。逾期超过</w:t>
      </w:r>
      <w:r>
        <w:rPr>
          <w:rFonts w:hint="eastAsia" w:ascii="宋体" w:hAnsi="宋体" w:eastAsia="宋体" w:cs="宋体"/>
          <w:color w:val="auto"/>
          <w:sz w:val="21"/>
          <w:szCs w:val="21"/>
          <w:highlight w:val="none"/>
          <w:u w:val="single"/>
        </w:rPr>
        <w:t>15</w:t>
      </w:r>
      <w:r>
        <w:rPr>
          <w:rFonts w:hint="eastAsia" w:ascii="宋体" w:hAnsi="宋体" w:eastAsia="宋体" w:cs="宋体"/>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p w14:paraId="1171A2C9">
      <w:pPr>
        <w:adjustRightInd w:val="0"/>
        <w:snapToGrid w:val="0"/>
        <w:spacing w:line="360" w:lineRule="auto"/>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6.合同履行期间，乙方未达到的投标时承诺的事项，每次按暂定总合同价款（含税）的1%承担违约金。</w:t>
      </w:r>
    </w:p>
    <w:p w14:paraId="2105C71F">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7</w:t>
      </w:r>
      <w:r>
        <w:rPr>
          <w:rFonts w:hint="eastAsia" w:ascii="宋体" w:hAnsi="宋体" w:eastAsia="宋体" w:cs="宋体"/>
          <w:bCs/>
          <w:color w:val="auto"/>
          <w:sz w:val="21"/>
          <w:szCs w:val="21"/>
          <w:highlight w:val="none"/>
        </w:rPr>
        <w:t>.乙方违反约定非法转包、分包的，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p w14:paraId="06C5309C">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乙方存在如下情形之一的，甲方有权书面通知乙方单方解除本合同，并由乙方承担履约担保等额的违约金，同时有权没收履约担保，给甲方造成损失的，乙方还足额应赔偿甲方：</w:t>
      </w:r>
    </w:p>
    <w:p w14:paraId="75DF8C11">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（1）提供虚假信息、误导或欺骗甲方及丙方，以谋取非法利益的；</w:t>
      </w:r>
    </w:p>
    <w:p w14:paraId="724AEB44">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（2）违反诚信信用原则，没有严格执行相关质量、服务，损害甲方、丙方或相关用户单位的利益的；</w:t>
      </w:r>
    </w:p>
    <w:p w14:paraId="2E3C7EFE">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（3）违反有关法律法规以及本合同的约定，损害甲方利益的；</w:t>
      </w:r>
    </w:p>
    <w:p w14:paraId="6E06CEC0">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（4）拒绝接受甲方、丙方及相关部门监督、检查的；</w:t>
      </w:r>
    </w:p>
    <w:p w14:paraId="574388C2">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（5）出现信用危机、财务危机、生产经营危机甚至破产、倒闭，无法继续履行本合同的；</w:t>
      </w:r>
    </w:p>
    <w:p w14:paraId="69D7C54A">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（6）采用非法手段进行不正当竞争的，构成恶劣影响；</w:t>
      </w:r>
    </w:p>
    <w:p w14:paraId="353C2510">
      <w:pPr>
        <w:adjustRightInd w:val="0"/>
        <w:snapToGrid w:val="0"/>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（7）违反本合同约定，泄露服务项目内容的。</w:t>
      </w:r>
    </w:p>
    <w:p w14:paraId="28833FE6">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应按及时足额向工人发放工资待遇以及其他劳动待遇等，不得无故拖欠或克扣，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p w14:paraId="65531653">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10</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乙方必须积极响应并接受相关部门的监督检查，若受到相关部门的批评，经调查认定情况属实的，视情节轻重要求其承担违约责任；造成恶劣影响的，甲方有权解除合同。</w:t>
      </w:r>
    </w:p>
    <w:p w14:paraId="7E4A20F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11</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乙方在服务年限内，在履行本合同约定的义务过程中出现违反国家法律法规、主管部门规章制度、擅自提高价格或提供伪劣服务内容、服务质量低劣造成甲方损失等情况的，甲方有权视不同情况分别给予警告、抵扣履约担保或取消合同等处理。</w:t>
      </w:r>
    </w:p>
    <w:p w14:paraId="55584218">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w:t>
      </w:r>
      <w:r>
        <w:rPr>
          <w:rFonts w:hint="eastAsia" w:ascii="宋体" w:hAnsi="宋体" w:eastAsia="宋体" w:cs="宋体"/>
          <w:color w:val="auto"/>
          <w:sz w:val="21"/>
          <w:szCs w:val="21"/>
          <w:highlight w:val="none"/>
        </w:rPr>
        <w:t>未经甲方书面同意，乙方变更项目负责人或技术负责人的，甲方有权要求乙方按伍万元/人/次承担违约金。</w:t>
      </w:r>
    </w:p>
    <w:p w14:paraId="5ABC4C6A">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甲方每季度根据合同附件五《检测单位履约考核评分表》对乙方评价一次，出具考核评价结果。甲方将严格按照考核评分标准对乙方进行季度检查和考核。考评[70,80)分的，处相应付款周期内经甲方确认的检测费的10%作为违约金，考评[60,70)分的，处相应付款周期经甲方确认的检测费的20%作为违约金，考评60分以下的，处相应付款周期经甲方确认的检测</w:t>
      </w:r>
      <w:r>
        <w:rPr>
          <w:rFonts w:hint="eastAsia" w:ascii="宋体" w:hAnsi="宋体" w:eastAsia="宋体" w:cs="宋体"/>
          <w:bCs/>
          <w:color w:val="auto"/>
          <w:sz w:val="21"/>
          <w:szCs w:val="21"/>
          <w:highlight w:val="none"/>
          <w:lang w:val="en-US" w:eastAsia="zh-CN"/>
        </w:rPr>
        <w:t>费</w:t>
      </w:r>
      <w:r>
        <w:rPr>
          <w:rFonts w:hint="eastAsia" w:ascii="宋体" w:hAnsi="宋体" w:eastAsia="宋体" w:cs="宋体"/>
          <w:bCs/>
          <w:color w:val="auto"/>
          <w:sz w:val="21"/>
          <w:szCs w:val="21"/>
          <w:highlight w:val="none"/>
        </w:rPr>
        <w:t>的30%作为违约金。上述“[”代表闭区间，“)”代表开区间，如[70,80)代表该分数段范围为大于等于70且小于80。达到相应付款周期时,如乙方未申请支付本期费用, 甲方根据支付条件暂定本周期检测费并计算本周期内应缴纳的暂定违约金，乙方应予以缴纳。下一周期仍未申请时按上述做法执行，待到乙方申请支付费用时，根据合同付款流程确认检测费，同步对以往暂定违约金在本次一并确认并予以结算。</w:t>
      </w:r>
    </w:p>
    <w:p w14:paraId="4188076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甲方依据本合同条款对乙方处以违约金、赔偿、扣款等款项的，乙方应在收到违约（赔偿或扣款等款项）处理通知书之日起的五个工作日内书面授权乙方相关工作人员将款项交至甲方指定账户（须备注本项目名称）。如规定时间内未按要求将款项交至指定账号，甲方有权不审批进度款。甲方指定收款账户信息：</w:t>
      </w:r>
    </w:p>
    <w:p w14:paraId="3B47105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开户名称：东莞市水务集团建设管理有限公司</w:t>
      </w:r>
    </w:p>
    <w:p w14:paraId="78D8DE8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银行账号：2010021309200628330</w:t>
      </w:r>
    </w:p>
    <w:p w14:paraId="50C2BFC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开户银行：中国工商银行股份有限公司东莞分行</w:t>
      </w:r>
    </w:p>
    <w:p w14:paraId="4A42AF4F">
      <w:pPr>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.因乙方违约，</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通过司法途径维护自身权益的，乙方应承担</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由此支出的律师费、诉讼费、执行费、鉴定费、公证费、财产保全费及保险费等全部费用。</w:t>
      </w:r>
    </w:p>
    <w:p w14:paraId="174F1C25">
      <w:pPr>
        <w:adjustRightInd w:val="0"/>
        <w:snapToGrid w:val="0"/>
        <w:spacing w:line="360" w:lineRule="auto"/>
        <w:ind w:firstLine="420" w:firstLineChars="200"/>
        <w:rPr>
          <w:rFonts w:hint="eastAsia" w:ascii="宋体" w:hAnsi="宋体" w:eastAsia="宋体" w:cs="宋体"/>
          <w:bCs/>
          <w:color w:val="auto"/>
          <w:sz w:val="21"/>
          <w:szCs w:val="21"/>
          <w:highlight w:val="none"/>
        </w:rPr>
      </w:pPr>
    </w:p>
    <w:p w14:paraId="054DB48E">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51" w:name="_Toc8428"/>
      <w:bookmarkStart w:id="552" w:name="_Toc31226"/>
      <w:r>
        <w:rPr>
          <w:rFonts w:hint="eastAsia" w:ascii="宋体" w:hAnsi="宋体" w:eastAsia="宋体" w:cs="宋体"/>
          <w:b/>
          <w:color w:val="auto"/>
          <w:sz w:val="21"/>
          <w:szCs w:val="21"/>
          <w:highlight w:val="none"/>
        </w:rPr>
        <w:t>十一、履约担保</w:t>
      </w:r>
      <w:bookmarkEnd w:id="551"/>
      <w:bookmarkEnd w:id="552"/>
    </w:p>
    <w:p w14:paraId="5ADA873C">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1.乙方应当根据招标文件的规定在签订本合同前向甲方提供履约担保，履约担保形式及金额由乙方从以下方式中任选一种：</w:t>
      </w:r>
    </w:p>
    <w:p w14:paraId="2C12993F">
      <w:pPr>
        <w:widowControl/>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履约保证金（银行转账形式）金额为暂定总合同价款（含税）的5%为¥     元（大写人民币      ）；</w:t>
      </w:r>
    </w:p>
    <w:p w14:paraId="0AA30FBE">
      <w:pPr>
        <w:widowControl/>
        <w:adjustRightInd/>
        <w:spacing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银行不可撤销履约保函金额为暂定总合同价款（含税）的8%为¥     元（大写人民币      ）；</w:t>
      </w:r>
    </w:p>
    <w:p w14:paraId="7C439C60">
      <w:pPr>
        <w:widowControl/>
        <w:adjustRightInd/>
        <w:spacing w:line="360" w:lineRule="auto"/>
        <w:ind w:firstLine="42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采用履约保证保险形式的金额为暂定总合同价款（含税）的8%</w:t>
      </w:r>
      <w:r>
        <w:rPr>
          <w:rFonts w:hint="eastAsia" w:ascii="宋体" w:hAnsi="宋体" w:eastAsia="宋体" w:cs="宋体"/>
          <w:color w:val="auto"/>
          <w:sz w:val="21"/>
          <w:szCs w:val="21"/>
          <w:highlight w:val="none"/>
        </w:rPr>
        <w:t>为¥     元（大写人民币      ）；</w:t>
      </w:r>
    </w:p>
    <w:p w14:paraId="160D880A">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担保公司履约担保书金额为暂定总合同价款（含税）的10%为¥     元（大写人民币      ）。</w:t>
      </w:r>
    </w:p>
    <w:p w14:paraId="3D9E9F16">
      <w:pPr>
        <w:widowControl/>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合同履行过程中，</w:t>
      </w:r>
      <w:r>
        <w:rPr>
          <w:rFonts w:hint="eastAsia" w:ascii="宋体" w:hAnsi="宋体" w:eastAsia="宋体" w:cs="宋体"/>
          <w:bCs/>
          <w:color w:val="auto"/>
          <w:kern w:val="0"/>
          <w:sz w:val="21"/>
          <w:szCs w:val="21"/>
          <w:highlight w:val="none"/>
          <w:lang w:eastAsia="zh-CN"/>
        </w:rPr>
        <w:t>乙方</w:t>
      </w:r>
      <w:r>
        <w:rPr>
          <w:rFonts w:hint="eastAsia" w:ascii="宋体" w:hAnsi="宋体" w:eastAsia="宋体" w:cs="宋体"/>
          <w:color w:val="auto"/>
          <w:kern w:val="0"/>
          <w:sz w:val="21"/>
          <w:szCs w:val="21"/>
          <w:highlight w:val="none"/>
        </w:rPr>
        <w:t>给</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造成的损失超过履约担保数额的，</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还应当对超过部分予以赔偿，</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并依法追究</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的相应责任。</w:t>
      </w:r>
    </w:p>
    <w:p w14:paraId="6521DDA9">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2.履约担保用于补偿甲方因乙方不能完全履行其合同义务而蒙受的损失或其他合同约定的事项，如发生下列任一情况时，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有权依合同追究违约责任外，同时有权提取履约担保并进行相应处理：</w:t>
      </w:r>
    </w:p>
    <w:p w14:paraId="48062652">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将合同项下</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的权利义务全部转让给第三方，或未经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书面同意将部分权利义务转让给第三方的，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有权没收其履约担保。</w:t>
      </w:r>
    </w:p>
    <w:p w14:paraId="7807D6A1">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在合同履行期间，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怠于履行合同义务，经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通知或要求承担违约金后仍拒不改正的，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可依法没收或适当扣除其履约担保。</w:t>
      </w:r>
    </w:p>
    <w:p w14:paraId="62E1D903">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在合同履行期间，因</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lang w:val="en-US" w:eastAsia="zh-CN"/>
        </w:rPr>
        <w:t>服</w:t>
      </w:r>
      <w:r>
        <w:rPr>
          <w:rFonts w:hint="eastAsia" w:ascii="宋体" w:hAnsi="宋体" w:eastAsia="宋体" w:cs="宋体"/>
          <w:color w:val="auto"/>
          <w:sz w:val="21"/>
          <w:szCs w:val="21"/>
          <w:highlight w:val="none"/>
        </w:rPr>
        <w:t>务质量问题造成损害、侵权损失（包括但不限于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经济损失、第三人人身财产损失等）、与其所雇用员工发生劳资纠纷、上访、闹事或其他影响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生产经营等情况而其未及时妥善处理的，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有权使用履约担保予以支付或作出相应处理，由此产生的一切法律后果由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w:t>
      </w:r>
    </w:p>
    <w:p w14:paraId="10EBC57D">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在合同履行期间，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违约产生的违约金、赔偿、罚款或其他应付费用等款项，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有权直接从未付款项中直接扣除或启用履约担保予以支付。</w:t>
      </w:r>
    </w:p>
    <w:p w14:paraId="3024562B">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合同期内，</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不能及时完成合同某项义务的，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有权提取履约担保用于处理该项工作。</w:t>
      </w:r>
    </w:p>
    <w:p w14:paraId="114EBFA3">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其他根据本合同约定或法律规定，</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可启用履约担保的情形。</w:t>
      </w:r>
    </w:p>
    <w:p w14:paraId="1D5FE94C">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以履约保证金（银行转账形式）提供履约担保的在依法完成本项目的所有合同义务，且结算完毕之后二十八（28）个日历天后，经</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确认，</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可向</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提交退回履约担保的申请。</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审核无异议后，办理履约担保退还手续，退回时一律以银行转账的形式无息退回到</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lang w:val="en-US" w:eastAsia="zh-CN"/>
        </w:rPr>
        <w:t>账户</w:t>
      </w:r>
      <w:r>
        <w:rPr>
          <w:rFonts w:hint="eastAsia" w:ascii="宋体" w:hAnsi="宋体" w:eastAsia="宋体" w:cs="宋体"/>
          <w:color w:val="auto"/>
          <w:kern w:val="0"/>
          <w:sz w:val="21"/>
          <w:szCs w:val="21"/>
          <w:highlight w:val="none"/>
        </w:rPr>
        <w:t>。</w:t>
      </w:r>
    </w:p>
    <w:p w14:paraId="1C448855">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4.如乙方提供不可撤销银行履约保函（或履约保证保险或担保公司履约担保书）作为履约担保的，不可撤销银行履约保函（或履约保证保险或担保公司履约担保书）应从</w:t>
      </w:r>
      <w:r>
        <w:rPr>
          <w:rFonts w:hint="eastAsia" w:ascii="宋体" w:hAnsi="宋体" w:eastAsia="宋体" w:cs="宋体"/>
          <w:color w:val="auto"/>
          <w:sz w:val="21"/>
          <w:szCs w:val="21"/>
          <w:highlight w:val="none"/>
          <w:lang w:eastAsia="zh-CN"/>
        </w:rPr>
        <w:t>合同签订之日起至合同期限届满并履行完毕相关服务义务且结算完毕之后二十八（28）个日历天内保持有效</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如果</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提交的履约担保的有效期届满时间先于招标文件、合同文件要求的，</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应在原提交的履约担保有效期届满前15日内，无条件办理符合</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要求的履约担保延期手续，否则视为</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违约，</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或履约保证保险</w:t>
      </w:r>
      <w:r>
        <w:rPr>
          <w:rFonts w:hint="eastAsia" w:ascii="宋体" w:hAnsi="宋体" w:eastAsia="宋体" w:cs="宋体"/>
          <w:color w:val="auto"/>
          <w:kern w:val="0"/>
          <w:sz w:val="21"/>
          <w:szCs w:val="21"/>
          <w:highlight w:val="none"/>
          <w:lang w:val="en-US" w:eastAsia="zh-CN"/>
        </w:rPr>
        <w:t>或</w:t>
      </w:r>
      <w:r>
        <w:rPr>
          <w:rFonts w:hint="eastAsia" w:ascii="宋体" w:hAnsi="宋体" w:eastAsia="宋体" w:cs="宋体"/>
          <w:color w:val="auto"/>
          <w:kern w:val="0"/>
          <w:sz w:val="21"/>
          <w:szCs w:val="21"/>
          <w:highlight w:val="none"/>
        </w:rPr>
        <w:t>担保公司履约担保书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到期后</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未按</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要求重新提供的，</w:t>
      </w:r>
      <w:r>
        <w:rPr>
          <w:rFonts w:hint="eastAsia" w:ascii="宋体" w:hAnsi="宋体" w:eastAsia="宋体" w:cs="宋体"/>
          <w:color w:val="auto"/>
          <w:kern w:val="0"/>
          <w:sz w:val="21"/>
          <w:szCs w:val="21"/>
          <w:highlight w:val="none"/>
          <w:lang w:eastAsia="zh-CN"/>
        </w:rPr>
        <w:t>甲方</w:t>
      </w:r>
      <w:r>
        <w:rPr>
          <w:rFonts w:hint="eastAsia" w:ascii="宋体" w:hAnsi="宋体" w:eastAsia="宋体" w:cs="宋体"/>
          <w:color w:val="auto"/>
          <w:kern w:val="0"/>
          <w:sz w:val="21"/>
          <w:szCs w:val="21"/>
          <w:highlight w:val="none"/>
        </w:rPr>
        <w:t>有权要求</w:t>
      </w:r>
      <w:r>
        <w:rPr>
          <w:rFonts w:hint="eastAsia" w:ascii="宋体" w:hAnsi="宋体" w:eastAsia="宋体" w:cs="宋体"/>
          <w:color w:val="auto"/>
          <w:kern w:val="0"/>
          <w:sz w:val="21"/>
          <w:szCs w:val="21"/>
          <w:highlight w:val="none"/>
          <w:lang w:eastAsia="zh-CN"/>
        </w:rPr>
        <w:t>乙方</w:t>
      </w:r>
      <w:r>
        <w:rPr>
          <w:rFonts w:hint="eastAsia" w:ascii="宋体" w:hAnsi="宋体" w:eastAsia="宋体" w:cs="宋体"/>
          <w:color w:val="auto"/>
          <w:kern w:val="0"/>
          <w:sz w:val="21"/>
          <w:szCs w:val="21"/>
          <w:highlight w:val="none"/>
        </w:rPr>
        <w:t>以履约担保金额为限承担违约金，</w:t>
      </w:r>
      <w:r>
        <w:rPr>
          <w:rFonts w:hint="eastAsia" w:ascii="宋体" w:hAnsi="宋体" w:eastAsia="宋体" w:cs="宋体"/>
          <w:color w:val="auto"/>
          <w:sz w:val="21"/>
          <w:szCs w:val="21"/>
          <w:highlight w:val="none"/>
        </w:rPr>
        <w:t>违约金可直接由丙方从未付款项中扣除并支付给甲方。</w:t>
      </w:r>
    </w:p>
    <w:p w14:paraId="7CCEA9B7">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5.在合同履行过程中，不论何种原因导致履约担保数额不符合招标文件要求的，乙方应当在5</w:t>
      </w:r>
      <w:r>
        <w:rPr>
          <w:rFonts w:hint="eastAsia" w:ascii="宋体" w:hAnsi="宋体" w:eastAsia="宋体" w:cs="宋体"/>
          <w:color w:val="auto"/>
          <w:kern w:val="0"/>
          <w:sz w:val="21"/>
          <w:szCs w:val="21"/>
          <w:highlight w:val="none"/>
        </w:rPr>
        <w:t>日内予以补足</w:t>
      </w:r>
      <w:r>
        <w:rPr>
          <w:rFonts w:hint="eastAsia" w:ascii="宋体" w:hAnsi="宋体" w:eastAsia="宋体" w:cs="宋体"/>
          <w:color w:val="auto"/>
          <w:sz w:val="21"/>
          <w:szCs w:val="21"/>
          <w:highlight w:val="none"/>
        </w:rPr>
        <w:t>。逾期不予补足的，甲方有权按需补足的金额要求乙方承担违约金，并要求限期补足。如乙方仍不补足的，甲方有权单方解除合同</w:t>
      </w:r>
      <w:r>
        <w:rPr>
          <w:rFonts w:hint="eastAsia" w:ascii="宋体" w:hAnsi="宋体" w:eastAsia="宋体" w:cs="宋体"/>
          <w:color w:val="auto"/>
          <w:kern w:val="0"/>
          <w:sz w:val="21"/>
          <w:szCs w:val="21"/>
          <w:highlight w:val="none"/>
        </w:rPr>
        <w:t>，违约金可直接从未付合同款或履约担保中扣除</w:t>
      </w:r>
      <w:r>
        <w:rPr>
          <w:rFonts w:hint="eastAsia" w:ascii="宋体" w:hAnsi="宋体" w:eastAsia="宋体" w:cs="宋体"/>
          <w:color w:val="auto"/>
          <w:sz w:val="21"/>
          <w:szCs w:val="21"/>
          <w:highlight w:val="none"/>
        </w:rPr>
        <w:t>。</w:t>
      </w:r>
    </w:p>
    <w:p w14:paraId="4AA2E7A1">
      <w:pPr>
        <w:widowControl/>
        <w:adjustRightInd w:val="0"/>
        <w:snapToGrid w:val="0"/>
        <w:spacing w:line="360" w:lineRule="auto"/>
        <w:rPr>
          <w:rFonts w:hint="eastAsia" w:ascii="宋体" w:hAnsi="宋体" w:eastAsia="宋体" w:cs="宋体"/>
          <w:color w:val="auto"/>
          <w:sz w:val="21"/>
          <w:szCs w:val="21"/>
          <w:highlight w:val="none"/>
        </w:rPr>
      </w:pPr>
    </w:p>
    <w:p w14:paraId="723235F6">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53" w:name="_Toc2445"/>
      <w:bookmarkStart w:id="554" w:name="_Toc14555"/>
      <w:r>
        <w:rPr>
          <w:rFonts w:hint="eastAsia" w:ascii="宋体" w:hAnsi="宋体" w:eastAsia="宋体" w:cs="宋体"/>
          <w:b/>
          <w:color w:val="auto"/>
          <w:sz w:val="21"/>
          <w:szCs w:val="21"/>
          <w:highlight w:val="none"/>
        </w:rPr>
        <w:t>十二、其他约定</w:t>
      </w:r>
      <w:bookmarkEnd w:id="553"/>
      <w:bookmarkEnd w:id="554"/>
    </w:p>
    <w:p w14:paraId="70E4EBB9">
      <w:pPr>
        <w:widowControl/>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本合同专用条款第十二条“其他约定”若与本合同其他条款内容不相一致的，以第十二条优先解释、处理。</w:t>
      </w:r>
    </w:p>
    <w:p w14:paraId="484049DF">
      <w:pPr>
        <w:widowControl/>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1.支付、结算条款一览表</w:t>
      </w:r>
    </w:p>
    <w:tbl>
      <w:tblPr>
        <w:tblStyle w:val="37"/>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1087"/>
        <w:gridCol w:w="8321"/>
      </w:tblGrid>
      <w:tr w14:paraId="37186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33AFB24A">
            <w:pPr>
              <w:pStyle w:val="5"/>
              <w:suppressLineNumbers w:val="0"/>
              <w:wordWrap w:val="0"/>
              <w:snapToGrid w:val="0"/>
              <w:spacing w:before="0" w:beforeAutospacing="0" w:after="0" w:afterAutospacing="0" w:line="360" w:lineRule="auto"/>
              <w:ind w:left="0" w:right="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序号</w:t>
            </w:r>
          </w:p>
        </w:tc>
        <w:tc>
          <w:tcPr>
            <w:tcW w:w="1087" w:type="dxa"/>
            <w:vAlign w:val="center"/>
          </w:tcPr>
          <w:p w14:paraId="5C787410">
            <w:pPr>
              <w:pStyle w:val="5"/>
              <w:suppressLineNumbers w:val="0"/>
              <w:wordWrap w:val="0"/>
              <w:snapToGrid w:val="0"/>
              <w:spacing w:before="0" w:beforeAutospacing="0" w:after="0" w:afterAutospacing="0" w:line="360" w:lineRule="auto"/>
              <w:ind w:left="0" w:right="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类别</w:t>
            </w:r>
          </w:p>
        </w:tc>
        <w:tc>
          <w:tcPr>
            <w:tcW w:w="8321" w:type="dxa"/>
            <w:vAlign w:val="center"/>
          </w:tcPr>
          <w:p w14:paraId="1BB3A977">
            <w:pPr>
              <w:pStyle w:val="5"/>
              <w:suppressLineNumbers w:val="0"/>
              <w:wordWrap w:val="0"/>
              <w:snapToGrid w:val="0"/>
              <w:spacing w:before="0" w:beforeAutospacing="0" w:after="0" w:afterAutospacing="0" w:line="360" w:lineRule="auto"/>
              <w:ind w:left="0" w:right="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具体条款</w:t>
            </w:r>
          </w:p>
        </w:tc>
      </w:tr>
      <w:tr w14:paraId="77617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5E2084BA">
            <w:pPr>
              <w:pStyle w:val="5"/>
              <w:suppressLineNumbers w:val="0"/>
              <w:wordWrap w:val="0"/>
              <w:snapToGrid w:val="0"/>
              <w:spacing w:before="0" w:beforeAutospacing="0" w:after="0" w:afterAutospacing="0" w:line="360" w:lineRule="auto"/>
              <w:ind w:left="0" w:right="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w:t>
            </w:r>
          </w:p>
        </w:tc>
        <w:tc>
          <w:tcPr>
            <w:tcW w:w="1087" w:type="dxa"/>
            <w:vAlign w:val="center"/>
          </w:tcPr>
          <w:p w14:paraId="16D68A78">
            <w:pPr>
              <w:pStyle w:val="5"/>
              <w:suppressLineNumbers w:val="0"/>
              <w:wordWrap w:val="0"/>
              <w:snapToGrid w:val="0"/>
              <w:spacing w:before="0" w:beforeAutospacing="0" w:after="0" w:afterAutospacing="0" w:line="360" w:lineRule="auto"/>
              <w:ind w:left="0" w:right="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定金或预付款</w:t>
            </w:r>
          </w:p>
        </w:tc>
        <w:tc>
          <w:tcPr>
            <w:tcW w:w="8321" w:type="dxa"/>
            <w:vAlign w:val="center"/>
          </w:tcPr>
          <w:p w14:paraId="2FEFD3BC">
            <w:pPr>
              <w:keepNext w:val="0"/>
              <w:keepLines w:val="0"/>
              <w:suppressLineNumbers w:val="0"/>
              <w:wordWrap w:val="0"/>
              <w:spacing w:before="0" w:beforeAutospacing="0" w:after="0" w:afterAutospacing="0" w:line="360" w:lineRule="auto"/>
              <w:ind w:left="0" w:right="0" w:firstLine="422" w:firstLineChars="2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丙方向乙方支付定金金额: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或预付款的金额：</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14:paraId="3EA685C3">
            <w:pPr>
              <w:keepNext w:val="0"/>
              <w:keepLines w:val="0"/>
              <w:suppressLineNumbers w:val="0"/>
              <w:wordWrap w:val="0"/>
              <w:adjustRightInd w:val="0"/>
              <w:snapToGrid w:val="0"/>
              <w:spacing w:before="0" w:beforeAutospacing="0" w:after="0" w:afterAutospacing="0" w:line="360" w:lineRule="auto"/>
              <w:ind w:left="0" w:right="0" w:firstLine="422" w:firstLineChars="201"/>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定金或预付款在进度款中的抵扣办法：</w:t>
            </w:r>
            <w:r>
              <w:rPr>
                <w:rFonts w:hint="eastAsia" w:ascii="宋体" w:hAnsi="宋体" w:eastAsia="宋体" w:cs="宋体"/>
                <w:color w:val="auto"/>
                <w:sz w:val="21"/>
                <w:szCs w:val="21"/>
                <w:highlight w:val="none"/>
                <w:u w:val="single"/>
              </w:rPr>
              <w:t xml:space="preserve">   /   </w:t>
            </w:r>
          </w:p>
        </w:tc>
      </w:tr>
      <w:tr w14:paraId="5D8CF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357E276C">
            <w:pPr>
              <w:pStyle w:val="5"/>
              <w:suppressLineNumbers w:val="0"/>
              <w:wordWrap w:val="0"/>
              <w:snapToGrid w:val="0"/>
              <w:spacing w:before="0" w:beforeAutospacing="0" w:after="0" w:afterAutospacing="0" w:line="360" w:lineRule="auto"/>
              <w:ind w:left="0" w:right="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2</w:t>
            </w:r>
          </w:p>
        </w:tc>
        <w:tc>
          <w:tcPr>
            <w:tcW w:w="1087" w:type="dxa"/>
            <w:vAlign w:val="center"/>
          </w:tcPr>
          <w:p w14:paraId="451173DA">
            <w:pPr>
              <w:pStyle w:val="5"/>
              <w:suppressLineNumbers w:val="0"/>
              <w:wordWrap w:val="0"/>
              <w:snapToGrid w:val="0"/>
              <w:spacing w:before="0" w:beforeAutospacing="0" w:after="0" w:afterAutospacing="0" w:line="360" w:lineRule="auto"/>
              <w:ind w:left="0" w:right="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检测费用支付方式</w:t>
            </w:r>
          </w:p>
        </w:tc>
        <w:tc>
          <w:tcPr>
            <w:tcW w:w="8321" w:type="dxa"/>
            <w:vAlign w:val="center"/>
          </w:tcPr>
          <w:p w14:paraId="73863238">
            <w:pPr>
              <w:keepNext w:val="0"/>
              <w:keepLines w:val="0"/>
              <w:widowControl w:val="0"/>
              <w:suppressLineNumbers w:val="0"/>
              <w:wordWrap/>
              <w:adjustRightInd w:val="0"/>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方向甲方、丙方承诺，丙方有权直接向乙方支付合同价款，也有权委托甲方向乙方代付价款，具体支付方式以甲方通知为准，乙方对此不持异议。如丙方委托甲方向乙方代付工程价款的，因甲方系受丙方委托代付，乙方承诺不得就合同款项问题向甲方主张任何权利，乙方同意甲方亦无需承担任何责任；如因款项支付产生纠纷的(包括但不限于诉讼等)，由乙方与丙方协调处理，与甲方无关。</w:t>
            </w:r>
          </w:p>
          <w:p w14:paraId="21415980">
            <w:pPr>
              <w:keepNext w:val="0"/>
              <w:keepLines w:val="0"/>
              <w:widowControl w:val="0"/>
              <w:suppressLineNumbers w:val="0"/>
              <w:wordWrap/>
              <w:adjustRightInd w:val="0"/>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2、以季度为单位，即按季度计量支付进度款，乙方须向甲方提供相应的正式检测报告，经监理人及甲方审核通过后，</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应在乙方提交对应的请款报告30天内向乙方支付进度款。</w:t>
            </w:r>
          </w:p>
          <w:p w14:paraId="4C0D1453">
            <w:pPr>
              <w:keepNext w:val="0"/>
              <w:keepLines w:val="0"/>
              <w:widowControl w:val="0"/>
              <w:suppressLineNumbers w:val="0"/>
              <w:wordWrap/>
              <w:adjustRightInd w:val="0"/>
              <w:snapToGrid w:val="0"/>
              <w:spacing w:before="0" w:beforeAutospacing="0" w:after="0" w:afterAutospacing="0" w:line="360" w:lineRule="auto"/>
              <w:ind w:left="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以季度为单位按经监理人及甲方审核通过的检测报告所涉款项的80%支付本合同进度款，但</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累计支付的进度款不超过暂定总合同价款价税合计的80%，待工程竣工验收合格，项目结算完毕，并提交请款报告后30天内，</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按结算价一次性支付余款。</w:t>
            </w:r>
          </w:p>
          <w:p w14:paraId="0AA248E1">
            <w:pPr>
              <w:keepNext w:val="0"/>
              <w:keepLines w:val="0"/>
              <w:widowControl w:val="0"/>
              <w:suppressLineNumbers w:val="0"/>
              <w:wordWrap/>
              <w:adjustRightInd w:val="0"/>
              <w:snapToGrid w:val="0"/>
              <w:spacing w:before="0" w:beforeAutospacing="0" w:after="0" w:afterAutospacing="0" w:line="360" w:lineRule="auto"/>
              <w:ind w:left="0" w:right="0" w:firstLine="420" w:firstLineChars="200"/>
              <w:contextualSpacing/>
              <w:jc w:val="both"/>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4、乙方收取每笔款项前，在提交请款报告的同时一并提供等额有效的增值税普通发票，</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在收到相关请款材料审核后支付；乙方逾期提交请款材料或提供的发票不合格的，</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的付款时间可相应顺延，且不视为违约。因支付产生的相关银行手续费用，根据有关银行规定执行，如不能明确费用承担主体的，相关手续费用由双方各承担50%。由于乙方提供的发票不符合税法规定，给</w:t>
            </w:r>
            <w:r>
              <w:rPr>
                <w:rFonts w:hint="eastAsia" w:ascii="宋体" w:hAnsi="宋体" w:eastAsia="宋体" w:cs="宋体"/>
                <w:color w:val="auto"/>
                <w:sz w:val="21"/>
                <w:szCs w:val="21"/>
                <w:highlight w:val="none"/>
                <w:lang w:eastAsia="zh-CN"/>
              </w:rPr>
              <w:t>丙方或甲方</w:t>
            </w:r>
            <w:r>
              <w:rPr>
                <w:rFonts w:hint="eastAsia" w:ascii="宋体" w:hAnsi="宋体" w:eastAsia="宋体" w:cs="宋体"/>
                <w:color w:val="auto"/>
                <w:sz w:val="21"/>
                <w:szCs w:val="21"/>
                <w:highlight w:val="none"/>
              </w:rPr>
              <w:t>造成的损失由乙方承担赔偿责任。</w:t>
            </w:r>
          </w:p>
        </w:tc>
      </w:tr>
      <w:tr w14:paraId="7B5AD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68388BA0">
            <w:pPr>
              <w:pStyle w:val="5"/>
              <w:suppressLineNumbers w:val="0"/>
              <w:wordWrap w:val="0"/>
              <w:snapToGrid w:val="0"/>
              <w:spacing w:before="0" w:beforeAutospacing="0" w:after="0" w:afterAutospacing="0" w:line="360" w:lineRule="auto"/>
              <w:ind w:left="0" w:right="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3</w:t>
            </w:r>
          </w:p>
        </w:tc>
        <w:tc>
          <w:tcPr>
            <w:tcW w:w="1087" w:type="dxa"/>
            <w:vAlign w:val="center"/>
          </w:tcPr>
          <w:p w14:paraId="55EE6158">
            <w:pPr>
              <w:pStyle w:val="5"/>
              <w:suppressLineNumbers w:val="0"/>
              <w:wordWrap w:val="0"/>
              <w:snapToGrid w:val="0"/>
              <w:spacing w:before="0" w:beforeAutospacing="0" w:after="0" w:afterAutospacing="0" w:line="360" w:lineRule="auto"/>
              <w:ind w:left="0" w:right="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合同价款结算</w:t>
            </w:r>
          </w:p>
        </w:tc>
        <w:tc>
          <w:tcPr>
            <w:tcW w:w="8321" w:type="dxa"/>
            <w:vAlign w:val="center"/>
          </w:tcPr>
          <w:p w14:paraId="40E201FE">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暂定总合同价款（即销售额，不含乙方销项税额）（大写）：人民币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）。检测服务系数为</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w:t>
            </w:r>
          </w:p>
          <w:p w14:paraId="0BAAD68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依法计得并根据本合同约定确定的销项税额由丙方或甲方承担。根据《中华人民共和国增值税暂行条例》(国务院令第691号修订版)及当前税务部门的相关规定，本合同项目的增值税税率为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%，对应暂定总合同价款的销项税额为人民币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）。增值税税率根据《中华人民共和国增值税暂行条例》（国务院令第691号修订版）及当前税务部门的相关规定,支付和结算时按实进行调整。</w:t>
            </w:r>
          </w:p>
          <w:p w14:paraId="3307BA79">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暂定总合同价款价税合计（以下简称“暂定总合同价款（含税）”，大写）：人民币</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14:paraId="698DE02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合同附件一《工程量清单计价表》的不含税综合单价（即结算不含税综合单价）等于招标文件附件《工程量清单计价表》列出的不含税综合单价乘以中标报价（检测服务系数），结算时不作调整</w:t>
            </w:r>
            <w:r>
              <w:rPr>
                <w:rFonts w:hint="eastAsia" w:ascii="宋体" w:hAnsi="宋体" w:eastAsia="宋体" w:cs="宋体"/>
                <w:color w:val="auto"/>
                <w:sz w:val="21"/>
                <w:szCs w:val="21"/>
                <w:highlight w:val="none"/>
              </w:rPr>
              <w:t>，再结合本项目最终经甲方（含其委托的第三方审核机构）、监理人审核确认的检测（试验）方案及甲方（含其委托的第三方审核机构）、监理人确认的实际检测（试验）工作量按实结算，但最终结算价不得超出暂定总合同价款（含税）。</w:t>
            </w:r>
          </w:p>
          <w:p w14:paraId="56D37B1E">
            <w:pPr>
              <w:keepNext w:val="0"/>
              <w:keepLines w:val="0"/>
              <w:widowControl w:val="0"/>
              <w:suppressLineNumbers w:val="0"/>
              <w:wordWrap/>
              <w:adjustRightInd w:val="0"/>
              <w:snapToGrid w:val="0"/>
              <w:spacing w:before="0" w:beforeAutospacing="0" w:after="0" w:afterAutospacing="0" w:line="360" w:lineRule="auto"/>
              <w:ind w:left="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综合单价包含</w:t>
            </w:r>
            <w:r>
              <w:rPr>
                <w:rFonts w:hint="eastAsia" w:ascii="宋体" w:hAnsi="宋体" w:eastAsia="宋体" w:cs="宋体"/>
                <w:color w:val="auto"/>
                <w:kern w:val="2"/>
                <w:sz w:val="21"/>
                <w:szCs w:val="21"/>
                <w:highlight w:val="none"/>
              </w:rPr>
              <w:t>人工（含雨季、高温、赶工和夜间作业加班费，以及现场检测或试验所需的辅助劳务）、材料、仪器设备、机械、试件加工、检测（试验）及其措施（含施工期间设施的照管及受损设施的修复等）、试坑开挖、桩头处理、加荷体吊装运输、重锤吊装及运输费、钻孔费、引孔费、道路修填、临时设施费、技术工作收费、安全措施、驻地项目部等完成全部检测（试验）工作所需费用及利润、</w:t>
            </w:r>
            <w:r>
              <w:rPr>
                <w:rFonts w:hint="eastAsia" w:ascii="宋体" w:hAnsi="宋体" w:eastAsia="宋体" w:cs="宋体"/>
                <w:color w:val="auto"/>
                <w:kern w:val="2"/>
                <w:sz w:val="21"/>
                <w:szCs w:val="21"/>
                <w:highlight w:val="none"/>
                <w:lang w:eastAsia="zh-CN"/>
              </w:rPr>
              <w:t>乙方</w:t>
            </w:r>
            <w:r>
              <w:rPr>
                <w:rFonts w:hint="eastAsia" w:ascii="宋体" w:hAnsi="宋体" w:eastAsia="宋体" w:cs="宋体"/>
                <w:color w:val="auto"/>
                <w:kern w:val="2"/>
                <w:sz w:val="21"/>
                <w:szCs w:val="21"/>
                <w:highlight w:val="none"/>
              </w:rPr>
              <w:t>销项税额以外的税金</w:t>
            </w:r>
            <w:r>
              <w:rPr>
                <w:rFonts w:hint="eastAsia" w:ascii="宋体" w:hAnsi="宋体" w:eastAsia="宋体" w:cs="宋体"/>
                <w:color w:val="auto"/>
                <w:kern w:val="2"/>
                <w:sz w:val="21"/>
                <w:szCs w:val="21"/>
                <w:highlight w:val="none"/>
                <w:lang w:eastAsia="zh-CN"/>
              </w:rPr>
              <w:t>、</w:t>
            </w:r>
            <w:r>
              <w:rPr>
                <w:rFonts w:hint="eastAsia" w:ascii="宋体" w:hAnsi="宋体" w:eastAsia="宋体" w:cs="宋体"/>
                <w:color w:val="auto"/>
                <w:kern w:val="2"/>
                <w:sz w:val="21"/>
                <w:szCs w:val="21"/>
                <w:highlight w:val="none"/>
              </w:rPr>
              <w:t>报价过程产生的费用、办理履约担保费用、水电及进退场、差旅、驻地、办公设施、用品、食宿费、交通、通讯、施工配合费、保险费、风险费、检测方案的审查及专家论证费等完成本项目服务相关的直接及间接费用</w:t>
            </w:r>
            <w:r>
              <w:rPr>
                <w:rFonts w:hint="eastAsia" w:ascii="宋体" w:hAnsi="宋体" w:eastAsia="宋体" w:cs="宋体"/>
                <w:color w:val="auto"/>
                <w:sz w:val="21"/>
                <w:szCs w:val="21"/>
                <w:highlight w:val="none"/>
              </w:rPr>
              <w:t>。除另有约定外，本工程检测（试验）的</w:t>
            </w:r>
            <w:r>
              <w:rPr>
                <w:rFonts w:hint="eastAsia" w:ascii="宋体" w:hAnsi="宋体" w:eastAsia="宋体" w:cs="宋体"/>
                <w:color w:val="auto"/>
                <w:sz w:val="21"/>
                <w:szCs w:val="21"/>
                <w:highlight w:val="none"/>
                <w:lang w:val="en-US" w:eastAsia="zh-CN"/>
              </w:rPr>
              <w:t>不含税</w:t>
            </w:r>
            <w:r>
              <w:rPr>
                <w:rFonts w:hint="eastAsia" w:ascii="宋体" w:hAnsi="宋体" w:eastAsia="宋体" w:cs="宋体"/>
                <w:color w:val="auto"/>
                <w:sz w:val="21"/>
                <w:szCs w:val="21"/>
                <w:highlight w:val="none"/>
              </w:rPr>
              <w:t>综合单价在合同实施期间不因任何因素而调整（包括但不限于工程的工期延长、检测工作量变化等），</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及</w:t>
            </w:r>
            <w:r>
              <w:rPr>
                <w:rFonts w:hint="eastAsia" w:ascii="宋体" w:hAnsi="宋体" w:eastAsia="宋体" w:cs="宋体"/>
                <w:color w:val="auto"/>
                <w:sz w:val="21"/>
                <w:szCs w:val="21"/>
                <w:highlight w:val="none"/>
                <w:lang w:val="en-US" w:eastAsia="zh-CN"/>
              </w:rPr>
              <w:t>丙方</w:t>
            </w:r>
            <w:r>
              <w:rPr>
                <w:rFonts w:hint="eastAsia" w:ascii="宋体" w:hAnsi="宋体" w:eastAsia="宋体" w:cs="宋体"/>
                <w:color w:val="auto"/>
                <w:sz w:val="21"/>
                <w:szCs w:val="21"/>
                <w:highlight w:val="none"/>
              </w:rPr>
              <w:t>也不承担任何额外费用。检测时，如需土建施工单位配合或向其租借设备时，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自行与施工单位协调，配合及租借费用。</w:t>
            </w:r>
          </w:p>
        </w:tc>
      </w:tr>
      <w:tr w14:paraId="4140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vAlign w:val="center"/>
          </w:tcPr>
          <w:p w14:paraId="73BFAC6E">
            <w:pPr>
              <w:pStyle w:val="5"/>
              <w:suppressLineNumbers w:val="0"/>
              <w:wordWrap w:val="0"/>
              <w:snapToGrid w:val="0"/>
              <w:spacing w:before="0" w:beforeAutospacing="0" w:after="0" w:afterAutospacing="0" w:line="360" w:lineRule="auto"/>
              <w:ind w:left="0" w:right="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4</w:t>
            </w:r>
          </w:p>
        </w:tc>
        <w:tc>
          <w:tcPr>
            <w:tcW w:w="1087" w:type="dxa"/>
            <w:vAlign w:val="center"/>
          </w:tcPr>
          <w:p w14:paraId="1370C1A8">
            <w:pPr>
              <w:pStyle w:val="5"/>
              <w:suppressLineNumbers w:val="0"/>
              <w:wordWrap w:val="0"/>
              <w:snapToGrid w:val="0"/>
              <w:spacing w:before="0" w:beforeAutospacing="0" w:after="0" w:afterAutospacing="0" w:line="360" w:lineRule="auto"/>
              <w:ind w:left="0" w:right="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kern w:val="2"/>
                <w:sz w:val="21"/>
                <w:szCs w:val="21"/>
                <w:highlight w:val="none"/>
              </w:rPr>
              <w:t>第三方检测合同计费依据</w:t>
            </w:r>
          </w:p>
        </w:tc>
        <w:tc>
          <w:tcPr>
            <w:tcW w:w="8321" w:type="dxa"/>
            <w:vAlign w:val="center"/>
          </w:tcPr>
          <w:p w14:paraId="0709849C">
            <w:pPr>
              <w:keepNext w:val="0"/>
              <w:keepLines w:val="0"/>
              <w:suppressLineNumbers w:val="0"/>
              <w:adjustRightInd w:val="0"/>
              <w:snapToGrid w:val="0"/>
              <w:spacing w:before="0" w:beforeAutospacing="0" w:after="0" w:afterAutospacing="0" w:line="360" w:lineRule="auto"/>
              <w:ind w:left="0" w:right="0"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（1）本项目的计费标准按照合同附件一《工程量清单计价表》（详见附件）中的不含税</w:t>
            </w:r>
            <w:r>
              <w:rPr>
                <w:rFonts w:hint="eastAsia" w:ascii="宋体" w:hAnsi="宋体" w:eastAsia="宋体" w:cs="宋体"/>
                <w:color w:val="auto"/>
                <w:sz w:val="21"/>
                <w:szCs w:val="21"/>
                <w:highlight w:val="none"/>
              </w:rPr>
              <w:t>综合单价×实际检测工作量进行结算。</w:t>
            </w:r>
          </w:p>
          <w:p w14:paraId="304A5F2C">
            <w:pPr>
              <w:keepNext w:val="0"/>
              <w:keepLines w:val="0"/>
              <w:suppressLineNumbers w:val="0"/>
              <w:adjustRightInd w:val="0"/>
              <w:snapToGrid w:val="0"/>
              <w:spacing w:before="0" w:beforeAutospacing="0" w:after="0" w:afterAutospacing="0" w:line="360" w:lineRule="auto"/>
              <w:ind w:left="0" w:right="0"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工程量清单计价表》不作为乙方最终服务范围及业务承接数量的保证，甲方有权根据实际需求对检测工程量进行优化调整，最终服务费用按实际发生工程量结算，但最终结算价不得超出暂定总合同价款（含税）。在合同服务期内，乙方不得因实际检测项目数量及服务费用的增减而要求甲方提供任何形式的补偿或赔偿，或只按甲方暂定的《工程量清单计价表》提供相应的对应服务。否则，视为乙方违约，甲方有权依据合同约定追究乙方的违约责任。</w:t>
            </w:r>
          </w:p>
          <w:p w14:paraId="220071D7">
            <w:pPr>
              <w:keepNext w:val="0"/>
              <w:keepLines w:val="0"/>
              <w:suppressLineNumbers w:val="0"/>
              <w:adjustRightInd w:val="0"/>
              <w:snapToGrid w:val="0"/>
              <w:spacing w:before="0" w:beforeAutospacing="0" w:after="0" w:afterAutospacing="0" w:line="360" w:lineRule="auto"/>
              <w:ind w:left="0" w:right="0"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（3）对于《工程量清单计价表》外新增的检测项目，不含税综合单价按以下方法计算：</w:t>
            </w:r>
          </w:p>
          <w:p w14:paraId="4EC05C97">
            <w:pPr>
              <w:keepNext w:val="0"/>
              <w:keepLines w:val="0"/>
              <w:suppressLineNumbers w:val="0"/>
              <w:adjustRightInd w:val="0"/>
              <w:snapToGrid w:val="0"/>
              <w:spacing w:before="0" w:beforeAutospacing="0" w:after="0" w:afterAutospacing="0" w:line="360" w:lineRule="auto"/>
              <w:ind w:left="0" w:right="0"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①《东莞市建设工程检测行业参考收费标准（2023版）》（东检协字（2023）3号）对应项参考单价÷1.06×</w:t>
            </w:r>
            <w:r>
              <w:rPr>
                <w:rFonts w:hint="eastAsia" w:ascii="宋体" w:hAnsi="宋体" w:eastAsia="宋体" w:cs="宋体"/>
                <w:bCs/>
                <w:color w:val="auto"/>
                <w:sz w:val="21"/>
                <w:szCs w:val="21"/>
                <w:highlight w:val="none"/>
                <w:lang w:eastAsia="zh-CN"/>
              </w:rPr>
              <w:t>中标检测服务系数</w:t>
            </w:r>
            <w:r>
              <w:rPr>
                <w:rFonts w:hint="eastAsia" w:ascii="宋体" w:hAnsi="宋体" w:eastAsia="宋体" w:cs="宋体"/>
                <w:bCs/>
                <w:color w:val="auto"/>
                <w:sz w:val="21"/>
                <w:szCs w:val="21"/>
                <w:highlight w:val="none"/>
              </w:rPr>
              <w:t>；</w:t>
            </w:r>
          </w:p>
          <w:p w14:paraId="6B23CBF6">
            <w:pPr>
              <w:keepNext w:val="0"/>
              <w:keepLines w:val="0"/>
              <w:suppressLineNumbers w:val="0"/>
              <w:adjustRightInd w:val="0"/>
              <w:snapToGrid w:val="0"/>
              <w:spacing w:before="0" w:beforeAutospacing="0" w:after="0" w:afterAutospacing="0" w:line="360" w:lineRule="auto"/>
              <w:ind w:left="0" w:right="0"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②《东莞市建设工程检测行业参考收费标准（2023版）》（东检协字（2023）3号）中无对应项，则按照《广东省房屋建筑和市政工程工程质量安全检测收费指导价》（粤建检协〔2015〕8号）对应项单价÷1.06×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Cs/>
                <w:color w:val="auto"/>
                <w:sz w:val="21"/>
                <w:szCs w:val="21"/>
                <w:highlight w:val="none"/>
                <w:lang w:eastAsia="zh-CN"/>
              </w:rPr>
              <w:t>中标检测服务系数</w:t>
            </w:r>
            <w:r>
              <w:rPr>
                <w:rFonts w:hint="eastAsia" w:ascii="宋体" w:hAnsi="宋体" w:eastAsia="宋体" w:cs="宋体"/>
                <w:bCs/>
                <w:color w:val="auto"/>
                <w:sz w:val="21"/>
                <w:szCs w:val="21"/>
                <w:highlight w:val="none"/>
              </w:rPr>
              <w:t>；</w:t>
            </w:r>
          </w:p>
          <w:p w14:paraId="4C123DD3">
            <w:pPr>
              <w:keepNext w:val="0"/>
              <w:keepLines w:val="0"/>
              <w:suppressLineNumbers w:val="0"/>
              <w:adjustRightInd w:val="0"/>
              <w:snapToGrid w:val="0"/>
              <w:spacing w:before="0" w:beforeAutospacing="0" w:after="0" w:afterAutospacing="0" w:line="360" w:lineRule="auto"/>
              <w:ind w:left="0" w:right="0"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③《东莞市建设工程检测行业参考收费标准（2023版）》（东检协字（2023）3号）与《广东省房屋建筑和市政工程工程质量安全检测收费指导价》（粤建检协〔2015〕8号）均无对应项的，由甲方结合本地及周边同类城市市场询价</w:t>
            </w:r>
            <w:r>
              <w:rPr>
                <w:rFonts w:hint="eastAsia" w:ascii="宋体" w:hAnsi="宋体" w:eastAsia="宋体" w:cs="宋体"/>
                <w:color w:val="auto"/>
                <w:sz w:val="21"/>
                <w:szCs w:val="21"/>
                <w:highlight w:val="none"/>
              </w:rPr>
              <w:t>的不含税综合单价</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eastAsia="zh-CN"/>
              </w:rPr>
              <w:t>中标检测服务系数</w:t>
            </w:r>
            <w:r>
              <w:rPr>
                <w:rFonts w:hint="eastAsia" w:ascii="宋体" w:hAnsi="宋体" w:eastAsia="宋体" w:cs="宋体"/>
                <w:bCs/>
                <w:color w:val="auto"/>
                <w:sz w:val="21"/>
                <w:szCs w:val="21"/>
                <w:highlight w:val="none"/>
              </w:rPr>
              <w:t>。</w:t>
            </w:r>
          </w:p>
          <w:p w14:paraId="3ABE3F85">
            <w:pPr>
              <w:keepNext w:val="0"/>
              <w:keepLines w:val="0"/>
              <w:suppressLineNumbers w:val="0"/>
              <w:adjustRightInd w:val="0"/>
              <w:snapToGrid w:val="0"/>
              <w:spacing w:before="0" w:beforeAutospacing="0" w:after="0" w:afterAutospacing="0" w:line="360" w:lineRule="auto"/>
              <w:ind w:left="0" w:right="0" w:firstLine="411" w:firstLineChars="196"/>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以上不含税综合单价均保留两位小数。</w:t>
            </w:r>
          </w:p>
        </w:tc>
      </w:tr>
      <w:tr w14:paraId="6A6B3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4" w:hRule="atLeast"/>
          <w:jc w:val="center"/>
        </w:trPr>
        <w:tc>
          <w:tcPr>
            <w:tcW w:w="960" w:type="dxa"/>
            <w:vAlign w:val="center"/>
          </w:tcPr>
          <w:p w14:paraId="5F96958A">
            <w:pPr>
              <w:pStyle w:val="5"/>
              <w:suppressLineNumbers w:val="0"/>
              <w:wordWrap w:val="0"/>
              <w:snapToGrid w:val="0"/>
              <w:spacing w:before="0" w:beforeAutospacing="0" w:after="0" w:afterAutospacing="0" w:line="360" w:lineRule="auto"/>
              <w:ind w:left="0" w:right="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5</w:t>
            </w:r>
          </w:p>
        </w:tc>
        <w:tc>
          <w:tcPr>
            <w:tcW w:w="1087" w:type="dxa"/>
            <w:vAlign w:val="center"/>
          </w:tcPr>
          <w:p w14:paraId="3C15F3E0">
            <w:pPr>
              <w:pStyle w:val="5"/>
              <w:suppressLineNumbers w:val="0"/>
              <w:wordWrap w:val="0"/>
              <w:snapToGrid w:val="0"/>
              <w:spacing w:before="0" w:beforeAutospacing="0" w:after="0" w:afterAutospacing="0" w:line="360" w:lineRule="auto"/>
              <w:ind w:left="0" w:right="0"/>
              <w:jc w:val="center"/>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结算调整规则、范围及方式</w:t>
            </w:r>
          </w:p>
        </w:tc>
        <w:tc>
          <w:tcPr>
            <w:tcW w:w="8321" w:type="dxa"/>
            <w:vAlign w:val="center"/>
          </w:tcPr>
          <w:p w14:paraId="3CC7C63B">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结算调整的范围：因设计变更、改线或者重大工艺变更等工程变更引起的检测（试验）项目的变更，包含检测项目增减和已有检测项目中工作量的增减，乙方在实施前，须提出变更申请，经本工程的设计人、监理人及甲方（含其委托的第三方审核机构）批准后方可实施。</w:t>
            </w:r>
          </w:p>
          <w:p w14:paraId="6D777F0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（2）工程变更项目检测的计价：</w:t>
            </w:r>
            <w:r>
              <w:rPr>
                <w:rFonts w:hint="eastAsia" w:ascii="宋体" w:hAnsi="宋体" w:eastAsia="宋体" w:cs="宋体"/>
                <w:b/>
                <w:bCs/>
                <w:color w:val="auto"/>
                <w:sz w:val="21"/>
                <w:szCs w:val="21"/>
                <w:highlight w:val="none"/>
              </w:rPr>
              <w:t>合同价中已有适用于变更检测项目的不含税综合单价，按合同已有的不含税综合单价变更合同价款；合同中已有类似变更检测项目的不含税综合单价，可参照类似检测项目不含税综合单价变更合同价款；合同中没有适用于变更检测项目的不含税综合单价，经批准变更后，按照《东莞市建设工程检测行业参考收费标准（2023版）》（东检协字（2023）3号）对应项参考单价÷1.06×</w:t>
            </w:r>
            <w:r>
              <w:rPr>
                <w:rFonts w:hint="eastAsia" w:ascii="宋体" w:hAnsi="宋体" w:eastAsia="宋体" w:cs="宋体"/>
                <w:b/>
                <w:color w:val="auto"/>
                <w:sz w:val="21"/>
                <w:szCs w:val="21"/>
                <w:highlight w:val="none"/>
                <w:lang w:eastAsia="zh-CN"/>
              </w:rPr>
              <w:t>中标检测服务系数</w:t>
            </w:r>
            <w:r>
              <w:rPr>
                <w:rFonts w:hint="eastAsia" w:ascii="宋体" w:hAnsi="宋体" w:eastAsia="宋体" w:cs="宋体"/>
                <w:b/>
                <w:bCs/>
                <w:color w:val="auto"/>
                <w:sz w:val="21"/>
                <w:szCs w:val="21"/>
                <w:highlight w:val="none"/>
              </w:rPr>
              <w:t>，《东莞市建设工程检测行业参考收费标准(2023版)》（东检协字（2023）3号）中无对应项，则按照《广东省房屋建筑和市政工程工程质量安全检测收费指导价》（粤建检协〔2015〕8号）对应项单价÷1.06×</w:t>
            </w:r>
            <w:r>
              <w:rPr>
                <w:rFonts w:hint="eastAsia" w:ascii="宋体" w:hAnsi="宋体" w:eastAsia="宋体" w:cs="宋体"/>
                <w:b/>
                <w:color w:val="auto"/>
                <w:sz w:val="21"/>
                <w:szCs w:val="21"/>
                <w:highlight w:val="none"/>
                <w:lang w:eastAsia="zh-CN"/>
              </w:rPr>
              <w:t>中标检测服务系数</w:t>
            </w:r>
            <w:r>
              <w:rPr>
                <w:rFonts w:hint="eastAsia" w:ascii="宋体" w:hAnsi="宋体" w:eastAsia="宋体" w:cs="宋体"/>
                <w:b/>
                <w:bCs/>
                <w:color w:val="auto"/>
                <w:sz w:val="21"/>
                <w:szCs w:val="21"/>
                <w:highlight w:val="none"/>
              </w:rPr>
              <w:t>,《东莞市建设工程检测行业参考收费标准(2023版)》（东检协字（2023）3号）与《广东省房屋建筑和市政工程工程质量安全检测收费指导价》（粤建检协〔2015〕8号）均无对应项的，由甲方结合本地及周边同类城市市场询价的不含税综合单价×</w:t>
            </w:r>
            <w:r>
              <w:rPr>
                <w:rFonts w:hint="eastAsia" w:ascii="宋体" w:hAnsi="宋体" w:eastAsia="宋体" w:cs="宋体"/>
                <w:b/>
                <w:color w:val="auto"/>
                <w:sz w:val="21"/>
                <w:szCs w:val="21"/>
                <w:highlight w:val="none"/>
                <w:lang w:eastAsia="zh-CN"/>
              </w:rPr>
              <w:t>中标检测服务系数</w:t>
            </w:r>
            <w:r>
              <w:rPr>
                <w:rFonts w:hint="eastAsia" w:ascii="宋体" w:hAnsi="宋体" w:eastAsia="宋体" w:cs="宋体"/>
                <w:b/>
                <w:bCs/>
                <w:color w:val="auto"/>
                <w:sz w:val="21"/>
                <w:szCs w:val="21"/>
                <w:highlight w:val="none"/>
              </w:rPr>
              <w:t>计算。所有变更的检测项目均须书面向甲方申报，经甲方（含其委托的第三方审核机构）审核批准同意后方可实施。</w:t>
            </w:r>
          </w:p>
          <w:p w14:paraId="1ADE7492">
            <w:pPr>
              <w:keepNext w:val="0"/>
              <w:keepLines w:val="0"/>
              <w:suppressLineNumbers w:val="0"/>
              <w:adjustRightInd w:val="0"/>
              <w:snapToGrid w:val="0"/>
              <w:spacing w:before="0" w:beforeAutospacing="0" w:after="0" w:afterAutospacing="0" w:line="360" w:lineRule="auto"/>
              <w:ind w:left="0" w:right="0" w:firstLine="422" w:firstLineChars="200"/>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3）在完成所有合同内容并具备结算条件3个月后，仍未报结算资料，甲方将书面发函督促办理结算，函中明确接到函件10个工作日后，仍未提交结算资料，或不配合甲方完成结算工作，丙方或甲方将根据已支付的进度款进行单方结算，由此所产生的法律责任均由乙方承担。</w:t>
            </w:r>
          </w:p>
        </w:tc>
      </w:tr>
    </w:tbl>
    <w:p w14:paraId="5F788C3C">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br w:type="page"/>
      </w:r>
    </w:p>
    <w:p w14:paraId="4A71A35A">
      <w:pPr>
        <w:widowControl/>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2.权利和</w:t>
      </w:r>
      <w:r>
        <w:rPr>
          <w:rFonts w:hint="eastAsia" w:ascii="宋体" w:hAnsi="宋体" w:eastAsia="宋体" w:cs="宋体"/>
          <w:color w:val="auto"/>
          <w:sz w:val="21"/>
          <w:szCs w:val="21"/>
          <w:highlight w:val="none"/>
        </w:rPr>
        <w:t>义务</w:t>
      </w:r>
      <w:r>
        <w:rPr>
          <w:rFonts w:hint="eastAsia" w:ascii="宋体" w:hAnsi="宋体" w:eastAsia="宋体" w:cs="宋体"/>
          <w:bCs/>
          <w:color w:val="auto"/>
          <w:sz w:val="21"/>
          <w:szCs w:val="21"/>
          <w:highlight w:val="none"/>
        </w:rPr>
        <w:t>一览表</w:t>
      </w:r>
    </w:p>
    <w:tbl>
      <w:tblPr>
        <w:tblStyle w:val="36"/>
        <w:tblW w:w="1036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4"/>
        <w:gridCol w:w="1095"/>
        <w:gridCol w:w="8309"/>
      </w:tblGrid>
      <w:tr w14:paraId="036C6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64" w:type="dxa"/>
            <w:tcBorders>
              <w:top w:val="single" w:color="000000" w:sz="4" w:space="0"/>
              <w:left w:val="single" w:color="000000" w:sz="4" w:space="0"/>
              <w:bottom w:val="single" w:color="auto" w:sz="4" w:space="0"/>
              <w:right w:val="single" w:color="000000" w:sz="4" w:space="0"/>
            </w:tcBorders>
            <w:vAlign w:val="center"/>
          </w:tcPr>
          <w:p w14:paraId="0E48EF60">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1095" w:type="dxa"/>
            <w:tcBorders>
              <w:top w:val="single" w:color="000000" w:sz="4" w:space="0"/>
              <w:left w:val="single" w:color="000000" w:sz="4" w:space="0"/>
              <w:bottom w:val="single" w:color="auto" w:sz="4" w:space="0"/>
              <w:right w:val="single" w:color="000000" w:sz="4" w:space="0"/>
            </w:tcBorders>
            <w:vAlign w:val="center"/>
          </w:tcPr>
          <w:p w14:paraId="167EC468">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类别</w:t>
            </w:r>
          </w:p>
        </w:tc>
        <w:tc>
          <w:tcPr>
            <w:tcW w:w="8309" w:type="dxa"/>
            <w:tcBorders>
              <w:top w:val="single" w:color="000000" w:sz="4" w:space="0"/>
              <w:left w:val="single" w:color="000000" w:sz="4" w:space="0"/>
              <w:bottom w:val="single" w:color="000000" w:sz="4" w:space="0"/>
              <w:right w:val="single" w:color="000000" w:sz="4" w:space="0"/>
            </w:tcBorders>
            <w:vAlign w:val="center"/>
          </w:tcPr>
          <w:p w14:paraId="7E83E83D">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具体条款</w:t>
            </w:r>
          </w:p>
        </w:tc>
      </w:tr>
      <w:tr w14:paraId="1187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964" w:type="dxa"/>
            <w:tcBorders>
              <w:top w:val="single" w:color="auto" w:sz="4" w:space="0"/>
              <w:left w:val="single" w:color="auto" w:sz="4" w:space="0"/>
              <w:bottom w:val="single" w:color="auto" w:sz="4" w:space="0"/>
              <w:right w:val="single" w:color="auto" w:sz="4" w:space="0"/>
            </w:tcBorders>
            <w:vAlign w:val="center"/>
          </w:tcPr>
          <w:p w14:paraId="4C8E93F1">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1095" w:type="dxa"/>
            <w:tcBorders>
              <w:top w:val="single" w:color="auto" w:sz="4" w:space="0"/>
              <w:left w:val="single" w:color="auto" w:sz="4" w:space="0"/>
              <w:bottom w:val="single" w:color="auto" w:sz="4" w:space="0"/>
              <w:right w:val="single" w:color="auto" w:sz="4" w:space="0"/>
            </w:tcBorders>
            <w:vAlign w:val="center"/>
          </w:tcPr>
          <w:p w14:paraId="59BFA513">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甲方权利和义务</w:t>
            </w:r>
          </w:p>
        </w:tc>
        <w:tc>
          <w:tcPr>
            <w:tcW w:w="8309" w:type="dxa"/>
            <w:tcBorders>
              <w:top w:val="single" w:color="000000" w:sz="4" w:space="0"/>
              <w:left w:val="single" w:color="000000" w:sz="4" w:space="0"/>
              <w:bottom w:val="single" w:color="000000" w:sz="4" w:space="0"/>
              <w:right w:val="single" w:color="000000" w:sz="4" w:space="0"/>
            </w:tcBorders>
            <w:vAlign w:val="center"/>
          </w:tcPr>
          <w:p w14:paraId="673392AC">
            <w:pPr>
              <w:keepNext w:val="0"/>
              <w:keepLines w:val="0"/>
              <w:widowControl/>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（1）在合同履行期间，有权对乙方进行监督和检查，并要求其提供相关信息和资料。对乙方违反本合同约定、招投标文件规定的行为有权要求改正。</w:t>
            </w:r>
          </w:p>
          <w:p w14:paraId="310AB6A5">
            <w:pPr>
              <w:keepNext w:val="0"/>
              <w:keepLines w:val="0"/>
              <w:widowControl/>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（2）甲方有权对乙方服务人员、设备投入等进行监督、检查。如发现不符合招投标文件、合同约定的，有权要求补充、更换及追究乙方其他违约责任。</w:t>
            </w:r>
          </w:p>
          <w:p w14:paraId="0041E180">
            <w:pPr>
              <w:keepNext w:val="0"/>
              <w:keepLines w:val="0"/>
              <w:widowControl/>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（3）对发现乙方违反本合同、招投标文件或服务合同的有关规定或承诺，甲方有权追究乙方的违约责任，扣除或没收本合同履约担保。</w:t>
            </w:r>
          </w:p>
          <w:p w14:paraId="769F077A">
            <w:pPr>
              <w:keepNext w:val="0"/>
              <w:keepLines w:val="0"/>
              <w:widowControl/>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（4）协助乙方仪器及运输设备顺利进场。</w:t>
            </w:r>
          </w:p>
          <w:p w14:paraId="6217C7F1">
            <w:pPr>
              <w:keepNext w:val="0"/>
              <w:keepLines w:val="0"/>
              <w:widowControl/>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（5）监督受监施工单位定时向乙方提供进度计划，协调作业时间，保证乙方有足够时间展开检测工作。</w:t>
            </w:r>
          </w:p>
          <w:p w14:paraId="694B9912">
            <w:pPr>
              <w:keepNext w:val="0"/>
              <w:keepLines w:val="0"/>
              <w:widowControl/>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（6）有权对乙方的检测工作进行监督，对其违约行为发出整改通知。</w:t>
            </w:r>
          </w:p>
          <w:p w14:paraId="3A5F0132">
            <w:pPr>
              <w:keepNext w:val="0"/>
              <w:keepLines w:val="0"/>
              <w:widowControl/>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（7）合同履约期间，甲方有权对检测范围、要求、规模及特征等根据项目实际情况作出相应调整，调整后双方根据实际工作量进行结算。</w:t>
            </w:r>
          </w:p>
          <w:p w14:paraId="2481CAFB">
            <w:pPr>
              <w:keepNext w:val="0"/>
              <w:keepLines w:val="0"/>
              <w:widowControl/>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（8）甲方按照既定的审批程序，及时办理服务费的审批手续。</w:t>
            </w:r>
          </w:p>
          <w:p w14:paraId="324FC875">
            <w:pPr>
              <w:keepNext w:val="0"/>
              <w:keepLines w:val="0"/>
              <w:widowControl/>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（9）施工现场用水、用电在有条件的情况下由甲方负责提供水、电接入点，乙方自行接入。</w:t>
            </w:r>
          </w:p>
          <w:p w14:paraId="08BF059D">
            <w:pPr>
              <w:keepNext w:val="0"/>
              <w:keepLines w:val="0"/>
              <w:widowControl/>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（10）合同文件及附件内容约定的甲方其余权利义务。</w:t>
            </w:r>
          </w:p>
        </w:tc>
      </w:tr>
      <w:tr w14:paraId="13D19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964" w:type="dxa"/>
            <w:tcBorders>
              <w:top w:val="single" w:color="auto" w:sz="4" w:space="0"/>
              <w:left w:val="single" w:color="auto" w:sz="4" w:space="0"/>
              <w:bottom w:val="single" w:color="auto" w:sz="4" w:space="0"/>
              <w:right w:val="single" w:color="auto" w:sz="4" w:space="0"/>
            </w:tcBorders>
            <w:vAlign w:val="center"/>
          </w:tcPr>
          <w:p w14:paraId="71ACDFE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1095" w:type="dxa"/>
            <w:tcBorders>
              <w:top w:val="single" w:color="auto" w:sz="4" w:space="0"/>
              <w:left w:val="single" w:color="auto" w:sz="4" w:space="0"/>
              <w:bottom w:val="single" w:color="auto" w:sz="4" w:space="0"/>
              <w:right w:val="single" w:color="auto" w:sz="4" w:space="0"/>
            </w:tcBorders>
            <w:vAlign w:val="center"/>
          </w:tcPr>
          <w:p w14:paraId="3FA2B04E">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乙方权利和义务</w:t>
            </w:r>
          </w:p>
        </w:tc>
        <w:tc>
          <w:tcPr>
            <w:tcW w:w="8309" w:type="dxa"/>
            <w:tcBorders>
              <w:top w:val="single" w:color="000000" w:sz="4" w:space="0"/>
              <w:left w:val="single" w:color="000000" w:sz="4" w:space="0"/>
              <w:bottom w:val="single" w:color="000000" w:sz="4" w:space="0"/>
              <w:right w:val="single" w:color="000000" w:sz="4" w:space="0"/>
            </w:tcBorders>
            <w:vAlign w:val="center"/>
          </w:tcPr>
          <w:p w14:paraId="1BDD15FC">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合同的履行期间，乙方应当保持相应资质的有效性，且具备在东莞市开展检测服务工作的资格条件。因乙方资质条件丧失，导致无法开展检测工作的，甲方有权另行委托其他第三方，并且乙方需向甲方支付暂定总合同价款（含税）的20%的违约金。同时，造成甲方的经济损失（包括但不限于重新招标、委托第三方的费用），由乙方承担全部赔偿。</w:t>
            </w:r>
          </w:p>
          <w:p w14:paraId="78688B3F">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（2）对甲方委派的检测工作，乙方应当根据本合同约定、招投标文件及甲方要求进行开展，不得借故拒绝接受委托。</w:t>
            </w:r>
          </w:p>
          <w:p w14:paraId="19A5EE0E">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（3）按照国家颁发的有关检测技术标准或规范，采用科学先进的方法进行检测评估和试验过程的全程监控、记录，保证数据真实可靠，对检测结果真实性、准确性、合法性、完整性负责。</w:t>
            </w:r>
          </w:p>
          <w:p w14:paraId="28D59B2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乙方提供的检测报告、数据成果、文件等质量不合格的，应负责无偿给予修改、补充完善使其达到甲方要求；如乙方怠于或无力修改、补充完善，甲方有权另委托其他单位继续进行，乙方应承担由此产生的全部检测费用及其他损失。</w:t>
            </w:r>
          </w:p>
          <w:p w14:paraId="35936BA8">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乙方提供的检测报告、数据成果、文件等质量不合格造成甲方经济损失（包括但不限于检测变更费、增加工程费用等）或工程事故的，乙方应对造成的损失承担赔偿责任（包括但不限于施工单位损失赔偿、第三人侵权赔偿责任等），并根据违约行为向甲方支付违约金壹万元/次。如甲方实际损失高于违约金的，甲方有权另行追偿。</w:t>
            </w:r>
          </w:p>
          <w:p w14:paraId="5D130CC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本合同履行期间，承担其聘请人员的用工责任及用人单位责任。为其雇员、劳动者依法提供劳动保护，为从事维护工作的人员购买社会保险或意外伤害保险，并为施工场地内自有人员生命财产和施工机械设备办理保险，承担并支付保险费用。如乙方人员（包括雇员、乙方劳动者等）在维护过程中发生意外事故、工伤、死亡的，由乙方承担全部责任并支付全部费用，甲方无须对这些意外事故、工伤、死亡承担任何责任，如甲方因此受到索赔并因此支付赔偿费用或者垫付了费用的，甲方有权向乙方追偿，甲方可启动履约担保支付。</w:t>
            </w:r>
          </w:p>
          <w:p w14:paraId="46C56F6A">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（7）严格遵守国家法律、法规，协助甲方做好社会治安综合管理工作和计划生育等工作。乙方员工有违法乱纪或犯罪的行为，乙方应承担一切经济责任和法律责任。</w:t>
            </w:r>
          </w:p>
          <w:p w14:paraId="2D820A06">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每逢法定节日（含元旦、春节、清明、端午、五一、中秋、国庆）或甲方上级单位或市有关部门进行监督检查时，乙方应无条件配合甲方及有关部门组织的突击性任务及迎检活动，按时、按标准、按要求完成甲方所分配的工作。积极响应并接受市、镇街相关主管部门及其他上级部门的监督检查并接受广大市民监督。</w:t>
            </w:r>
          </w:p>
          <w:p w14:paraId="766BFBF2">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建立健全内部管理制度，并接受甲方及有关主管部门对项目服务状况、服务质量的监督检查。如因质量问题、操作不当或乙方自身管理原因而造成一切责任及经济损失由乙方承担。因乙方原因导致甲方损失的，乙方应当全额赔偿甲方的损失。</w:t>
            </w:r>
          </w:p>
          <w:p w14:paraId="3E172FB4">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在合同期限内保存好全部与检测服务相关的文件资料，且不得将上述文件资料向第三人披露或用于本项目之外的目的。在合同解除或终止后，按照甲方的要求，做好本项目的交接工作。如因资料缺失对甲方后续工作造成影响的，由此产生的费用由乙方全部承担。</w:t>
            </w:r>
          </w:p>
          <w:p w14:paraId="350C0A81">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（11）如施工现场甲方无法提供水、电接入点，乙方自行解决施工用水、用电并承担相关费用。</w:t>
            </w:r>
          </w:p>
          <w:p w14:paraId="3CC1B70F">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（12）乙方应按本合同及招、投标文件的要求按时提供检测报告和其他甲方认为有必要提供的中间过程资料、图表、照片（包括电子资料）等，以及向甲方提供咨询服务和建议。</w:t>
            </w:r>
          </w:p>
          <w:p w14:paraId="3B8DFF78">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（13）检测过程中，乙方自行对本单位的仪器、设备安全负责，自行承担保管职责，对检测所产生的水、电等费用由乙方负责。</w:t>
            </w:r>
          </w:p>
          <w:p w14:paraId="1644368A">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（14）与检测工程的施工单位、设计单位、监理单位等单位相互配合，数据共享。</w:t>
            </w:r>
          </w:p>
          <w:p w14:paraId="57DF1AB9">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（15）本合同约定范围内必要的修改，补充，应由乙方负责，甲方不再另付检测费用或其他费用。</w:t>
            </w:r>
          </w:p>
          <w:p w14:paraId="5BACFE9E">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乙方在检测现场的工作人员，应遵守的施工现场安全保卫及其他有关的规章制度，承担其有关资料保密义务，保密义务不因本合同终止而结束。乙方保证对其在讨论、签订、履行本合同及具体项目合同过程中所获悉的属于甲方的且无法从公开渠道获得的文件资料及项目信息予以严格保密并应采取相应的保密措施，保证其自身及工作人员不私自使用或向任何第三方泄露，否则乙方承担由此给甲方造成的一切损失。</w:t>
            </w:r>
          </w:p>
          <w:p w14:paraId="0F661FED">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（17）乙方提交给甲方的检测成果知识产权归属甲方，乙方须确保甲方在使用过程中免受第三方关于知识产权或其他合法权益的起诉，否则，乙方应承担由此给甲方造成的一切损失。</w:t>
            </w:r>
          </w:p>
          <w:p w14:paraId="16671122">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乙方应确保其具备履行本合同工作所需的相关资质，否则，因此产生的一切后果由乙方承担。乙方应建立健全内部管理制度，并接受甲方及有关主管部门对项目服务状况、服务质量的监督检查。因乙方原因导致甲方损失的，应当全额赔偿甲方的损失。</w:t>
            </w:r>
          </w:p>
          <w:p w14:paraId="37D16FA2">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在服务过程中，乙方应遵守有关安全生产管理规定，建立完善安全管理制度，安全生产事故报告制度，采取必要的安全防护措施，定期进行安全隐患排查，消除事故隐患。由于乙方的不尽职、操作不当、安全措施不力、人为疏失等原因造成双方及第三方的财产毁损、人身伤害（含各方雇员及临时聘用人员）及安全事故的责任和因此发生的费用，全部由乙方承担。若造成甲方（含其雇员及临时聘用人员）其他损失，乙方仍需赔偿。若产生劳动纠纷或仲裁或诉讼，均由乙方自行处理并承担损害赔偿，甲方不承担任何责任。若甲方需参加诉讼，相关费用（包括但不限于诉讼费、律师费、鉴定费、公证费、交通住宿费等全部）及损失全部由乙方承担，甲方可启动履约担保支付。</w:t>
            </w:r>
          </w:p>
          <w:p w14:paraId="256BA04B">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（20）本合同所述的乙方应承担的甲方损失，包括但不限于甲方支出的赔偿金、诉讼费、保全费、律师费、鉴定费等。</w:t>
            </w:r>
          </w:p>
          <w:p w14:paraId="2C577C5B">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（21）本项目禁止转包，若特殊项目乙方无相应资质的，必须经甲方批准后送符合条件（具备相应资质）的分包单位进行检测，并出具相应的检测报告，否则将视为乙方违约，出具的报告不予承认。</w:t>
            </w:r>
          </w:p>
          <w:p w14:paraId="6440FCFB">
            <w:pPr>
              <w:keepNext w:val="0"/>
              <w:keepLines w:val="0"/>
              <w:suppressLineNumbers w:val="0"/>
              <w:adjustRightInd w:val="0"/>
              <w:snapToGrid w:val="0"/>
              <w:spacing w:before="0" w:beforeAutospacing="0" w:after="0" w:afterAutospacing="0" w:line="360" w:lineRule="auto"/>
              <w:ind w:left="0" w:right="0"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（22）合同文件及附件内容约定的乙方其他权利义务。</w:t>
            </w:r>
          </w:p>
        </w:tc>
      </w:tr>
    </w:tbl>
    <w:p w14:paraId="0DC13306">
      <w:pPr>
        <w:adjustRightInd w:val="0"/>
        <w:snapToGrid w:val="0"/>
        <w:spacing w:line="36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br w:type="page"/>
      </w:r>
    </w:p>
    <w:p w14:paraId="29DFAE2B">
      <w:pPr>
        <w:widowControl/>
        <w:adjustRightInd w:val="0"/>
        <w:snapToGrid w:val="0"/>
        <w:spacing w:line="360" w:lineRule="auto"/>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3.乙方违约处理一览表</w:t>
      </w:r>
    </w:p>
    <w:tbl>
      <w:tblPr>
        <w:tblStyle w:val="36"/>
        <w:tblW w:w="10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4682"/>
        <w:gridCol w:w="4686"/>
      </w:tblGrid>
      <w:tr w14:paraId="3A879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6F3162C2">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序号</w:t>
            </w:r>
          </w:p>
        </w:tc>
        <w:tc>
          <w:tcPr>
            <w:tcW w:w="4682" w:type="dxa"/>
            <w:vAlign w:val="center"/>
          </w:tcPr>
          <w:p w14:paraId="11B08113">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违约行为</w:t>
            </w:r>
          </w:p>
        </w:tc>
        <w:tc>
          <w:tcPr>
            <w:tcW w:w="4686" w:type="dxa"/>
            <w:vAlign w:val="center"/>
          </w:tcPr>
          <w:p w14:paraId="2E1AB6FA">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违约处理</w:t>
            </w:r>
          </w:p>
        </w:tc>
      </w:tr>
      <w:tr w14:paraId="239CE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2AE716AD">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4682" w:type="dxa"/>
            <w:vAlign w:val="center"/>
          </w:tcPr>
          <w:p w14:paraId="56E374C1">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因乙方资质条件丧失，导致无法开展检测工作。</w:t>
            </w:r>
          </w:p>
        </w:tc>
        <w:tc>
          <w:tcPr>
            <w:tcW w:w="4686" w:type="dxa"/>
            <w:vAlign w:val="center"/>
          </w:tcPr>
          <w:p w14:paraId="19FCF1FB">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甲方有权另行委托其他第三方，并且乙方需向甲方支付暂定总合同价款</w:t>
            </w:r>
            <w:r>
              <w:rPr>
                <w:rFonts w:hint="eastAsia" w:ascii="宋体" w:hAnsi="宋体" w:eastAsia="宋体" w:cs="宋体"/>
                <w:color w:val="auto"/>
                <w:sz w:val="21"/>
                <w:szCs w:val="21"/>
                <w:highlight w:val="none"/>
              </w:rPr>
              <w:t>（含税）</w:t>
            </w:r>
            <w:r>
              <w:rPr>
                <w:rFonts w:hint="eastAsia" w:ascii="宋体" w:hAnsi="宋体" w:eastAsia="宋体" w:cs="宋体"/>
                <w:bCs/>
                <w:color w:val="auto"/>
                <w:sz w:val="21"/>
                <w:szCs w:val="21"/>
                <w:highlight w:val="none"/>
              </w:rPr>
              <w:t>的20%的违约金。同时，造成甲方的经济损失（包括但不限于重新招标、委托第三方的费用），由乙方承担全部赔偿。</w:t>
            </w:r>
          </w:p>
        </w:tc>
      </w:tr>
      <w:tr w14:paraId="6B4F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3B341B8">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4682" w:type="dxa"/>
            <w:vAlign w:val="center"/>
          </w:tcPr>
          <w:p w14:paraId="758F4BAE">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乙方提供的检测报告、数据成果、文件等质量不合格</w:t>
            </w:r>
            <w:r>
              <w:rPr>
                <w:rFonts w:hint="eastAsia" w:ascii="宋体" w:hAnsi="宋体" w:eastAsia="宋体" w:cs="宋体"/>
                <w:color w:val="auto"/>
                <w:sz w:val="21"/>
                <w:szCs w:val="21"/>
                <w:highlight w:val="none"/>
              </w:rPr>
              <w:t>，不能满足技术要求</w:t>
            </w:r>
            <w:r>
              <w:rPr>
                <w:rFonts w:hint="eastAsia" w:ascii="宋体" w:hAnsi="宋体" w:eastAsia="宋体" w:cs="宋体"/>
                <w:bCs/>
                <w:color w:val="auto"/>
                <w:sz w:val="21"/>
                <w:szCs w:val="21"/>
                <w:highlight w:val="none"/>
              </w:rPr>
              <w:t>。</w:t>
            </w:r>
          </w:p>
        </w:tc>
        <w:tc>
          <w:tcPr>
            <w:tcW w:w="4686" w:type="dxa"/>
            <w:vAlign w:val="center"/>
          </w:tcPr>
          <w:p w14:paraId="3DB4BC0F">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乙方负责无偿给予修改、补充完善使其达到甲方要求</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返</w:t>
            </w:r>
            <w:r>
              <w:rPr>
                <w:rFonts w:hint="eastAsia" w:ascii="宋体" w:hAnsi="宋体" w:eastAsia="宋体" w:cs="宋体"/>
                <w:bCs/>
                <w:color w:val="auto"/>
                <w:sz w:val="21"/>
                <w:szCs w:val="21"/>
                <w:highlight w:val="none"/>
                <w:lang w:eastAsia="zh-CN"/>
              </w:rPr>
              <w:t>工重新检测等产生的费用由乙方承担</w:t>
            </w:r>
            <w:r>
              <w:rPr>
                <w:rFonts w:hint="eastAsia" w:ascii="宋体" w:hAnsi="宋体" w:eastAsia="宋体" w:cs="宋体"/>
                <w:bCs/>
                <w:color w:val="auto"/>
                <w:sz w:val="21"/>
                <w:szCs w:val="21"/>
                <w:highlight w:val="none"/>
              </w:rPr>
              <w:t>；如乙方怠于或无力修改、补充完善,甲方有权另委托其他单位继续进行,乙方应承担由此产生的全部检测费用及其他损失。</w:t>
            </w:r>
          </w:p>
        </w:tc>
      </w:tr>
      <w:tr w14:paraId="6F5C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trPr>
        <w:tc>
          <w:tcPr>
            <w:tcW w:w="1000" w:type="dxa"/>
            <w:vAlign w:val="center"/>
          </w:tcPr>
          <w:p w14:paraId="254222BD">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4682" w:type="dxa"/>
            <w:vAlign w:val="center"/>
          </w:tcPr>
          <w:p w14:paraId="615085C3">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因乙方提供的检测报告、数据成果、文件等质量不合格造成甲方经济损失（包括但不限于检测变更费、增加工程费用等）或工程事故。</w:t>
            </w:r>
          </w:p>
        </w:tc>
        <w:tc>
          <w:tcPr>
            <w:tcW w:w="4686" w:type="dxa"/>
            <w:vAlign w:val="center"/>
          </w:tcPr>
          <w:p w14:paraId="22254201">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乙方应对造成的损失承担赔偿责任（包括但不限于施工单位损失赔偿、第三人侵权赔偿责任等），并根据违约行为向甲方支付违约金壹万元/次。如甲方实际损失高于违约金的，甲方有权另行追偿。</w:t>
            </w:r>
          </w:p>
        </w:tc>
      </w:tr>
      <w:tr w14:paraId="49E1B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280094EC">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4</w:t>
            </w:r>
          </w:p>
        </w:tc>
        <w:tc>
          <w:tcPr>
            <w:tcW w:w="4682" w:type="dxa"/>
            <w:vAlign w:val="center"/>
          </w:tcPr>
          <w:p w14:paraId="1AF6EC14">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rPr>
              <w:t>如乙方人员（包括雇员、乙方劳动者等）在维护过程中发生意外事故、工伤、死亡的</w:t>
            </w:r>
            <w:r>
              <w:rPr>
                <w:rFonts w:hint="eastAsia" w:ascii="宋体" w:hAnsi="宋体" w:eastAsia="宋体" w:cs="宋体"/>
                <w:color w:val="auto"/>
                <w:sz w:val="21"/>
                <w:szCs w:val="21"/>
                <w:highlight w:val="none"/>
                <w:lang w:eastAsia="zh-CN"/>
              </w:rPr>
              <w:t>。</w:t>
            </w:r>
          </w:p>
        </w:tc>
        <w:tc>
          <w:tcPr>
            <w:tcW w:w="4686" w:type="dxa"/>
            <w:vAlign w:val="center"/>
          </w:tcPr>
          <w:p w14:paraId="64666EE8">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乙方承担全部责任并支付全部费用，甲方无须对这些意外事故、工伤、死亡承担任何责任，如甲方因此受到索赔并因此支付赔偿费用或者垫付了费用的，甲方有权向乙方追偿，甲方可启动履约担保支付。</w:t>
            </w:r>
          </w:p>
        </w:tc>
      </w:tr>
      <w:tr w14:paraId="5810E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795058D4">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5</w:t>
            </w:r>
          </w:p>
        </w:tc>
        <w:tc>
          <w:tcPr>
            <w:tcW w:w="4682" w:type="dxa"/>
            <w:vAlign w:val="center"/>
          </w:tcPr>
          <w:p w14:paraId="66420A80">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乙方未按本合同约定配备必要的办公场所、设备或者服务人员。</w:t>
            </w:r>
          </w:p>
        </w:tc>
        <w:tc>
          <w:tcPr>
            <w:tcW w:w="4686" w:type="dxa"/>
            <w:vAlign w:val="center"/>
          </w:tcPr>
          <w:p w14:paraId="353A00AA">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甲方有权就违约事宜提出改正，如乙方仍拒不改正的，甲方有权选择解除本合同或服务合同，并没收全部履约担保。</w:t>
            </w:r>
          </w:p>
        </w:tc>
      </w:tr>
      <w:tr w14:paraId="7F17F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0C4B391E">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6</w:t>
            </w:r>
          </w:p>
        </w:tc>
        <w:tc>
          <w:tcPr>
            <w:tcW w:w="4682" w:type="dxa"/>
            <w:vAlign w:val="center"/>
          </w:tcPr>
          <w:p w14:paraId="6322E298">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乙方消极怠工或拒不履行合同义务（包括但不限于技术支持、专家会审、解答释疑、事故处理，修正检测报告及数据成果等），或履行的合同义务不符合要求的。</w:t>
            </w:r>
          </w:p>
        </w:tc>
        <w:tc>
          <w:tcPr>
            <w:tcW w:w="4686" w:type="dxa"/>
            <w:vAlign w:val="center"/>
          </w:tcPr>
          <w:p w14:paraId="21240E80">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就违约事宜提出改正，要求乙方按壹万元/次承担违约金，若限期内未按照甲方要求进行整改或限期整改后不符合甲方要求的，甲方有权选择解除合同，要求乙方按暂定总合同价款（含税）的10%承担违约金，并有权依法委托有资质的第三方继续履行本合同义务，由此造成的一切损失由乙方承担。同时，甲方有权将情况如实报送至政府相关主管部门。</w:t>
            </w:r>
          </w:p>
        </w:tc>
      </w:tr>
      <w:tr w14:paraId="2736D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1591BDC7">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7</w:t>
            </w:r>
          </w:p>
        </w:tc>
        <w:tc>
          <w:tcPr>
            <w:tcW w:w="4682" w:type="dxa"/>
            <w:vAlign w:val="center"/>
          </w:tcPr>
          <w:p w14:paraId="0F50E05C">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合同履行期间，乙方未达到的投标时承诺的事项</w:t>
            </w:r>
          </w:p>
        </w:tc>
        <w:tc>
          <w:tcPr>
            <w:tcW w:w="4686" w:type="dxa"/>
            <w:vAlign w:val="center"/>
          </w:tcPr>
          <w:p w14:paraId="30823D38">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每次按暂定总合同价款（含税）的1%承担违约金。</w:t>
            </w:r>
          </w:p>
        </w:tc>
      </w:tr>
      <w:tr w14:paraId="1313A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AE14F51">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8</w:t>
            </w:r>
          </w:p>
        </w:tc>
        <w:tc>
          <w:tcPr>
            <w:tcW w:w="4682" w:type="dxa"/>
            <w:vAlign w:val="center"/>
          </w:tcPr>
          <w:p w14:paraId="044616CB">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由于乙方原因未按甲方要求时间（日期）提交检测报告、成果数据、文件资料、检测方案的，或未按期履行其他义务的。</w:t>
            </w:r>
          </w:p>
        </w:tc>
        <w:tc>
          <w:tcPr>
            <w:tcW w:w="4686" w:type="dxa"/>
            <w:vAlign w:val="center"/>
          </w:tcPr>
          <w:p w14:paraId="1B98C11F">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每逾期一日，乙方按贰仟元/天承担违约金。逾期超过</w:t>
            </w:r>
            <w:r>
              <w:rPr>
                <w:rFonts w:hint="eastAsia" w:ascii="宋体" w:hAnsi="宋体" w:eastAsia="宋体" w:cs="宋体"/>
                <w:bCs/>
                <w:color w:val="auto"/>
                <w:sz w:val="21"/>
                <w:szCs w:val="21"/>
                <w:highlight w:val="none"/>
                <w:u w:val="single"/>
              </w:rPr>
              <w:t>15</w:t>
            </w:r>
            <w:r>
              <w:rPr>
                <w:rFonts w:hint="eastAsia" w:ascii="宋体" w:hAnsi="宋体" w:eastAsia="宋体" w:cs="宋体"/>
                <w:bCs/>
                <w:color w:val="auto"/>
                <w:sz w:val="21"/>
                <w:szCs w:val="21"/>
                <w:highlight w:val="none"/>
              </w:rPr>
              <w:t>日的，甲方有权单方解除合同，且乙方须承担履约担保等额的违约金，同时有权没收履约担保。同时，造成甲方的经济损失（包括但不限于重新采购、委托第三方的费用），由乙方承担全部赔偿。</w:t>
            </w:r>
          </w:p>
        </w:tc>
      </w:tr>
      <w:tr w14:paraId="3D95B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28A6D7C0">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9</w:t>
            </w:r>
          </w:p>
        </w:tc>
        <w:tc>
          <w:tcPr>
            <w:tcW w:w="4682" w:type="dxa"/>
            <w:vAlign w:val="center"/>
          </w:tcPr>
          <w:p w14:paraId="05411426">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乙方违反约定非法转包、分包。</w:t>
            </w:r>
          </w:p>
        </w:tc>
        <w:tc>
          <w:tcPr>
            <w:tcW w:w="4686" w:type="dxa"/>
            <w:vAlign w:val="center"/>
          </w:tcPr>
          <w:p w14:paraId="2EBF658A">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单方解除合同，乙方须向甲方支付与履约担保等额的违约金，同时有权没收履约担保，并赔偿由此给甲方造成的一切损失。如因非法转包、分包导致安全事故或人身损害事故的，造成甲方其他损失的或甲方被认定需承担赔偿责任的，甲方有权向乙方追偿并要求乙方承担人民币壹拾万元整的违约金。</w:t>
            </w:r>
          </w:p>
        </w:tc>
      </w:tr>
      <w:tr w14:paraId="64A9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45E3C40">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10</w:t>
            </w:r>
          </w:p>
        </w:tc>
        <w:tc>
          <w:tcPr>
            <w:tcW w:w="4682" w:type="dxa"/>
            <w:vAlign w:val="center"/>
          </w:tcPr>
          <w:p w14:paraId="508F1F3D">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乙方存在如下情形之一的：</w:t>
            </w:r>
          </w:p>
          <w:p w14:paraId="51B1CFC3">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（1）提供虚假信息、误导或欺骗甲方及丙方，以谋取非法利益的；</w:t>
            </w:r>
          </w:p>
          <w:p w14:paraId="41CE63F6">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（2）违反诚信信用原则，没有严格执行相关质量、服务，损害甲方、丙方或相关用户单位的利益的；</w:t>
            </w:r>
          </w:p>
          <w:p w14:paraId="3BC3EAE4">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（3）违反有关法律法规以及本合同的约定，损害甲方利益的；</w:t>
            </w:r>
          </w:p>
          <w:p w14:paraId="6FE1C3FD">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（4）拒绝接受甲方、丙方及相关部门监督、检查的；</w:t>
            </w:r>
          </w:p>
          <w:p w14:paraId="70934D57">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（5）出现信用危机、财务危机、生产经营危机甚至破产、倒闭，无法继续履行本合同的；</w:t>
            </w:r>
          </w:p>
          <w:p w14:paraId="407693F2">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（6）采用非法手段进行不正当竞争的，构成恶劣影响；</w:t>
            </w:r>
          </w:p>
          <w:p w14:paraId="5D6030F4">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（7）违反本合同约定，泄露服务项目内容的。</w:t>
            </w:r>
          </w:p>
        </w:tc>
        <w:tc>
          <w:tcPr>
            <w:tcW w:w="4686" w:type="dxa"/>
            <w:vAlign w:val="center"/>
          </w:tcPr>
          <w:p w14:paraId="2F3EC25B">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甲方有权书面通知乙方单方解除本合同，并由乙方承担履约担保等额的违约金，同时有权没收履约担保，给甲方造成损失的，乙方还足额应赔偿甲方。</w:t>
            </w:r>
          </w:p>
        </w:tc>
      </w:tr>
      <w:tr w14:paraId="03428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7C15456C">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11</w:t>
            </w:r>
          </w:p>
        </w:tc>
        <w:tc>
          <w:tcPr>
            <w:tcW w:w="4682" w:type="dxa"/>
            <w:vAlign w:val="center"/>
          </w:tcPr>
          <w:p w14:paraId="74E9B073">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无故拖欠或克扣工人工资待遇以及其他劳动待遇等。</w:t>
            </w:r>
          </w:p>
        </w:tc>
        <w:tc>
          <w:tcPr>
            <w:tcW w:w="4686" w:type="dxa"/>
            <w:vAlign w:val="center"/>
          </w:tcPr>
          <w:p w14:paraId="2BE84D45">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如有违反的，由乙方全部负责。如对甲方工作造成影响的，根据工人诉求，甲方有权通知丙方直接从未付服务费用中直接扣除予以支付，由此导致的法律后果由乙方全部承担。并由乙方承担履约担保等额的违约金。严重者报相关行政主管部门处理，甲方保留终止合同的权利。</w:t>
            </w:r>
          </w:p>
        </w:tc>
      </w:tr>
      <w:tr w14:paraId="539A1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51FEB185">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12</w:t>
            </w:r>
          </w:p>
        </w:tc>
        <w:tc>
          <w:tcPr>
            <w:tcW w:w="4682" w:type="dxa"/>
            <w:vAlign w:val="center"/>
          </w:tcPr>
          <w:p w14:paraId="4E7C68B7">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受到相关部门的批评，经调查认定情况属实。</w:t>
            </w:r>
          </w:p>
        </w:tc>
        <w:tc>
          <w:tcPr>
            <w:tcW w:w="4686" w:type="dxa"/>
            <w:vAlign w:val="center"/>
          </w:tcPr>
          <w:p w14:paraId="2F2DD599">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视情节轻重予要求乙方承担违约责任；造成恶劣影响的，甲方有权解除合同。</w:t>
            </w:r>
          </w:p>
        </w:tc>
      </w:tr>
      <w:tr w14:paraId="486B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5584864F">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13</w:t>
            </w:r>
          </w:p>
        </w:tc>
        <w:tc>
          <w:tcPr>
            <w:tcW w:w="4682" w:type="dxa"/>
            <w:vAlign w:val="center"/>
          </w:tcPr>
          <w:p w14:paraId="27E53709">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乙方在服务年限内，在履行本合同约定的义务过程中出现违反国家法律法规、主管部门规章制度、擅自提高价格或提供伪劣服务内容、服务质量低劣造成甲方损失等情况。</w:t>
            </w:r>
          </w:p>
        </w:tc>
        <w:tc>
          <w:tcPr>
            <w:tcW w:w="4686" w:type="dxa"/>
            <w:vAlign w:val="center"/>
          </w:tcPr>
          <w:p w14:paraId="00CC31DB">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甲方有权视不同情况分别给予警告、抵扣履约担保或取消合同等处理。</w:t>
            </w:r>
          </w:p>
        </w:tc>
      </w:tr>
      <w:tr w14:paraId="08DFA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2AE61023">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14</w:t>
            </w:r>
          </w:p>
        </w:tc>
        <w:tc>
          <w:tcPr>
            <w:tcW w:w="4682" w:type="dxa"/>
            <w:vAlign w:val="center"/>
          </w:tcPr>
          <w:p w14:paraId="412F0604">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未经甲方书面同意，乙方变更项目负责人或技术负责人。</w:t>
            </w:r>
          </w:p>
        </w:tc>
        <w:tc>
          <w:tcPr>
            <w:tcW w:w="4686" w:type="dxa"/>
            <w:vAlign w:val="center"/>
          </w:tcPr>
          <w:p w14:paraId="0E83DC03">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甲方有权要求乙方按伍万元/人/次承担违约金。</w:t>
            </w:r>
          </w:p>
        </w:tc>
      </w:tr>
      <w:tr w14:paraId="37EC5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7F86F66">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15</w:t>
            </w:r>
          </w:p>
        </w:tc>
        <w:tc>
          <w:tcPr>
            <w:tcW w:w="4682" w:type="dxa"/>
            <w:vAlign w:val="center"/>
          </w:tcPr>
          <w:p w14:paraId="00BD5337">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甲方每季度根据合同附件五《检测单位履约考核评分表》对乙方评价一次，出具考核评价结果。甲方将严格按照考核评分标准对乙方进行季度检查和考核，考评80分以下的。</w:t>
            </w:r>
          </w:p>
        </w:tc>
        <w:tc>
          <w:tcPr>
            <w:tcW w:w="4686" w:type="dxa"/>
            <w:vAlign w:val="center"/>
          </w:tcPr>
          <w:p w14:paraId="101A0F88">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考评[70,80)分的，处相应付款周期内经甲方确认的检测费的10%作为违约金，考评[60,70)分的，处相应付款周期经甲方确认的检测费的20%作为违约金，考评60分以下的，处相应付款周期经甲方确认的检测</w:t>
            </w:r>
            <w:r>
              <w:rPr>
                <w:rFonts w:hint="eastAsia" w:ascii="宋体" w:hAnsi="宋体" w:eastAsia="宋体" w:cs="宋体"/>
                <w:bCs/>
                <w:color w:val="auto"/>
                <w:sz w:val="21"/>
                <w:szCs w:val="21"/>
                <w:highlight w:val="none"/>
                <w:lang w:val="en-US" w:eastAsia="zh-CN"/>
              </w:rPr>
              <w:t>费</w:t>
            </w:r>
            <w:r>
              <w:rPr>
                <w:rFonts w:hint="eastAsia" w:ascii="宋体" w:hAnsi="宋体" w:eastAsia="宋体" w:cs="宋体"/>
                <w:bCs/>
                <w:color w:val="auto"/>
                <w:sz w:val="21"/>
                <w:szCs w:val="21"/>
                <w:highlight w:val="none"/>
              </w:rPr>
              <w:t>的30%作为违约金。上述“[”代表闭区间，“)”代表开区间，如[70,80)代表该分数段范围为大于等于70且小于80。达到相应付款周期时,如乙方未申请支付本期费用, 甲方根据支付条件暂定本周期检测费并计算本周期内应缴纳的暂定违约金，乙方应予以缴纳。下一周期仍未申请时按上述做法执行，待到乙方申请支付费用时，根据合同付款流程确认检测费，同步对以往暂定违约金在本次一并确认并予以结算。</w:t>
            </w:r>
          </w:p>
        </w:tc>
      </w:tr>
      <w:tr w14:paraId="03963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40E6D985">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16</w:t>
            </w:r>
          </w:p>
        </w:tc>
        <w:tc>
          <w:tcPr>
            <w:tcW w:w="4682" w:type="dxa"/>
            <w:vAlign w:val="center"/>
          </w:tcPr>
          <w:p w14:paraId="095F6A3C">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686" w:type="dxa"/>
            <w:vAlign w:val="center"/>
          </w:tcPr>
          <w:p w14:paraId="477E6EF2">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甲方依据本合同条款对乙方处以违约金、赔偿、扣款等款项的，乙方应在收到违约（赔偿或扣款等款项）处理通知书之日起的五个工作日内书面授权乙方相关工作人员将款项交至甲方指定账户（须备注本项目名称）。如规定时间内未按要求将款项交至指定账号，甲方有权不审批进度款。甲方指定收款账户信息：</w:t>
            </w:r>
          </w:p>
          <w:p w14:paraId="68D30F3F">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开户名称：东莞市水务集团建设管理有限公司</w:t>
            </w:r>
          </w:p>
          <w:p w14:paraId="5548088E">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银行账号：2010021309200628330</w:t>
            </w:r>
          </w:p>
          <w:p w14:paraId="7BA49DB9">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开户银行：中国工商银行股份有限公司东莞分行</w:t>
            </w:r>
          </w:p>
        </w:tc>
      </w:tr>
      <w:tr w14:paraId="7E0C2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0" w:type="dxa"/>
            <w:vAlign w:val="center"/>
          </w:tcPr>
          <w:p w14:paraId="74530008">
            <w:pPr>
              <w:keepNext w:val="0"/>
              <w:keepLines w:val="0"/>
              <w:widowControl/>
              <w:suppressLineNumbers w:val="0"/>
              <w:adjustRightInd w:val="0"/>
              <w:snapToGrid w:val="0"/>
              <w:spacing w:before="0" w:beforeAutospacing="0" w:after="0" w:afterAutospacing="0" w:line="360" w:lineRule="auto"/>
              <w:ind w:left="0" w:right="0"/>
              <w:jc w:val="center"/>
              <w:textAlignment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17</w:t>
            </w:r>
          </w:p>
        </w:tc>
        <w:tc>
          <w:tcPr>
            <w:tcW w:w="4682" w:type="dxa"/>
            <w:vAlign w:val="center"/>
          </w:tcPr>
          <w:p w14:paraId="1D105C81">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686" w:type="dxa"/>
            <w:vAlign w:val="center"/>
          </w:tcPr>
          <w:p w14:paraId="6FB24E54">
            <w:pPr>
              <w:keepNext w:val="0"/>
              <w:keepLines w:val="0"/>
              <w:widowControl/>
              <w:suppressLineNumbers w:val="0"/>
              <w:adjustRightInd w:val="0"/>
              <w:snapToGrid w:val="0"/>
              <w:spacing w:before="0" w:beforeAutospacing="0" w:after="0" w:afterAutospacing="0" w:line="360" w:lineRule="auto"/>
              <w:ind w:left="0" w:right="0"/>
              <w:textAlignment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因乙方违约，甲方通过司法途径维护自身权益的，乙方应承担甲方由此支出的律师费、诉讼费、执行费、鉴定费、公证费、财产保全费及保险费等全部费用。</w:t>
            </w:r>
          </w:p>
        </w:tc>
      </w:tr>
    </w:tbl>
    <w:p w14:paraId="68C24622">
      <w:pPr>
        <w:adjustRightInd w:val="0"/>
        <w:snapToGrid w:val="0"/>
        <w:spacing w:line="360" w:lineRule="auto"/>
        <w:rPr>
          <w:rFonts w:hint="eastAsia" w:ascii="宋体" w:hAnsi="宋体" w:eastAsia="宋体" w:cs="宋体"/>
          <w:bCs/>
          <w:color w:val="auto"/>
          <w:sz w:val="21"/>
          <w:szCs w:val="21"/>
          <w:highlight w:val="none"/>
        </w:rPr>
      </w:pPr>
    </w:p>
    <w:p w14:paraId="09D38BAB">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55" w:name="_Toc6930"/>
      <w:bookmarkStart w:id="556" w:name="_Toc484"/>
      <w:r>
        <w:rPr>
          <w:rFonts w:hint="eastAsia" w:ascii="宋体" w:hAnsi="宋体" w:eastAsia="宋体" w:cs="宋体"/>
          <w:b/>
          <w:color w:val="auto"/>
          <w:sz w:val="21"/>
          <w:szCs w:val="21"/>
          <w:highlight w:val="none"/>
        </w:rPr>
        <w:t>十三、附则</w:t>
      </w:r>
      <w:bookmarkEnd w:id="555"/>
      <w:bookmarkEnd w:id="556"/>
    </w:p>
    <w:p w14:paraId="73A1CA5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1.本合同如遇不可避免的客观原因，而导致无法全部按规定执行，必须修订或中止时，由三方协商解决。</w:t>
      </w:r>
    </w:p>
    <w:p w14:paraId="6B32EA2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2.本合同在履行期内甲方发现检测实施缺陷的，</w:t>
      </w:r>
      <w:r>
        <w:rPr>
          <w:rFonts w:hint="eastAsia" w:ascii="宋体" w:hAnsi="宋体" w:eastAsia="宋体" w:cs="宋体"/>
          <w:bCs/>
          <w:color w:val="auto"/>
          <w:sz w:val="21"/>
          <w:szCs w:val="21"/>
          <w:highlight w:val="none"/>
        </w:rPr>
        <w:t>乙方</w:t>
      </w:r>
      <w:r>
        <w:rPr>
          <w:rFonts w:hint="eastAsia" w:ascii="宋体" w:hAnsi="宋体" w:eastAsia="宋体" w:cs="宋体"/>
          <w:color w:val="auto"/>
          <w:sz w:val="21"/>
          <w:szCs w:val="21"/>
          <w:highlight w:val="none"/>
        </w:rPr>
        <w:t>应无条件负责返工和采取补救措施。</w:t>
      </w:r>
    </w:p>
    <w:p w14:paraId="4B369B5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3.合同内变更检测项目是合同承包范围不可分割的一部分，</w:t>
      </w:r>
      <w:r>
        <w:rPr>
          <w:rFonts w:hint="eastAsia" w:ascii="宋体" w:hAnsi="宋体" w:eastAsia="宋体" w:cs="宋体"/>
          <w:bCs/>
          <w:color w:val="auto"/>
          <w:sz w:val="21"/>
          <w:szCs w:val="21"/>
          <w:highlight w:val="none"/>
        </w:rPr>
        <w:t>乙方</w:t>
      </w:r>
      <w:r>
        <w:rPr>
          <w:rFonts w:hint="eastAsia" w:ascii="宋体" w:hAnsi="宋体" w:eastAsia="宋体" w:cs="宋体"/>
          <w:color w:val="auto"/>
          <w:sz w:val="21"/>
          <w:szCs w:val="21"/>
          <w:highlight w:val="none"/>
        </w:rPr>
        <w:t>应按甲方提交的变更工程设计图纸完成检测工作。</w:t>
      </w:r>
    </w:p>
    <w:p w14:paraId="58AEC12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4.本项目招标文件、投标文件、中标通知书以及相关规范将成为本合同的组成部分，组成本合同的各个文件是一个整体，彼此相互解释，相互补充，并具有合同同等法律效力。</w:t>
      </w:r>
    </w:p>
    <w:p w14:paraId="3D7D16EA">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5.本合同如有未尽事宜，由甲、乙、丙三方订立补充协议，补充协议与本合同具有同等的法律效力。</w:t>
      </w:r>
    </w:p>
    <w:p w14:paraId="4CF07875">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02E10470">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57" w:name="_Toc4982"/>
      <w:bookmarkStart w:id="558" w:name="_Toc7481"/>
      <w:r>
        <w:rPr>
          <w:rFonts w:hint="eastAsia" w:ascii="宋体" w:hAnsi="宋体" w:eastAsia="宋体" w:cs="宋体"/>
          <w:b/>
          <w:color w:val="auto"/>
          <w:sz w:val="21"/>
          <w:szCs w:val="21"/>
          <w:highlight w:val="none"/>
        </w:rPr>
        <w:t>十四、合同争议</w:t>
      </w:r>
      <w:bookmarkEnd w:id="557"/>
      <w:bookmarkEnd w:id="558"/>
    </w:p>
    <w:p w14:paraId="4959C0F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本合同发生争议，甲方、</w:t>
      </w:r>
      <w:r>
        <w:rPr>
          <w:rFonts w:hint="eastAsia" w:ascii="宋体" w:hAnsi="宋体" w:eastAsia="宋体" w:cs="宋体"/>
          <w:bCs/>
          <w:color w:val="auto"/>
          <w:sz w:val="21"/>
          <w:szCs w:val="21"/>
          <w:highlight w:val="none"/>
        </w:rPr>
        <w:t>乙方、丙方</w:t>
      </w:r>
      <w:r>
        <w:rPr>
          <w:rFonts w:hint="eastAsia" w:ascii="宋体" w:hAnsi="宋体" w:eastAsia="宋体" w:cs="宋体"/>
          <w:color w:val="auto"/>
          <w:sz w:val="21"/>
          <w:szCs w:val="21"/>
          <w:highlight w:val="none"/>
        </w:rPr>
        <w:t>三方应及时协商解决，也可由当地行政主管部门调解，协商或调解不成时，任何一方可向甲方所在地有管辖权的人民法院起诉。</w:t>
      </w:r>
    </w:p>
    <w:p w14:paraId="05C3EBC5">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460766D4">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59" w:name="_Toc6758"/>
      <w:bookmarkStart w:id="560" w:name="_Toc11548"/>
      <w:r>
        <w:rPr>
          <w:rFonts w:hint="eastAsia" w:ascii="宋体" w:hAnsi="宋体" w:eastAsia="宋体" w:cs="宋体"/>
          <w:b/>
          <w:color w:val="auto"/>
          <w:sz w:val="21"/>
          <w:szCs w:val="21"/>
          <w:highlight w:val="none"/>
        </w:rPr>
        <w:t>十五、合同生效</w:t>
      </w:r>
      <w:bookmarkEnd w:id="559"/>
      <w:bookmarkEnd w:id="560"/>
    </w:p>
    <w:p w14:paraId="3531E654">
      <w:pPr>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本合同自三方签字盖章后生效，甲方、</w:t>
      </w:r>
      <w:r>
        <w:rPr>
          <w:rFonts w:hint="eastAsia" w:ascii="宋体" w:hAnsi="宋体" w:eastAsia="宋体" w:cs="宋体"/>
          <w:bCs/>
          <w:color w:val="auto"/>
          <w:sz w:val="21"/>
          <w:szCs w:val="21"/>
          <w:highlight w:val="none"/>
        </w:rPr>
        <w:t>乙方、丙方</w:t>
      </w:r>
      <w:r>
        <w:rPr>
          <w:rFonts w:hint="eastAsia" w:ascii="宋体" w:hAnsi="宋体" w:eastAsia="宋体" w:cs="宋体"/>
          <w:color w:val="auto"/>
          <w:sz w:val="21"/>
          <w:szCs w:val="21"/>
          <w:highlight w:val="none"/>
        </w:rPr>
        <w:t>履行完合同规定的义务后，本合同终止。</w:t>
      </w:r>
    </w:p>
    <w:p w14:paraId="43BCBB24">
      <w:pPr>
        <w:adjustRightInd w:val="0"/>
        <w:snapToGrid w:val="0"/>
        <w:spacing w:line="360" w:lineRule="auto"/>
        <w:ind w:firstLine="420" w:firstLineChars="200"/>
        <w:outlineLvl w:val="9"/>
        <w:rPr>
          <w:rFonts w:hint="eastAsia" w:ascii="宋体" w:hAnsi="宋体" w:eastAsia="宋体" w:cs="宋体"/>
          <w:color w:val="auto"/>
          <w:sz w:val="21"/>
          <w:szCs w:val="21"/>
          <w:highlight w:val="none"/>
        </w:rPr>
      </w:pPr>
    </w:p>
    <w:p w14:paraId="10C91FA5">
      <w:pPr>
        <w:keepNext/>
        <w:keepLines/>
        <w:adjustRightInd w:val="0"/>
        <w:snapToGrid w:val="0"/>
        <w:spacing w:line="360" w:lineRule="auto"/>
        <w:outlineLvl w:val="9"/>
        <w:rPr>
          <w:rFonts w:hint="eastAsia" w:ascii="宋体" w:hAnsi="宋体" w:eastAsia="宋体" w:cs="宋体"/>
          <w:b/>
          <w:color w:val="auto"/>
          <w:sz w:val="21"/>
          <w:szCs w:val="21"/>
          <w:highlight w:val="none"/>
        </w:rPr>
      </w:pPr>
      <w:bookmarkStart w:id="561" w:name="_Toc4207"/>
      <w:bookmarkStart w:id="562" w:name="_Toc18496"/>
      <w:r>
        <w:rPr>
          <w:rFonts w:hint="eastAsia" w:ascii="宋体" w:hAnsi="宋体" w:eastAsia="宋体" w:cs="宋体"/>
          <w:b/>
          <w:color w:val="auto"/>
          <w:sz w:val="21"/>
          <w:szCs w:val="21"/>
          <w:highlight w:val="none"/>
        </w:rPr>
        <w:t>十六、合同份数</w:t>
      </w:r>
      <w:bookmarkEnd w:id="561"/>
      <w:bookmarkEnd w:id="562"/>
    </w:p>
    <w:p w14:paraId="492D1512">
      <w:pPr>
        <w:adjustRightInd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bCs/>
          <w:color w:val="auto"/>
          <w:sz w:val="21"/>
          <w:szCs w:val="21"/>
          <w:highlight w:val="none"/>
        </w:rPr>
        <w:t>乙方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份、</w:t>
      </w:r>
      <w:r>
        <w:rPr>
          <w:rFonts w:hint="eastAsia" w:ascii="宋体" w:hAnsi="宋体" w:eastAsia="宋体" w:cs="宋体"/>
          <w:bCs/>
          <w:color w:val="auto"/>
          <w:sz w:val="21"/>
          <w:szCs w:val="21"/>
          <w:highlight w:val="none"/>
        </w:rPr>
        <w:t>丙方</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份，招标代理机构</w:t>
      </w:r>
      <w:r>
        <w:rPr>
          <w:rFonts w:hint="eastAsia" w:ascii="宋体" w:hAnsi="宋体" w:eastAsia="宋体" w:cs="宋体"/>
          <w:color w:val="auto"/>
          <w:sz w:val="21"/>
          <w:szCs w:val="21"/>
          <w:highlight w:val="none"/>
          <w:u w:val="single"/>
        </w:rPr>
        <w:t xml:space="preserve"> 壹 </w:t>
      </w:r>
      <w:r>
        <w:rPr>
          <w:rFonts w:hint="eastAsia" w:ascii="宋体" w:hAnsi="宋体" w:eastAsia="宋体" w:cs="宋体"/>
          <w:color w:val="auto"/>
          <w:sz w:val="21"/>
          <w:szCs w:val="21"/>
          <w:highlight w:val="none"/>
        </w:rPr>
        <w:t>份。</w:t>
      </w:r>
    </w:p>
    <w:p w14:paraId="3DAFE586">
      <w:pPr>
        <w:adjustRightInd w:val="0"/>
        <w:snapToGrid w:val="0"/>
        <w:spacing w:line="360" w:lineRule="auto"/>
        <w:ind w:firstLine="420" w:firstLineChars="200"/>
        <w:outlineLvl w:val="9"/>
        <w:rPr>
          <w:rFonts w:hint="eastAsia" w:ascii="宋体" w:hAnsi="宋体" w:eastAsia="宋体" w:cs="宋体"/>
          <w:color w:val="auto"/>
          <w:sz w:val="21"/>
          <w:szCs w:val="21"/>
          <w:highlight w:val="none"/>
        </w:rPr>
      </w:pPr>
    </w:p>
    <w:p w14:paraId="76AC35DE">
      <w:pPr>
        <w:adjustRightInd w:val="0"/>
        <w:snapToGrid w:val="0"/>
        <w:spacing w:line="360" w:lineRule="auto"/>
        <w:outlineLvl w:val="9"/>
        <w:rPr>
          <w:rFonts w:hint="eastAsia" w:ascii="宋体" w:hAnsi="宋体" w:eastAsia="宋体" w:cs="宋体"/>
          <w:color w:val="auto"/>
          <w:sz w:val="21"/>
          <w:szCs w:val="21"/>
          <w:highlight w:val="none"/>
        </w:rPr>
      </w:pPr>
    </w:p>
    <w:tbl>
      <w:tblPr>
        <w:tblStyle w:val="36"/>
        <w:tblW w:w="10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85"/>
        <w:gridCol w:w="5185"/>
      </w:tblGrid>
      <w:tr w14:paraId="1F947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2EAAFFF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w:t>
            </w:r>
          </w:p>
          <w:p w14:paraId="5D4C4F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5185" w:type="dxa"/>
            <w:vAlign w:val="top"/>
          </w:tcPr>
          <w:p w14:paraId="19AEAE0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w:t>
            </w:r>
          </w:p>
          <w:p w14:paraId="46043CC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r>
      <w:tr w14:paraId="69011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6CC279A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721F083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5185" w:type="dxa"/>
            <w:vAlign w:val="top"/>
          </w:tcPr>
          <w:p w14:paraId="48CAA20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24A7E85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r>
      <w:tr w14:paraId="481CD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4A12724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5185" w:type="dxa"/>
            <w:vAlign w:val="top"/>
          </w:tcPr>
          <w:p w14:paraId="6E071A14">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r>
      <w:tr w14:paraId="6C87E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15F915C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5185" w:type="dxa"/>
            <w:vAlign w:val="top"/>
          </w:tcPr>
          <w:p w14:paraId="00D5069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r>
      <w:tr w14:paraId="69303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5F3D428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185" w:type="dxa"/>
            <w:vAlign w:val="top"/>
          </w:tcPr>
          <w:p w14:paraId="279465E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r>
      <w:tr w14:paraId="01046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02D4EDFE">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5185" w:type="dxa"/>
            <w:vAlign w:val="top"/>
          </w:tcPr>
          <w:p w14:paraId="31520F2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r>
      <w:tr w14:paraId="2D6A8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330918D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5185" w:type="dxa"/>
            <w:vAlign w:val="top"/>
          </w:tcPr>
          <w:p w14:paraId="77111A1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r>
      <w:tr w14:paraId="60B81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30937C5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5185" w:type="dxa"/>
            <w:vAlign w:val="top"/>
          </w:tcPr>
          <w:p w14:paraId="765153B8">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r>
      <w:tr w14:paraId="37A0D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541F040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c>
          <w:tcPr>
            <w:tcW w:w="5185" w:type="dxa"/>
            <w:vAlign w:val="top"/>
          </w:tcPr>
          <w:p w14:paraId="205D310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7D7B9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586A091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w:t>
            </w:r>
          </w:p>
          <w:p w14:paraId="7C80633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（盖章）</w:t>
            </w:r>
          </w:p>
        </w:tc>
        <w:tc>
          <w:tcPr>
            <w:tcW w:w="5185" w:type="dxa"/>
            <w:vAlign w:val="top"/>
          </w:tcPr>
          <w:p w14:paraId="6934092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5A489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191F495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11228A1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（签字或盖私章）：</w:t>
            </w:r>
          </w:p>
        </w:tc>
        <w:tc>
          <w:tcPr>
            <w:tcW w:w="5185" w:type="dxa"/>
            <w:vAlign w:val="top"/>
          </w:tcPr>
          <w:p w14:paraId="657431E4">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4E1E0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440FAA62">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tc>
        <w:tc>
          <w:tcPr>
            <w:tcW w:w="5185" w:type="dxa"/>
            <w:vAlign w:val="top"/>
          </w:tcPr>
          <w:p w14:paraId="3743A30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5DAAA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25C84466">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tc>
        <w:tc>
          <w:tcPr>
            <w:tcW w:w="5185" w:type="dxa"/>
            <w:vAlign w:val="top"/>
          </w:tcPr>
          <w:p w14:paraId="72D601C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7DE3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258AD3E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tc>
        <w:tc>
          <w:tcPr>
            <w:tcW w:w="5185" w:type="dxa"/>
            <w:vAlign w:val="top"/>
          </w:tcPr>
          <w:p w14:paraId="589204ED">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160BD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7DC8102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tc>
        <w:tc>
          <w:tcPr>
            <w:tcW w:w="5185" w:type="dxa"/>
            <w:vAlign w:val="top"/>
          </w:tcPr>
          <w:p w14:paraId="6B41F82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50F3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5625DF2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开户名称：</w:t>
            </w:r>
          </w:p>
        </w:tc>
        <w:tc>
          <w:tcPr>
            <w:tcW w:w="5185" w:type="dxa"/>
            <w:vAlign w:val="top"/>
          </w:tcPr>
          <w:p w14:paraId="231F0B3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r w14:paraId="499F7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85" w:type="dxa"/>
            <w:vAlign w:val="top"/>
          </w:tcPr>
          <w:p w14:paraId="468B3E72">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tc>
        <w:tc>
          <w:tcPr>
            <w:tcW w:w="5185" w:type="dxa"/>
            <w:vAlign w:val="top"/>
          </w:tcPr>
          <w:p w14:paraId="36F2BF2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p>
        </w:tc>
      </w:tr>
    </w:tbl>
    <w:p w14:paraId="2E27C035">
      <w:pPr>
        <w:adjustRightInd w:val="0"/>
        <w:snapToGrid w:val="0"/>
        <w:spacing w:line="360" w:lineRule="auto"/>
        <w:rPr>
          <w:rFonts w:hint="eastAsia" w:ascii="宋体" w:hAnsi="宋体" w:eastAsia="宋体" w:cs="宋体"/>
          <w:color w:val="auto"/>
          <w:sz w:val="21"/>
          <w:szCs w:val="21"/>
          <w:highlight w:val="none"/>
        </w:rPr>
      </w:pPr>
    </w:p>
    <w:p w14:paraId="5C58FE17">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14:paraId="05798DF1">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签订地点：</w:t>
      </w:r>
      <w:r>
        <w:rPr>
          <w:rFonts w:hint="eastAsia" w:ascii="宋体" w:hAnsi="宋体" w:eastAsia="宋体" w:cs="宋体"/>
          <w:color w:val="auto"/>
          <w:sz w:val="21"/>
          <w:szCs w:val="21"/>
          <w:highlight w:val="none"/>
          <w:u w:val="single"/>
        </w:rPr>
        <w:t xml:space="preserve"> 东莞市 </w:t>
      </w:r>
    </w:p>
    <w:p w14:paraId="57E36682">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bookmarkStart w:id="563" w:name="_Toc259524394"/>
      <w:bookmarkStart w:id="564" w:name="_Toc17874"/>
      <w:bookmarkStart w:id="565" w:name="_Toc21890"/>
      <w:bookmarkStart w:id="566" w:name="_Toc229305402"/>
      <w:bookmarkStart w:id="567" w:name="_Toc497397588"/>
    </w:p>
    <w:bookmarkEnd w:id="563"/>
    <w:bookmarkEnd w:id="564"/>
    <w:bookmarkEnd w:id="565"/>
    <w:bookmarkEnd w:id="566"/>
    <w:bookmarkEnd w:id="567"/>
    <w:p w14:paraId="391A8DE5">
      <w:pPr>
        <w:adjustRightInd w:val="0"/>
        <w:snapToGrid w:val="0"/>
        <w:spacing w:line="360" w:lineRule="auto"/>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附件一：《工程量清单计价表》</w:t>
      </w:r>
    </w:p>
    <w:p w14:paraId="70F308CF">
      <w:pPr>
        <w:adjustRightInd w:val="0"/>
        <w:snapToGrid w:val="0"/>
        <w:spacing w:line="360" w:lineRule="auto"/>
        <w:rPr>
          <w:rFonts w:hint="eastAsia" w:ascii="宋体" w:hAnsi="宋体" w:eastAsia="宋体" w:cs="宋体"/>
          <w:color w:val="auto"/>
          <w:sz w:val="21"/>
          <w:szCs w:val="21"/>
          <w:highlight w:val="none"/>
        </w:rPr>
      </w:pPr>
      <w:bookmarkStart w:id="568" w:name="_Toc351203652"/>
      <w:r>
        <w:rPr>
          <w:rFonts w:hint="eastAsia" w:ascii="宋体" w:hAnsi="宋体" w:eastAsia="宋体" w:cs="宋体"/>
          <w:color w:val="auto"/>
          <w:sz w:val="21"/>
          <w:szCs w:val="21"/>
          <w:highlight w:val="none"/>
        </w:rPr>
        <w:t>附件二：</w:t>
      </w:r>
      <w:bookmarkEnd w:id="568"/>
      <w:r>
        <w:rPr>
          <w:rFonts w:hint="eastAsia" w:ascii="宋体" w:hAnsi="宋体" w:eastAsia="宋体" w:cs="宋体"/>
          <w:color w:val="auto"/>
          <w:sz w:val="21"/>
          <w:szCs w:val="21"/>
          <w:highlight w:val="none"/>
        </w:rPr>
        <w:t>廉洁协议书</w:t>
      </w:r>
    </w:p>
    <w:p w14:paraId="3548847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附件三：安全生产责任书</w:t>
      </w:r>
    </w:p>
    <w:p w14:paraId="031B8C0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附件四：诚信履约承诺书</w:t>
      </w:r>
    </w:p>
    <w:p w14:paraId="0C34432A">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附件五：检测单位履约考核评分表</w:t>
      </w:r>
    </w:p>
    <w:p w14:paraId="0C76BB9B">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附件六：中标通知书</w:t>
      </w:r>
    </w:p>
    <w:p w14:paraId="1C5648E9">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附件七：用户需求书</w:t>
      </w:r>
    </w:p>
    <w:p w14:paraId="42C2B126">
      <w:pPr>
        <w:pStyle w:val="18"/>
        <w:snapToGrid w:val="0"/>
        <w:spacing w:line="360" w:lineRule="auto"/>
        <w:ind w:right="0"/>
        <w:rPr>
          <w:rFonts w:hint="eastAsia" w:ascii="宋体" w:hAnsi="宋体" w:eastAsia="宋体" w:cs="宋体"/>
          <w:color w:val="auto"/>
          <w:sz w:val="21"/>
          <w:szCs w:val="21"/>
          <w:highlight w:val="none"/>
        </w:rPr>
      </w:pPr>
    </w:p>
    <w:p w14:paraId="668CDC9B">
      <w:pPr>
        <w:tabs>
          <w:tab w:val="left" w:pos="0"/>
          <w:tab w:val="left" w:pos="405"/>
          <w:tab w:val="left" w:pos="567"/>
          <w:tab w:val="left" w:pos="601"/>
          <w:tab w:val="left" w:pos="1980"/>
        </w:tabs>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5D9848B8">
      <w:pPr>
        <w:tabs>
          <w:tab w:val="left" w:pos="0"/>
          <w:tab w:val="left" w:pos="405"/>
          <w:tab w:val="left" w:pos="567"/>
          <w:tab w:val="left" w:pos="601"/>
          <w:tab w:val="left" w:pos="1980"/>
        </w:tabs>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附件一：《工程量清单计价表》</w:t>
      </w:r>
    </w:p>
    <w:p w14:paraId="4D285B59">
      <w:pPr>
        <w:tabs>
          <w:tab w:val="left" w:pos="0"/>
          <w:tab w:val="left" w:pos="405"/>
          <w:tab w:val="left" w:pos="567"/>
          <w:tab w:val="left" w:pos="601"/>
          <w:tab w:val="left" w:pos="1980"/>
        </w:tabs>
        <w:adjustRightInd w:val="0"/>
        <w:snapToGrid w:val="0"/>
        <w:spacing w:line="360" w:lineRule="auto"/>
        <w:rPr>
          <w:rFonts w:hint="eastAsia" w:ascii="宋体" w:hAnsi="宋体" w:eastAsia="宋体" w:cs="宋体"/>
          <w:color w:val="auto"/>
          <w:sz w:val="21"/>
          <w:szCs w:val="21"/>
          <w:highlight w:val="none"/>
        </w:rPr>
      </w:pPr>
    </w:p>
    <w:p w14:paraId="49E0ACBD">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2136999F">
      <w:pPr>
        <w:tabs>
          <w:tab w:val="left" w:pos="0"/>
          <w:tab w:val="left" w:pos="405"/>
          <w:tab w:val="left" w:pos="567"/>
          <w:tab w:val="left" w:pos="601"/>
          <w:tab w:val="left" w:pos="1980"/>
        </w:tabs>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附件二：廉洁协议书</w:t>
      </w:r>
    </w:p>
    <w:p w14:paraId="5999CA96">
      <w:pPr>
        <w:adjustRightInd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廉洁协议书</w:t>
      </w:r>
    </w:p>
    <w:p w14:paraId="4BEE63FC">
      <w:pPr>
        <w:adjustRightInd w:val="0"/>
        <w:snapToGrid w:val="0"/>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珠三角水资源配置工程东莞配套芦花坑水厂一期配水管线工程-B标段第三方检测服务采购项目</w:t>
      </w:r>
    </w:p>
    <w:p w14:paraId="432CE24A">
      <w:pPr>
        <w:adjustRightInd w:val="0"/>
        <w:snapToGrid w:val="0"/>
        <w:spacing w:line="360" w:lineRule="auto"/>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招标编号：</w:t>
      </w:r>
      <w:r>
        <w:rPr>
          <w:rFonts w:hint="eastAsia" w:ascii="宋体" w:hAnsi="宋体" w:eastAsia="宋体" w:cs="宋体"/>
          <w:color w:val="auto"/>
          <w:sz w:val="21"/>
          <w:szCs w:val="21"/>
          <w:highlight w:val="none"/>
          <w:lang w:eastAsia="zh-CN"/>
        </w:rPr>
        <w:t>DGDS2025-002</w:t>
      </w:r>
    </w:p>
    <w:p w14:paraId="6BAD9497">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委托人（甲方）： </w:t>
      </w:r>
    </w:p>
    <w:p w14:paraId="2F65F823">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检测人（乙方）：</w:t>
      </w:r>
    </w:p>
    <w:p w14:paraId="4A735938">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项目业主（丙方）：</w:t>
      </w:r>
    </w:p>
    <w:p w14:paraId="13C71342">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p>
    <w:p w14:paraId="110E433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规范甲乙丙三方在订立、履行合同及经济业务往来过程中的行为，保持廉洁自律的工作作风,防止各种违法及不正当行为的发生,确保甲乙丙三方及其工作人员自觉遵守国家法律、法规及廉洁从业各项规定，特订立本协议。</w:t>
      </w:r>
    </w:p>
    <w:p w14:paraId="275AECDE">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第一条  甲乙丙三方的权利和义务</w:t>
      </w:r>
    </w:p>
    <w:p w14:paraId="1A68813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（一）严格遵守党和国家有关法律法规等有关廉洁从业规定。</w:t>
      </w:r>
    </w:p>
    <w:p w14:paraId="39FDBD4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（二）严格执行本项目的合同文件，自觉按合同办事。</w:t>
      </w:r>
    </w:p>
    <w:p w14:paraId="192F11A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（三）三方的业务活动坚持公开、公正、诚信、透明的原则（除法律认定的商业秘密和合同文件另有规定之外）不得损害国家和集体利益，违反工程建设管理及其他法律法规规章制度。</w:t>
      </w:r>
    </w:p>
    <w:p w14:paraId="2D23D41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（四）建立健全廉洁制度，开展廉洁教育，设立廉洁监督公示牌，公布举报电话，监督并认真查处违法违纪行为。</w:t>
      </w:r>
    </w:p>
    <w:p w14:paraId="2734281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（五）发现对方在业务活动中有违反廉洁规定的行为，有及时提醒对方纠正的权利和义务。</w:t>
      </w:r>
    </w:p>
    <w:p w14:paraId="5EC2805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（六）发现对方严重违反本协议义务条款的行为，有向其上级有关部门举报、建议给予处理并要求告知处理结果的权利。</w:t>
      </w:r>
    </w:p>
    <w:p w14:paraId="61AEDD55">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第二条  甲方与丙方的义务</w:t>
      </w:r>
    </w:p>
    <w:p w14:paraId="387441C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（一）甲方、丙方及其工作人员不得索要或接受乙方的礼金、有价证券和贵重物品，不得在乙方报销任何应由甲方、丙方或个人支付的费用。</w:t>
      </w:r>
    </w:p>
    <w:p w14:paraId="70902EDF">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（二）甲方、丙方工作人员不得参加乙方安排的高消费宴请和娱乐活动；不得接受乙方提供的通讯工具、交通工具和高档办公用品。</w:t>
      </w:r>
    </w:p>
    <w:p w14:paraId="6FD40864">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（三）甲方、丙方及其工作人员不得要求或者接受乙方为其住房装修、婚丧嫁娶活动、家属或亲友的工作安排以及出国出境、旅游等提供方便。</w:t>
      </w:r>
    </w:p>
    <w:p w14:paraId="6A7C7490">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（四）甲方、丙方工作人员不得向乙方介绍其家属或者亲友（包括家属或亲友开办的公司企业）从事于本项目涉及的经济业务活动。</w:t>
      </w:r>
    </w:p>
    <w:p w14:paraId="7FC83B1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（五）甲方、丙方及其工作人员不得以任何理由向乙方推荐分包单位，不得要求乙方购买合同规定外的材料和设备。</w:t>
      </w:r>
    </w:p>
    <w:p w14:paraId="1AA5CD7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（六）甲方、丙方及其工作人员不得进行违反廉洁规定的其他活动。</w:t>
      </w:r>
    </w:p>
    <w:p w14:paraId="44BDE6C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甲方、丙方应分别对甲方、丙方工作人员进行廉洁监督管理，如甲方、丙方工作人员违反本协议第一、第二条，甲方、丙方应依据有关法律法规、党纪规定对其进行处理；涉嫌犯罪的，甲方、丙方应将其移交司法机关追究刑事责任。</w:t>
      </w:r>
    </w:p>
    <w:p w14:paraId="6B56D1CC">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第三条  乙方义务</w:t>
      </w:r>
    </w:p>
    <w:p w14:paraId="654244A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（一）乙方不得以任何理由向甲方、丙方及其工作人员馈赠礼金、有价证券、贵重礼品，或报销应由甲方、丙方单位或个人支付的任何费用。</w:t>
      </w:r>
    </w:p>
    <w:p w14:paraId="4C605D1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（二）乙方及其工作人员不得以考察、参观、洽谈业务、签订合同等的借口邀请甲方、丙方及其工作人员参加高消费的宴请、娱乐和健身等活动。</w:t>
      </w:r>
    </w:p>
    <w:p w14:paraId="18AE53F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（三）乙方不得为甲方、丙方单位和个人购置或提供通讯工具、交通工具和高档办公用品等。</w:t>
      </w:r>
    </w:p>
    <w:p w14:paraId="195BEF7E">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（四）乙方及其工作人员不得为甲方、丙方工作人员购买、装修、维修私人住房、汽车等。</w:t>
      </w:r>
    </w:p>
    <w:p w14:paraId="0468C926">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（五）乙方及其工作人员不得为甲方、丙方工作人员的婚丧嫁娶、家属或亲友的工作安排，及出国出境提供方便以及报销任何私人消费的费用。</w:t>
      </w:r>
    </w:p>
    <w:p w14:paraId="27E86BB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（六）乙方及其工作人员不得进行影响甲方、丙方及其工作人员公正执行合同和履行职务的其他活动。</w:t>
      </w:r>
    </w:p>
    <w:p w14:paraId="3D4EA45B">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3D21C0F2">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第四条  违约责任</w:t>
      </w:r>
    </w:p>
    <w:p w14:paraId="0AA264E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（一）甲方、丙方违反本协议第一、第二条给乙方单位造成经济损失的，应予以赔偿。</w:t>
      </w:r>
    </w:p>
    <w:p w14:paraId="4BE75E4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（二）乙方违反本协议第一、第三条给甲方、丙方单位造成经济损失的，应予以赔偿。</w:t>
      </w:r>
    </w:p>
    <w:p w14:paraId="58BBBCA3">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第五条  监督检查</w:t>
      </w:r>
    </w:p>
    <w:p w14:paraId="48C7BE1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甲乙丙三方的廉洁从业行为由三方或三方上级单位的纪检、监察部门负责监督，对本协议履行情况进行检查。</w:t>
      </w:r>
    </w:p>
    <w:p w14:paraId="58E6215A">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第六条 举报信访受理</w:t>
      </w:r>
    </w:p>
    <w:p w14:paraId="0302C3A4">
      <w:pPr>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（一）举报受理部门：东莞市水务集团有限公司纪检监察部。</w:t>
      </w:r>
    </w:p>
    <w:p w14:paraId="61ED982E">
      <w:pPr>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（二）举报电话：（0769）23076092。</w:t>
      </w:r>
    </w:p>
    <w:p w14:paraId="5BF644FF">
      <w:pPr>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（三）举报邮箱：</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"mailto:jcsj@dgswjt.cn。" </w:instrText>
      </w:r>
      <w:r>
        <w:rPr>
          <w:rFonts w:hint="eastAsia" w:ascii="宋体" w:hAnsi="宋体" w:eastAsia="宋体" w:cs="宋体"/>
          <w:color w:val="auto"/>
          <w:sz w:val="21"/>
          <w:szCs w:val="21"/>
          <w:highlight w:val="none"/>
        </w:rPr>
        <w:fldChar w:fldCharType="separate"/>
      </w:r>
      <w:r>
        <w:rPr>
          <w:rStyle w:val="42"/>
          <w:rFonts w:hint="eastAsia" w:ascii="宋体" w:hAnsi="宋体" w:eastAsia="宋体" w:cs="宋体"/>
          <w:color w:val="auto"/>
          <w:sz w:val="21"/>
          <w:szCs w:val="21"/>
          <w:highlight w:val="none"/>
        </w:rPr>
        <w:t>jcsj@dgswjt.cn。</w:t>
      </w:r>
      <w:r>
        <w:rPr>
          <w:rStyle w:val="42"/>
          <w:rFonts w:hint="eastAsia" w:ascii="宋体" w:hAnsi="宋体" w:eastAsia="宋体" w:cs="宋体"/>
          <w:color w:val="auto"/>
          <w:sz w:val="21"/>
          <w:szCs w:val="21"/>
          <w:highlight w:val="none"/>
        </w:rPr>
        <w:fldChar w:fldCharType="end"/>
      </w:r>
    </w:p>
    <w:p w14:paraId="5ED19A41">
      <w:pPr>
        <w:adjustRightInd w:val="0"/>
        <w:snapToGrid w:val="0"/>
        <w:spacing w:line="360" w:lineRule="auto"/>
        <w:ind w:firstLine="56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（四）信访地址：广东省东莞市东城街道育华路1号。</w:t>
      </w:r>
    </w:p>
    <w:p w14:paraId="73C15824">
      <w:pPr>
        <w:adjustRightInd w:val="0"/>
        <w:snapToGrid w:val="0"/>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第七条 其他</w:t>
      </w:r>
    </w:p>
    <w:p w14:paraId="32AF74C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本协议有效期为甲乙丙三方签字并加盖公章之日起至该工程/采购项目竣工验收完毕，质保期/服务期满后止。本协议一式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份，甲、乙、丙三方上级主管部门各执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份。</w:t>
      </w:r>
    </w:p>
    <w:p w14:paraId="304D58CF">
      <w:pPr>
        <w:adjustRightInd w:val="0"/>
        <w:snapToGrid w:val="0"/>
        <w:spacing w:line="360" w:lineRule="auto"/>
        <w:rPr>
          <w:rFonts w:hint="eastAsia" w:ascii="宋体" w:hAnsi="宋体" w:eastAsia="宋体" w:cs="宋体"/>
          <w:color w:val="auto"/>
          <w:sz w:val="21"/>
          <w:szCs w:val="21"/>
          <w:highlight w:val="none"/>
        </w:rPr>
      </w:pPr>
    </w:p>
    <w:p w14:paraId="3706B159">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甲方（盖章）：                          乙方（盖章）： </w:t>
      </w:r>
    </w:p>
    <w:p w14:paraId="0B75B10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6915CD58">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14:paraId="2814632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14:paraId="425C0566">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6A1B756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丙方（盖章）：</w:t>
      </w:r>
    </w:p>
    <w:p w14:paraId="6E383A8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6EB0A1FD">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14:paraId="62046C41">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14:paraId="68BDA26D">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b/>
          <w:color w:val="auto"/>
          <w:sz w:val="21"/>
          <w:szCs w:val="21"/>
          <w:highlight w:val="none"/>
        </w:rPr>
        <w:t>附件三：安全生产责任书</w:t>
      </w:r>
    </w:p>
    <w:p w14:paraId="7D0F05E1">
      <w:pPr>
        <w:adjustRightInd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安全生产责任书</w:t>
      </w:r>
    </w:p>
    <w:p w14:paraId="75C2DBBB">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更好地贯彻“安全第一、预防为主、以人为本、强化管理、落实责任”的安全生产方针，全面落实企业安全生产主体责任，推进安全生产标准化管理，切实做好东莞市水务集团建设管理有限公司（以下简称：建设公司）的安全生产工作，杜绝各类事故的发生，保障建设公司财产和员工的人身安全，实现安全生产目标，建设公司、项目业主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签订安全生产责任书。</w:t>
      </w:r>
    </w:p>
    <w:p w14:paraId="223C7F53">
      <w:pPr>
        <w:numPr>
          <w:ilvl w:val="0"/>
          <w:numId w:val="2"/>
        </w:num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安全生产目标</w:t>
      </w:r>
    </w:p>
    <w:p w14:paraId="734A71C4">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杜绝重伤及以上生产安全事故；</w:t>
      </w:r>
    </w:p>
    <w:p w14:paraId="01C146AD">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杜绝火灾、爆炸责任事故；</w:t>
      </w:r>
    </w:p>
    <w:p w14:paraId="1FE9BBD9">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杜绝多人严重急性中毒事故；</w:t>
      </w:r>
    </w:p>
    <w:p w14:paraId="44B122A7">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工伤事故中轻伤率不超过3‰；</w:t>
      </w:r>
    </w:p>
    <w:p w14:paraId="035F20C7">
      <w:pPr>
        <w:numPr>
          <w:ilvl w:val="0"/>
          <w:numId w:val="3"/>
        </w:num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生产经营范围内无刑事案件发生。</w:t>
      </w:r>
    </w:p>
    <w:p w14:paraId="4E7052C6">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二、安全生产责任</w:t>
      </w:r>
    </w:p>
    <w:p w14:paraId="36886E2F">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u w:val="single"/>
          <w:shd w:val="clear" w:color="090000" w:fill="FFFFFF"/>
        </w:rPr>
        <w:t xml:space="preserve">              </w:t>
      </w:r>
      <w:r>
        <w:rPr>
          <w:rFonts w:hint="eastAsia" w:ascii="宋体" w:hAnsi="宋体" w:eastAsia="宋体" w:cs="宋体"/>
          <w:color w:val="auto"/>
          <w:sz w:val="21"/>
          <w:szCs w:val="21"/>
          <w:highlight w:val="none"/>
          <w:shd w:val="clear" w:color="090000" w:fill="FFFFFF"/>
        </w:rPr>
        <w:t>为</w:t>
      </w:r>
      <w:r>
        <w:rPr>
          <w:rFonts w:hint="eastAsia" w:ascii="宋体" w:hAnsi="宋体" w:eastAsia="宋体" w:cs="宋体"/>
          <w:color w:val="auto"/>
          <w:sz w:val="21"/>
          <w:szCs w:val="21"/>
          <w:highlight w:val="none"/>
          <w:lang w:eastAsia="zh-CN"/>
        </w:rPr>
        <w:t>珠三角水资源配置工程东莞配套芦花坑水厂一期配水管线工程-B标段第三方检测服务采购项目</w:t>
      </w:r>
      <w:r>
        <w:rPr>
          <w:rFonts w:hint="eastAsia" w:ascii="宋体" w:hAnsi="宋体" w:eastAsia="宋体" w:cs="宋体"/>
          <w:color w:val="auto"/>
          <w:sz w:val="21"/>
          <w:szCs w:val="21"/>
          <w:highlight w:val="none"/>
          <w:shd w:val="clear" w:color="090000" w:fill="FFFFFF"/>
        </w:rPr>
        <w:t>安全生产工作的第一责任人，对</w:t>
      </w:r>
      <w:r>
        <w:rPr>
          <w:rFonts w:hint="eastAsia" w:ascii="宋体" w:hAnsi="宋体" w:eastAsia="宋体" w:cs="宋体"/>
          <w:color w:val="auto"/>
          <w:sz w:val="21"/>
          <w:szCs w:val="21"/>
          <w:highlight w:val="none"/>
          <w:lang w:eastAsia="zh-CN"/>
        </w:rPr>
        <w:t>珠三角水资源配置工程东莞配套芦花坑水厂一期配水管线工程-B标段第三方检测服务采购项目</w:t>
      </w:r>
      <w:r>
        <w:rPr>
          <w:rFonts w:hint="eastAsia" w:ascii="宋体" w:hAnsi="宋体" w:eastAsia="宋体" w:cs="宋体"/>
          <w:color w:val="auto"/>
          <w:sz w:val="21"/>
          <w:szCs w:val="21"/>
          <w:highlight w:val="none"/>
          <w:shd w:val="clear" w:color="090000" w:fill="FFFFFF"/>
        </w:rPr>
        <w:t>安全生产工作负全面领导责任；其他人员对业务工作范围内的安全生产工作负直接责任</w:t>
      </w:r>
      <w:r>
        <w:rPr>
          <w:rFonts w:hint="eastAsia" w:ascii="宋体" w:hAnsi="宋体" w:eastAsia="宋体" w:cs="宋体"/>
          <w:color w:val="auto"/>
          <w:sz w:val="21"/>
          <w:szCs w:val="21"/>
          <w:highlight w:val="none"/>
        </w:rPr>
        <w:t>。</w:t>
      </w:r>
    </w:p>
    <w:p w14:paraId="78D1E4E8">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遵守《安全生产法》、《消防法》、《劳动法》等法律法规，贯彻和执行</w:t>
      </w:r>
      <w:r>
        <w:rPr>
          <w:rFonts w:hint="eastAsia" w:ascii="宋体" w:hAnsi="宋体" w:eastAsia="宋体" w:cs="宋体"/>
          <w:color w:val="auto"/>
          <w:sz w:val="21"/>
          <w:szCs w:val="21"/>
          <w:highlight w:val="none"/>
          <w:shd w:val="clear" w:color="090000" w:fill="FFFFFF"/>
        </w:rPr>
        <w:t>建设公司</w:t>
      </w:r>
      <w:r>
        <w:rPr>
          <w:rFonts w:hint="eastAsia" w:ascii="宋体" w:hAnsi="宋体" w:eastAsia="宋体" w:cs="宋体"/>
          <w:color w:val="auto"/>
          <w:sz w:val="21"/>
          <w:szCs w:val="21"/>
          <w:highlight w:val="none"/>
        </w:rPr>
        <w:t>有关安全生产的制度、规程和标准，全面推动安全管理工作。</w:t>
      </w:r>
    </w:p>
    <w:p w14:paraId="3A084A16">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积极参与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组织的安全培训、“安全生产活动月”、“消防安全月”等活动。</w:t>
      </w:r>
    </w:p>
    <w:p w14:paraId="796D4999">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参加</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召开安全生产工作会议，落实会议的相关要求。</w:t>
      </w:r>
    </w:p>
    <w:p w14:paraId="2DE2428A">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参与</w:t>
      </w: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组织开展生产安全事故应急预案演练，提高应急技能及应急管理水平。</w:t>
      </w:r>
    </w:p>
    <w:p w14:paraId="2C016430">
      <w:pPr>
        <w:adjustRightInd w:val="0"/>
        <w:snapToGrid w:val="0"/>
        <w:spacing w:line="360" w:lineRule="auto"/>
        <w:ind w:firstLine="424" w:firstLineChars="202"/>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发生安全事故时及时组织救援并上报，协助开展事故调查分析工作。</w:t>
      </w:r>
    </w:p>
    <w:p w14:paraId="5FE63789">
      <w:pPr>
        <w:numPr>
          <w:ilvl w:val="0"/>
          <w:numId w:val="4"/>
        </w:num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考核与奖惩</w:t>
      </w:r>
    </w:p>
    <w:p w14:paraId="22E9683E">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090000" w:fill="FFFFFF"/>
        </w:rPr>
        <w:t>建设公司及项目业主</w:t>
      </w:r>
      <w:r>
        <w:rPr>
          <w:rFonts w:hint="eastAsia" w:ascii="宋体" w:hAnsi="宋体" w:eastAsia="宋体" w:cs="宋体"/>
          <w:color w:val="auto"/>
          <w:sz w:val="21"/>
          <w:szCs w:val="21"/>
          <w:highlight w:val="none"/>
        </w:rPr>
        <w:t>负责对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的安全生产管理工作进行检查和考核。</w:t>
      </w:r>
    </w:p>
    <w:p w14:paraId="25F83604">
      <w:pPr>
        <w:numPr>
          <w:ilvl w:val="0"/>
          <w:numId w:val="4"/>
        </w:num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p w14:paraId="33F839A5">
      <w:pPr>
        <w:adjustRightInd w:val="0"/>
        <w:snapToGrid w:val="0"/>
        <w:spacing w:line="360" w:lineRule="auto"/>
        <w:ind w:firstLine="420" w:firstLineChars="200"/>
        <w:contextualSpacing/>
        <w:rPr>
          <w:rFonts w:hint="eastAsia" w:ascii="宋体" w:hAnsi="宋体" w:eastAsia="宋体" w:cs="宋体"/>
          <w:b/>
          <w:bCs/>
          <w:color w:val="auto"/>
          <w:sz w:val="21"/>
          <w:szCs w:val="21"/>
          <w:highlight w:val="none"/>
          <w:lang w:val="zh-CN"/>
        </w:rPr>
      </w:pPr>
      <w:r>
        <w:rPr>
          <w:rFonts w:hint="eastAsia" w:ascii="宋体" w:hAnsi="宋体" w:eastAsia="宋体" w:cs="宋体"/>
          <w:color w:val="auto"/>
          <w:sz w:val="21"/>
          <w:szCs w:val="21"/>
          <w:highlight w:val="none"/>
        </w:rPr>
        <w:t>本安全生产责任书自考核方与责任方盖章签字之日起生效，有效期至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14:paraId="205DC645">
      <w:pPr>
        <w:adjustRightInd w:val="0"/>
        <w:snapToGrid w:val="0"/>
        <w:spacing w:line="360" w:lineRule="auto"/>
        <w:ind w:firstLine="420"/>
        <w:rPr>
          <w:rFonts w:hint="eastAsia" w:ascii="宋体" w:hAnsi="宋体" w:eastAsia="宋体" w:cs="宋体"/>
          <w:b/>
          <w:color w:val="auto"/>
          <w:sz w:val="21"/>
          <w:szCs w:val="21"/>
          <w:highlight w:val="none"/>
        </w:rPr>
      </w:pPr>
    </w:p>
    <w:p w14:paraId="255F7C6D">
      <w:pPr>
        <w:adjustRightInd w:val="0"/>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目标考核方1：东莞市水务集团建设管理有限公司   目标考核方2：</w:t>
      </w:r>
      <w:r>
        <w:rPr>
          <w:rFonts w:hint="eastAsia" w:ascii="宋体" w:hAnsi="宋体" w:eastAsia="宋体" w:cs="宋体"/>
          <w:b/>
          <w:color w:val="auto"/>
          <w:sz w:val="21"/>
          <w:szCs w:val="21"/>
          <w:highlight w:val="none"/>
          <w:lang w:eastAsia="zh-CN"/>
        </w:rPr>
        <w:t>东莞市水务集团供水有限公司</w:t>
      </w:r>
    </w:p>
    <w:p w14:paraId="64590024">
      <w:pPr>
        <w:adjustRightInd w:val="0"/>
        <w:snapToGrid w:val="0"/>
        <w:spacing w:line="360" w:lineRule="auto"/>
        <w:rPr>
          <w:rFonts w:hint="eastAsia" w:ascii="宋体" w:hAnsi="宋体" w:eastAsia="宋体" w:cs="宋体"/>
          <w:b/>
          <w:color w:val="auto"/>
          <w:sz w:val="21"/>
          <w:szCs w:val="21"/>
          <w:highlight w:val="none"/>
        </w:rPr>
      </w:pPr>
    </w:p>
    <w:p w14:paraId="7FF852C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                                    法定代表人</w:t>
      </w:r>
    </w:p>
    <w:p w14:paraId="3E109F1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                  或授权代理人（签名或私章）：</w:t>
      </w:r>
    </w:p>
    <w:p w14:paraId="0A4C1775">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签订日期：    年  月  日                          年  月  日</w:t>
      </w:r>
    </w:p>
    <w:p w14:paraId="2C61D799">
      <w:pPr>
        <w:adjustRightInd w:val="0"/>
        <w:snapToGrid w:val="0"/>
        <w:spacing w:line="360" w:lineRule="auto"/>
        <w:rPr>
          <w:rFonts w:hint="eastAsia" w:ascii="宋体" w:hAnsi="宋体" w:eastAsia="宋体" w:cs="宋体"/>
          <w:color w:val="auto"/>
          <w:sz w:val="21"/>
          <w:szCs w:val="21"/>
          <w:highlight w:val="none"/>
        </w:rPr>
      </w:pPr>
    </w:p>
    <w:p w14:paraId="00C50C96">
      <w:pPr>
        <w:adjustRightInd w:val="0"/>
        <w:snapToGrid w:val="0"/>
        <w:spacing w:line="360" w:lineRule="auto"/>
        <w:rPr>
          <w:rFonts w:hint="eastAsia" w:ascii="宋体" w:hAnsi="宋体" w:eastAsia="宋体" w:cs="宋体"/>
          <w:b/>
          <w:bCs/>
          <w:color w:val="auto"/>
          <w:sz w:val="21"/>
          <w:szCs w:val="21"/>
          <w:highlight w:val="none"/>
          <w:lang w:val="zh-CN"/>
        </w:rPr>
      </w:pPr>
    </w:p>
    <w:p w14:paraId="2681FAB6">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目标责任方：          </w:t>
      </w:r>
    </w:p>
    <w:p w14:paraId="53792E93">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p>
    <w:p w14:paraId="23DD134C">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或授权代理人（签名或私章）：</w:t>
      </w:r>
    </w:p>
    <w:p w14:paraId="41ECDEA2">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签订日期：    年  月  日 </w:t>
      </w:r>
    </w:p>
    <w:p w14:paraId="17314CCF">
      <w:pPr>
        <w:adjustRightInd w:val="0"/>
        <w:snapToGrid w:val="0"/>
        <w:spacing w:line="360" w:lineRule="auto"/>
        <w:rPr>
          <w:rFonts w:hint="eastAsia" w:ascii="宋体" w:hAnsi="宋体" w:eastAsia="宋体" w:cs="宋体"/>
          <w:b/>
          <w:color w:val="auto"/>
          <w:sz w:val="21"/>
          <w:szCs w:val="21"/>
          <w:highlight w:val="none"/>
        </w:rPr>
      </w:pPr>
    </w:p>
    <w:p w14:paraId="76A48A12">
      <w:pPr>
        <w:widowControl/>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42D83F4C">
      <w:pPr>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附件四：诚信履约承诺书</w:t>
      </w:r>
    </w:p>
    <w:p w14:paraId="6D5846A9">
      <w:pPr>
        <w:adjustRightInd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诚信履约承诺书</w:t>
      </w:r>
    </w:p>
    <w:p w14:paraId="4DD1AFC0">
      <w:pPr>
        <w:adjustRightInd w:val="0"/>
        <w:snapToGrid w:val="0"/>
        <w:spacing w:line="360" w:lineRule="auto"/>
        <w:rPr>
          <w:rFonts w:hint="eastAsia" w:ascii="宋体" w:hAnsi="宋体" w:eastAsia="宋体" w:cs="宋体"/>
          <w:color w:val="auto"/>
          <w:sz w:val="21"/>
          <w:szCs w:val="21"/>
          <w:highlight w:val="none"/>
        </w:rPr>
      </w:pPr>
    </w:p>
    <w:p w14:paraId="2CE2CDB5">
      <w:pPr>
        <w:adjustRightInd w:val="0"/>
        <w:snapToGrid w:val="0"/>
        <w:spacing w:line="360" w:lineRule="auto"/>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东莞市水务集团建设管理有限公司、</w:t>
      </w:r>
      <w:r>
        <w:rPr>
          <w:rFonts w:hint="eastAsia" w:ascii="宋体" w:hAnsi="宋体" w:eastAsia="宋体" w:cs="宋体"/>
          <w:color w:val="auto"/>
          <w:sz w:val="21"/>
          <w:szCs w:val="21"/>
          <w:highlight w:val="none"/>
          <w:lang w:eastAsia="zh-CN"/>
        </w:rPr>
        <w:t>东莞市水务集团供水有限公司</w:t>
      </w:r>
      <w:r>
        <w:rPr>
          <w:rFonts w:hint="eastAsia" w:ascii="宋体" w:hAnsi="宋体" w:eastAsia="宋体" w:cs="宋体"/>
          <w:color w:val="auto"/>
          <w:sz w:val="21"/>
          <w:szCs w:val="21"/>
          <w:highlight w:val="none"/>
        </w:rPr>
        <w:t>：</w:t>
      </w:r>
    </w:p>
    <w:p w14:paraId="1E269621">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我司根据《</w:t>
      </w:r>
      <w:r>
        <w:rPr>
          <w:rFonts w:hint="eastAsia" w:ascii="宋体" w:hAnsi="宋体" w:eastAsia="宋体" w:cs="宋体"/>
          <w:color w:val="auto"/>
          <w:sz w:val="21"/>
          <w:szCs w:val="21"/>
          <w:highlight w:val="none"/>
          <w:lang w:eastAsia="zh-CN"/>
        </w:rPr>
        <w:t>珠三角水资源配置工程东莞配套芦花坑水厂一期配水管线工程-B标段第三方检测服务采购项目</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第三方检测合同》相关条款全力配合贵公司工作，并自愿做出如下承诺：</w:t>
      </w:r>
    </w:p>
    <w:p w14:paraId="3DFA5D1B">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如我司有拖欠所雇用员工工资等，发生劳资纠纷、上访、闹事或其他影响贵公司生产经营等情况而未及时妥善处理的，贵公司有权启用履约担保或未付款等予以支付或作出相应处理，由此产生的一切法律后果由我司承担。</w:t>
      </w:r>
    </w:p>
    <w:p w14:paraId="44E2C0F8">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（二）如我司有违反本项目管理及合同约定等行为，我司无条件同意并接受贵公司根据合同及相关约定追究我司的违约责任。</w:t>
      </w:r>
    </w:p>
    <w:p w14:paraId="0E149ED7">
      <w:pPr>
        <w:adjustRightInd w:val="0"/>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b/>
          <w:bCs/>
          <w:color w:val="auto"/>
          <w:sz w:val="21"/>
          <w:szCs w:val="21"/>
          <w:highlight w:val="none"/>
        </w:rPr>
        <w:t>如我司在投标过程中或合同履行过程中存在以下等情形的：</w:t>
      </w:r>
      <w:r>
        <w:rPr>
          <w:rFonts w:hint="eastAsia" w:ascii="宋体" w:hAnsi="宋体" w:eastAsia="宋体" w:cs="宋体"/>
          <w:color w:val="auto"/>
          <w:sz w:val="21"/>
          <w:szCs w:val="21"/>
          <w:highlight w:val="none"/>
        </w:rPr>
        <w:t>（1）通过虚假响应招标文件要求等弄虚作假手段骗取中标的或未按照招标文件约定按时提供原件核查的；（2）利用虚假材料、以欺骗手段取得中标资格的；（3）将合同义务转包或违法分包的；（4）提供的服务不符合有关法律、行政法规的规定和质量标准、安全标准、行业规范以及合同的约定的。</w:t>
      </w:r>
      <w:r>
        <w:rPr>
          <w:rFonts w:hint="eastAsia" w:ascii="宋体" w:hAnsi="宋体" w:eastAsia="宋体" w:cs="宋体"/>
          <w:b/>
          <w:bCs/>
          <w:color w:val="auto"/>
          <w:sz w:val="21"/>
          <w:szCs w:val="21"/>
          <w:highlight w:val="none"/>
        </w:rPr>
        <w:t>我司同意并接受贵公司采取包括但不限于以下措施：</w:t>
      </w:r>
      <w:r>
        <w:rPr>
          <w:rFonts w:hint="eastAsia" w:ascii="宋体" w:hAnsi="宋体" w:eastAsia="宋体" w:cs="宋体"/>
          <w:color w:val="auto"/>
          <w:sz w:val="21"/>
          <w:szCs w:val="21"/>
          <w:highlight w:val="none"/>
        </w:rPr>
        <w:t>（1）将我司列入东莞市水务集团有限公司单位“黑名单”，在东莞市水务集团有限公司官网上进行公告，并在委托人以后的招标采购项目评标时充分考虑我司的不良行为和履约问题；（2）向东莞阳光网、东莞日报等媒体公开我公司失信行为；（3）上报东莞市住建局、东莞市水务局、东莞市水污染治理现场指挥部等部门要求将我司列入重点监管名单、在东莞市以后的招标采购项目评标时会充分考虑我司的不良行为和履约问题甚至取消我司参加东莞市公开招标项目的投标资格；（4）向广东省住建厅、国资委等部门进行通报和投诉等。</w:t>
      </w:r>
    </w:p>
    <w:p w14:paraId="0BC18192">
      <w:pPr>
        <w:adjustRightInd w:val="0"/>
        <w:snapToGrid w:val="0"/>
        <w:spacing w:line="360" w:lineRule="auto"/>
        <w:ind w:firstLine="422" w:firstLineChars="200"/>
        <w:contextualSpacing/>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我司并愿按相关规定接受处理，由此产生的一切法律责任和不利后果全部由我司承担。</w:t>
      </w:r>
    </w:p>
    <w:p w14:paraId="23C58311">
      <w:pPr>
        <w:pStyle w:val="18"/>
        <w:snapToGrid w:val="0"/>
        <w:spacing w:line="360" w:lineRule="auto"/>
        <w:ind w:right="0"/>
        <w:rPr>
          <w:rFonts w:hint="eastAsia" w:ascii="宋体" w:hAnsi="宋体" w:eastAsia="宋体" w:cs="宋体"/>
          <w:color w:val="auto"/>
          <w:sz w:val="21"/>
          <w:szCs w:val="21"/>
          <w:highlight w:val="none"/>
          <w:lang w:val="en-US"/>
        </w:rPr>
      </w:pPr>
    </w:p>
    <w:p w14:paraId="0FBDEBE3">
      <w:pPr>
        <w:adjustRightInd w:val="0"/>
        <w:snapToGrid w:val="0"/>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承诺人（盖章）：</w:t>
      </w:r>
    </w:p>
    <w:p w14:paraId="248E126A">
      <w:pPr>
        <w:adjustRightInd w:val="0"/>
        <w:snapToGrid w:val="0"/>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法人代表人（或授权代理人）签名（或盖私章）：</w:t>
      </w:r>
    </w:p>
    <w:p w14:paraId="5C0C05D4">
      <w:pPr>
        <w:adjustRightInd w:val="0"/>
        <w:snapToGrid w:val="0"/>
        <w:spacing w:line="360" w:lineRule="auto"/>
        <w:ind w:firstLine="4200" w:firstLineChars="20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   年   月  日</w:t>
      </w:r>
    </w:p>
    <w:p w14:paraId="762A3755">
      <w:pPr>
        <w:widowControl/>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p>
    <w:p w14:paraId="2F20CB5C">
      <w:pPr>
        <w:adjustRightInd w:val="0"/>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附件五 检测单位履约考核评分表</w:t>
      </w:r>
    </w:p>
    <w:p w14:paraId="7BA7D10F">
      <w:pPr>
        <w:adjustRightInd w:val="0"/>
        <w:snapToGrid w:val="0"/>
        <w:spacing w:line="360" w:lineRule="auto"/>
        <w:rPr>
          <w:rFonts w:hint="eastAsia" w:ascii="宋体" w:hAnsi="宋体" w:eastAsia="宋体" w:cs="宋体"/>
          <w:color w:val="auto"/>
          <w:sz w:val="21"/>
          <w:szCs w:val="21"/>
          <w:highlight w:val="none"/>
        </w:rPr>
      </w:pPr>
    </w:p>
    <w:p w14:paraId="5181EF37">
      <w:pPr>
        <w:adjustRightInd w:val="0"/>
        <w:snapToGrid w:val="0"/>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检测单位履约考核评分表</w:t>
      </w:r>
    </w:p>
    <w:tbl>
      <w:tblPr>
        <w:tblStyle w:val="36"/>
        <w:tblW w:w="10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6"/>
        <w:gridCol w:w="717"/>
        <w:gridCol w:w="4304"/>
        <w:gridCol w:w="537"/>
        <w:gridCol w:w="1578"/>
        <w:gridCol w:w="1078"/>
        <w:gridCol w:w="1076"/>
      </w:tblGrid>
      <w:tr w14:paraId="5E409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793" w:type="dxa"/>
            <w:gridSpan w:val="2"/>
            <w:vAlign w:val="center"/>
          </w:tcPr>
          <w:p w14:paraId="1A34BCE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检测人名称</w:t>
            </w:r>
          </w:p>
        </w:tc>
        <w:tc>
          <w:tcPr>
            <w:tcW w:w="4841" w:type="dxa"/>
            <w:gridSpan w:val="2"/>
            <w:vAlign w:val="center"/>
          </w:tcPr>
          <w:p w14:paraId="12422C1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1578" w:type="dxa"/>
            <w:vAlign w:val="center"/>
          </w:tcPr>
          <w:p w14:paraId="2929D7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评价时间</w:t>
            </w:r>
          </w:p>
        </w:tc>
        <w:tc>
          <w:tcPr>
            <w:tcW w:w="2154" w:type="dxa"/>
            <w:gridSpan w:val="2"/>
            <w:vAlign w:val="center"/>
          </w:tcPr>
          <w:p w14:paraId="34A19EC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6442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076" w:type="dxa"/>
            <w:vAlign w:val="center"/>
          </w:tcPr>
          <w:p w14:paraId="17BACE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评价内容</w:t>
            </w:r>
          </w:p>
        </w:tc>
        <w:tc>
          <w:tcPr>
            <w:tcW w:w="717" w:type="dxa"/>
            <w:vAlign w:val="center"/>
          </w:tcPr>
          <w:p w14:paraId="0F7A615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各项分值</w:t>
            </w:r>
          </w:p>
        </w:tc>
        <w:tc>
          <w:tcPr>
            <w:tcW w:w="6419" w:type="dxa"/>
            <w:gridSpan w:val="3"/>
            <w:vAlign w:val="center"/>
          </w:tcPr>
          <w:p w14:paraId="63D276C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具体内容</w:t>
            </w:r>
          </w:p>
        </w:tc>
        <w:tc>
          <w:tcPr>
            <w:tcW w:w="1078" w:type="dxa"/>
            <w:vAlign w:val="center"/>
          </w:tcPr>
          <w:p w14:paraId="755705B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评分 </w:t>
            </w:r>
          </w:p>
          <w:p w14:paraId="24830C3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center"/>
          </w:tcPr>
          <w:p w14:paraId="5F278B6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各项</w:t>
            </w:r>
          </w:p>
          <w:p w14:paraId="363753E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得分</w:t>
            </w:r>
          </w:p>
        </w:tc>
      </w:tr>
      <w:tr w14:paraId="1180D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76" w:type="dxa"/>
            <w:vAlign w:val="center"/>
          </w:tcPr>
          <w:p w14:paraId="52DA818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服务响应</w:t>
            </w:r>
          </w:p>
        </w:tc>
        <w:tc>
          <w:tcPr>
            <w:tcW w:w="717" w:type="dxa"/>
            <w:vAlign w:val="center"/>
          </w:tcPr>
          <w:p w14:paraId="6DE37AF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419" w:type="dxa"/>
            <w:gridSpan w:val="3"/>
            <w:vAlign w:val="center"/>
          </w:tcPr>
          <w:p w14:paraId="4863F288">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1、不积极配合协助处理服务履行中发生的争议，不主动提供真实情况，每次扣3分；</w:t>
            </w:r>
          </w:p>
          <w:p w14:paraId="64AACA3C">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2、未能在约定时间内进驻现场的，每次扣5分；</w:t>
            </w:r>
          </w:p>
          <w:p w14:paraId="5DEA440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3、因无相应资质，需另行委托分包单位进行检测的，每检测项（细项）扣5分；</w:t>
            </w:r>
          </w:p>
          <w:p w14:paraId="2BF45AA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4、未派人员参加业主要求的相关会议，每次扣5分。</w:t>
            </w:r>
          </w:p>
        </w:tc>
        <w:tc>
          <w:tcPr>
            <w:tcW w:w="1078" w:type="dxa"/>
            <w:vAlign w:val="center"/>
          </w:tcPr>
          <w:p w14:paraId="5BE3EE0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57BD04B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50B1139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265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1076" w:type="dxa"/>
            <w:vAlign w:val="center"/>
          </w:tcPr>
          <w:p w14:paraId="0EA69E5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设备人员配置</w:t>
            </w:r>
          </w:p>
        </w:tc>
        <w:tc>
          <w:tcPr>
            <w:tcW w:w="717" w:type="dxa"/>
            <w:vAlign w:val="center"/>
          </w:tcPr>
          <w:p w14:paraId="2E6EC13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419" w:type="dxa"/>
            <w:gridSpan w:val="3"/>
            <w:vAlign w:val="center"/>
          </w:tcPr>
          <w:p w14:paraId="70B0FE7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1、未按我公司要求配齐相应检测人员的，每人每次扣5分；</w:t>
            </w:r>
          </w:p>
          <w:p w14:paraId="794F49B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2、未按我公司要求配齐相应设备的，每次扣5分：</w:t>
            </w:r>
          </w:p>
          <w:p w14:paraId="7ED94CD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3、检测人员能力无法满足实际需要，且经我公司要求更换而未更换的，每人每次扣5分；</w:t>
            </w:r>
          </w:p>
          <w:p w14:paraId="0046422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4、检测人员未持有效证件上岗及佩戴工作证，每人每次扣5分；</w:t>
            </w:r>
          </w:p>
          <w:p w14:paraId="32C8EEA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5、特种作业人员未持有效证件上岗及佩戴工作证，每人每次扣5分；</w:t>
            </w:r>
          </w:p>
          <w:p w14:paraId="36D1253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6、开展检测的设备未在检定有效期内，每台设备每次扣5分。</w:t>
            </w:r>
          </w:p>
        </w:tc>
        <w:tc>
          <w:tcPr>
            <w:tcW w:w="1078" w:type="dxa"/>
            <w:vAlign w:val="center"/>
          </w:tcPr>
          <w:p w14:paraId="2AE6522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48670F6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4AB8AFB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5FF27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076" w:type="dxa"/>
            <w:vAlign w:val="center"/>
          </w:tcPr>
          <w:p w14:paraId="47693B7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工作质量</w:t>
            </w:r>
          </w:p>
        </w:tc>
        <w:tc>
          <w:tcPr>
            <w:tcW w:w="717" w:type="dxa"/>
            <w:vAlign w:val="center"/>
          </w:tcPr>
          <w:p w14:paraId="150833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419" w:type="dxa"/>
            <w:gridSpan w:val="3"/>
            <w:vAlign w:val="center"/>
          </w:tcPr>
          <w:p w14:paraId="50E1025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1、实际检测协作服务未达用户需求书、合同文件要求，且经我公司要求后未配合整改至符合要求的，每处每次扣5分；</w:t>
            </w:r>
          </w:p>
          <w:p w14:paraId="712D08C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2、检测记录、数据与实际不相符的，每次扣5分；</w:t>
            </w:r>
          </w:p>
          <w:p w14:paraId="0A4E9DE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3、检测资料管理混乱、台账不及时更新、资料不及时签字或盖章不全的，每次扣5分；</w:t>
            </w:r>
          </w:p>
          <w:p w14:paraId="1AB3BC90">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4、未按《关于加强东莞市建设工程质量检测机构监督管理的通知》的规定进行拍照或录像的，每次扣5分；</w:t>
            </w:r>
          </w:p>
          <w:p w14:paraId="3C386202">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5、检测报告的准确率，如出现报告的工程部位、工程名称、数据等错误的，每份报告扣5分；</w:t>
            </w:r>
          </w:p>
          <w:p w14:paraId="67933CC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6、检测结果不合格未及时反馈或通报的，每次扣10分。</w:t>
            </w:r>
          </w:p>
        </w:tc>
        <w:tc>
          <w:tcPr>
            <w:tcW w:w="1078" w:type="dxa"/>
            <w:vAlign w:val="center"/>
          </w:tcPr>
          <w:p w14:paraId="3D7D646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1039807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156E8A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7C5B4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trPr>
        <w:tc>
          <w:tcPr>
            <w:tcW w:w="1076" w:type="dxa"/>
            <w:vAlign w:val="center"/>
          </w:tcPr>
          <w:p w14:paraId="2FC4CA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服务进度</w:t>
            </w:r>
          </w:p>
        </w:tc>
        <w:tc>
          <w:tcPr>
            <w:tcW w:w="717" w:type="dxa"/>
            <w:vAlign w:val="center"/>
          </w:tcPr>
          <w:p w14:paraId="53865FC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6419" w:type="dxa"/>
            <w:gridSpan w:val="3"/>
            <w:vAlign w:val="center"/>
          </w:tcPr>
          <w:p w14:paraId="03CE5116">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1、没有在规定时间内完成检测协作服务工作的，每处每次扣5分；</w:t>
            </w:r>
          </w:p>
          <w:p w14:paraId="563EC534">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2、没有按照合同规定时间内出具检测报告的，每份报告扣5分。</w:t>
            </w:r>
          </w:p>
        </w:tc>
        <w:tc>
          <w:tcPr>
            <w:tcW w:w="1078" w:type="dxa"/>
            <w:vAlign w:val="center"/>
          </w:tcPr>
          <w:p w14:paraId="2940F26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0465413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7422E6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302E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076" w:type="dxa"/>
            <w:vAlign w:val="center"/>
          </w:tcPr>
          <w:p w14:paraId="74CCF43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安全文明管理</w:t>
            </w:r>
          </w:p>
        </w:tc>
        <w:tc>
          <w:tcPr>
            <w:tcW w:w="717" w:type="dxa"/>
            <w:vAlign w:val="center"/>
          </w:tcPr>
          <w:p w14:paraId="7E39D57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6419" w:type="dxa"/>
            <w:gridSpan w:val="3"/>
            <w:vAlign w:val="center"/>
          </w:tcPr>
          <w:p w14:paraId="36B6D94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1、未按要求进行安全防护或安全防护不到位，我公司或上级部门检查中发现的，每处扣5分；</w:t>
            </w:r>
          </w:p>
          <w:p w14:paraId="620B56C3">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2、涉及有限空间作业未按照相关流程制度审批的，每次扣5分；</w:t>
            </w:r>
          </w:p>
          <w:p w14:paraId="237B97B9">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3、发生一般安全事故的，每次扣10分；</w:t>
            </w:r>
          </w:p>
          <w:p w14:paraId="797D87E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4、发生较大安全事故的，每次扣20分。</w:t>
            </w:r>
          </w:p>
        </w:tc>
        <w:tc>
          <w:tcPr>
            <w:tcW w:w="1078" w:type="dxa"/>
            <w:vAlign w:val="center"/>
          </w:tcPr>
          <w:p w14:paraId="3749636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安全管理部</w:t>
            </w:r>
          </w:p>
        </w:tc>
        <w:tc>
          <w:tcPr>
            <w:tcW w:w="1076" w:type="dxa"/>
            <w:vAlign w:val="bottom"/>
          </w:tcPr>
          <w:p w14:paraId="2CEBC6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D75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1076" w:type="dxa"/>
            <w:vAlign w:val="center"/>
          </w:tcPr>
          <w:p w14:paraId="7CA14C5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服务态度</w:t>
            </w:r>
          </w:p>
        </w:tc>
        <w:tc>
          <w:tcPr>
            <w:tcW w:w="717" w:type="dxa"/>
            <w:vAlign w:val="center"/>
          </w:tcPr>
          <w:p w14:paraId="0EF700B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6419" w:type="dxa"/>
            <w:gridSpan w:val="3"/>
            <w:vAlign w:val="center"/>
          </w:tcPr>
          <w:p w14:paraId="2C101A3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对检测协作服务单位日常工作的服务态度，以及甲方、上级主管部门、建设单位检查中配合情况、服务投诉情况进行评价。每收到投诉一次扣5分。</w:t>
            </w:r>
          </w:p>
        </w:tc>
        <w:tc>
          <w:tcPr>
            <w:tcW w:w="1078" w:type="dxa"/>
            <w:vAlign w:val="center"/>
          </w:tcPr>
          <w:p w14:paraId="1F93C4D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需求</w:t>
            </w:r>
          </w:p>
          <w:p w14:paraId="288EE89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部门</w:t>
            </w:r>
          </w:p>
        </w:tc>
        <w:tc>
          <w:tcPr>
            <w:tcW w:w="1076" w:type="dxa"/>
            <w:vAlign w:val="bottom"/>
          </w:tcPr>
          <w:p w14:paraId="687356E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20B0B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8212" w:type="dxa"/>
            <w:gridSpan w:val="5"/>
            <w:vAlign w:val="center"/>
          </w:tcPr>
          <w:p w14:paraId="09B89ED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合计</w:t>
            </w:r>
          </w:p>
        </w:tc>
        <w:tc>
          <w:tcPr>
            <w:tcW w:w="2154" w:type="dxa"/>
            <w:gridSpan w:val="2"/>
            <w:vAlign w:val="center"/>
          </w:tcPr>
          <w:p w14:paraId="2BB3655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r w14:paraId="175B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trPr>
        <w:tc>
          <w:tcPr>
            <w:tcW w:w="10366" w:type="dxa"/>
            <w:gridSpan w:val="7"/>
            <w:vAlign w:val="center"/>
          </w:tcPr>
          <w:p w14:paraId="49372F82">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考核评分须知：</w:t>
            </w:r>
          </w:p>
          <w:p w14:paraId="63E2430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1、委托人每季度对检测人评价一次，出具考核评价结果。</w:t>
            </w:r>
          </w:p>
          <w:p w14:paraId="473B4A07">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2、委托人将严格按照考核评分标准对检测人进行季度检查和考核。</w:t>
            </w:r>
          </w:p>
          <w:p w14:paraId="50C02668">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3、考评[70,80)分的，处相应付款周期内经委托人确认的检测费的10%作为违约金，考评[60,70)分的，处相应付款周期经委托人确认的检测费的20%作为违约金，考评60分以下的，处相应付款周期经委托人确认的检测</w:t>
            </w:r>
            <w:r>
              <w:rPr>
                <w:rFonts w:hint="eastAsia" w:ascii="宋体" w:hAnsi="宋体" w:eastAsia="宋体" w:cs="宋体"/>
                <w:b w:val="0"/>
                <w:bCs w:val="0"/>
                <w:color w:val="auto"/>
                <w:sz w:val="21"/>
                <w:szCs w:val="21"/>
                <w:highlight w:val="none"/>
                <w:lang w:val="en-US" w:eastAsia="zh-CN"/>
              </w:rPr>
              <w:t>费</w:t>
            </w:r>
            <w:r>
              <w:rPr>
                <w:rFonts w:hint="eastAsia" w:ascii="宋体" w:hAnsi="宋体" w:eastAsia="宋体" w:cs="宋体"/>
                <w:b w:val="0"/>
                <w:bCs w:val="0"/>
                <w:color w:val="auto"/>
                <w:sz w:val="21"/>
                <w:szCs w:val="21"/>
                <w:highlight w:val="none"/>
              </w:rPr>
              <w:t>的30%作为违约金。上述“[”代表闭区间，“)”代表开区间，如[70,80)代表该分数段范围为大于等于70且小于80。达到相应付款周期时,如检测人未申请支付本期费用, 委托人根据支付条件暂定本周期检测费并计算本周期内应缴纳的暂定违约金，检测人应予以缴纳。下一周期仍未申请时按上述做法执行，待到检测人申请支付费用时，根据合同付款流程确认检测费，同步对以往暂定违约金在本次一并确认并予以结算。</w:t>
            </w:r>
          </w:p>
        </w:tc>
      </w:tr>
      <w:tr w14:paraId="2E9C5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93" w:type="dxa"/>
            <w:gridSpan w:val="2"/>
            <w:vAlign w:val="center"/>
          </w:tcPr>
          <w:p w14:paraId="2D37D6F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评价人员签名</w:t>
            </w:r>
          </w:p>
        </w:tc>
        <w:tc>
          <w:tcPr>
            <w:tcW w:w="4304" w:type="dxa"/>
            <w:vAlign w:val="center"/>
          </w:tcPr>
          <w:p w14:paraId="7C3F93C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c>
          <w:tcPr>
            <w:tcW w:w="2115" w:type="dxa"/>
            <w:gridSpan w:val="2"/>
            <w:vAlign w:val="center"/>
          </w:tcPr>
          <w:p w14:paraId="556A1A3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评价日期</w:t>
            </w:r>
          </w:p>
        </w:tc>
        <w:tc>
          <w:tcPr>
            <w:tcW w:w="2154" w:type="dxa"/>
            <w:gridSpan w:val="2"/>
            <w:vAlign w:val="center"/>
          </w:tcPr>
          <w:p w14:paraId="46A7D11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color w:val="auto"/>
                <w:sz w:val="21"/>
                <w:szCs w:val="21"/>
                <w:highlight w:val="none"/>
              </w:rPr>
            </w:pPr>
          </w:p>
        </w:tc>
      </w:tr>
    </w:tbl>
    <w:p w14:paraId="64E67093">
      <w:pPr>
        <w:autoSpaceDE w:val="0"/>
        <w:autoSpaceDN w:val="0"/>
        <w:adjustRightInd w:val="0"/>
        <w:snapToGrid w:val="0"/>
        <w:spacing w:line="360" w:lineRule="auto"/>
        <w:jc w:val="left"/>
        <w:rPr>
          <w:rFonts w:ascii="宋体" w:hAnsi="宋体" w:eastAsia="宋体" w:cs="Times New Roman"/>
          <w:color w:val="auto"/>
          <w:kern w:val="0"/>
          <w:szCs w:val="21"/>
          <w:highlight w:val="none"/>
        </w:rPr>
      </w:pPr>
    </w:p>
    <w:p w14:paraId="5CB9B63F">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highlight w:val="none"/>
          <w:lang w:val="zh-CN"/>
        </w:rPr>
      </w:pPr>
      <w:bookmarkStart w:id="569" w:name="_Toc142508360"/>
      <w:bookmarkStart w:id="570" w:name="_Toc30025"/>
      <w:bookmarkStart w:id="571" w:name="_Toc447044479"/>
      <w:bookmarkStart w:id="572" w:name="_Toc447045090"/>
      <w:bookmarkStart w:id="573" w:name="_Toc512353083"/>
      <w:bookmarkStart w:id="574" w:name="_Toc447044603"/>
      <w:bookmarkStart w:id="575" w:name="_Toc24427_WPSOffice_Level1"/>
      <w:bookmarkStart w:id="576" w:name="_Toc25564"/>
      <w:bookmarkStart w:id="577" w:name="_Toc19778"/>
      <w:bookmarkStart w:id="578" w:name="_Toc13867"/>
      <w:bookmarkStart w:id="579" w:name="_Toc22985"/>
      <w:bookmarkStart w:id="580" w:name="_Toc11507"/>
      <w:r>
        <w:rPr>
          <w:rFonts w:hint="eastAsia" w:ascii="宋体" w:hAnsi="宋体" w:eastAsia="宋体" w:cs="Times New Roman"/>
          <w:b/>
          <w:bCs/>
          <w:color w:val="auto"/>
          <w:sz w:val="32"/>
          <w:szCs w:val="32"/>
          <w:highlight w:val="none"/>
          <w:lang w:val="zh-CN"/>
        </w:rPr>
        <w:t>第五篇</w:t>
      </w:r>
      <w:r>
        <w:rPr>
          <w:rFonts w:ascii="宋体" w:hAnsi="宋体" w:eastAsia="宋体" w:cs="Times New Roman"/>
          <w:b/>
          <w:bCs/>
          <w:color w:val="auto"/>
          <w:sz w:val="32"/>
          <w:szCs w:val="32"/>
          <w:highlight w:val="none"/>
          <w:lang w:val="zh-CN"/>
        </w:rPr>
        <w:t xml:space="preserve"> </w:t>
      </w:r>
      <w:r>
        <w:rPr>
          <w:rFonts w:hint="eastAsia" w:ascii="宋体" w:hAnsi="宋体" w:eastAsia="宋体" w:cs="Times New Roman"/>
          <w:b/>
          <w:bCs/>
          <w:color w:val="auto"/>
          <w:sz w:val="32"/>
          <w:szCs w:val="32"/>
          <w:highlight w:val="none"/>
          <w:lang w:val="zh-CN"/>
        </w:rPr>
        <w:t>相关保函格式</w:t>
      </w:r>
      <w:bookmarkEnd w:id="569"/>
      <w:bookmarkEnd w:id="570"/>
      <w:bookmarkEnd w:id="571"/>
      <w:bookmarkEnd w:id="572"/>
      <w:bookmarkEnd w:id="573"/>
      <w:bookmarkEnd w:id="574"/>
      <w:bookmarkEnd w:id="575"/>
      <w:bookmarkEnd w:id="576"/>
      <w:bookmarkEnd w:id="577"/>
      <w:bookmarkEnd w:id="578"/>
      <w:bookmarkEnd w:id="579"/>
      <w:bookmarkEnd w:id="580"/>
      <w:bookmarkStart w:id="581" w:name="_Toc447045091"/>
      <w:bookmarkStart w:id="582" w:name="_Toc447044480"/>
      <w:bookmarkStart w:id="583" w:name="_Toc447044604"/>
    </w:p>
    <w:p w14:paraId="2A001F4B">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bookmarkStart w:id="584" w:name="_Toc26521_WPSOffice_Level2"/>
      <w:r>
        <w:rPr>
          <w:rFonts w:hint="eastAsia" w:ascii="宋体" w:hAnsi="宋体" w:eastAsia="宋体" w:cs="Times New Roman"/>
          <w:b/>
          <w:color w:val="auto"/>
          <w:kern w:val="0"/>
          <w:sz w:val="28"/>
          <w:szCs w:val="28"/>
          <w:highlight w:val="none"/>
        </w:rPr>
        <w:t>一、不可撤销银行履约保函格式</w:t>
      </w:r>
      <w:bookmarkEnd w:id="581"/>
      <w:bookmarkEnd w:id="582"/>
      <w:bookmarkEnd w:id="583"/>
      <w:bookmarkEnd w:id="584"/>
    </w:p>
    <w:p w14:paraId="13606391">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不可撤销银行履约保函</w:t>
      </w:r>
    </w:p>
    <w:p w14:paraId="3DA320D6">
      <w:pPr>
        <w:widowControl/>
        <w:autoSpaceDE w:val="0"/>
        <w:autoSpaceDN w:val="0"/>
        <w:adjustRightInd w:val="0"/>
        <w:spacing w:line="360" w:lineRule="auto"/>
        <w:jc w:val="left"/>
        <w:rPr>
          <w:rFonts w:ascii="宋体" w:hAnsi="宋体" w:eastAsia="宋体" w:cs="宋体"/>
          <w:color w:val="auto"/>
          <w:kern w:val="0"/>
          <w:szCs w:val="21"/>
          <w:highlight w:val="none"/>
        </w:rPr>
      </w:pPr>
    </w:p>
    <w:p w14:paraId="7DE80402">
      <w:pPr>
        <w:autoSpaceDE w:val="0"/>
        <w:autoSpaceDN w:val="0"/>
        <w:adjustRightInd w:val="0"/>
        <w:spacing w:line="360" w:lineRule="auto"/>
        <w:ind w:firstLine="6300"/>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rPr>
        <w:t>银行编号：</w:t>
      </w:r>
    </w:p>
    <w:p w14:paraId="18FEF8FF">
      <w:pPr>
        <w:widowControl/>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2571A8EE">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申请人</w:t>
      </w:r>
      <w:r>
        <w:rPr>
          <w:rFonts w:ascii="宋体" w:hAnsi="宋体" w:eastAsia="宋体" w:cs="宋体"/>
          <w:color w:val="auto"/>
          <w:kern w:val="0"/>
          <w:szCs w:val="21"/>
          <w:highlight w:val="none"/>
          <w:u w:val="single"/>
        </w:rPr>
        <w:t xml:space="preserve">的名称与地址）  </w:t>
      </w:r>
      <w:r>
        <w:rPr>
          <w:rFonts w:hint="eastAsia" w:ascii="宋体" w:hAnsi="宋体" w:eastAsia="宋体" w:cs="宋体"/>
          <w:color w:val="auto"/>
          <w:kern w:val="0"/>
          <w:szCs w:val="21"/>
          <w:highlight w:val="none"/>
        </w:rPr>
        <w:t>（下称“申请人”），已保证按拟签订的</w:t>
      </w:r>
      <w:r>
        <w:rPr>
          <w:rFonts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65D8070A">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rPr>
        <w:t>RMB</w:t>
      </w:r>
      <w:r>
        <w:rPr>
          <w:rFonts w:ascii="宋体" w:hAnsi="宋体" w:eastAsia="宋体" w:cs="宋体"/>
          <w:color w:val="auto"/>
          <w:kern w:val="0"/>
          <w:szCs w:val="21"/>
          <w:highlight w:val="none"/>
          <w:u w:val="single"/>
        </w:rPr>
        <w:t>元）</w:t>
      </w:r>
      <w:r>
        <w:rPr>
          <w:rFonts w:hint="eastAsia" w:ascii="宋体" w:hAnsi="宋体" w:eastAsia="宋体" w:cs="宋体"/>
          <w:color w:val="auto"/>
          <w:kern w:val="0"/>
          <w:szCs w:val="21"/>
          <w:highlight w:val="none"/>
        </w:rPr>
        <w:t>的无条件、不可撤销银行履约保函，作为申请人履行上述合同的担保。</w:t>
      </w:r>
    </w:p>
    <w:p w14:paraId="739D1820">
      <w:pPr>
        <w:widowControl/>
        <w:autoSpaceDE w:val="0"/>
        <w:autoSpaceDN w:val="0"/>
        <w:adjustRightInd w:val="0"/>
        <w:spacing w:line="360" w:lineRule="auto"/>
        <w:ind w:firstLine="567" w:firstLineChars="27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01327695">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7ADA4ABF">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740D61E1">
      <w:pPr>
        <w:widowControl/>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eastAsia" w:ascii="宋体" w:hAnsi="宋体" w:eastAsia="宋体" w:cs="Times New Roman"/>
          <w:color w:val="auto"/>
          <w:kern w:val="0"/>
          <w:szCs w:val="21"/>
          <w:highlight w:val="none"/>
          <w:lang w:eastAsia="zh-CN"/>
        </w:rPr>
        <w:t>从合同签订之日起至合同期限届满并履行完毕相关服务义务且结算完毕之后二十八（28）个日历天内保持有效</w:t>
      </w:r>
      <w:r>
        <w:rPr>
          <w:rFonts w:hint="eastAsia" w:ascii="宋体" w:hAnsi="宋体" w:eastAsia="宋体" w:cs="Times New Roman"/>
          <w:color w:val="auto"/>
          <w:kern w:val="0"/>
          <w:szCs w:val="21"/>
          <w:highlight w:val="none"/>
        </w:rPr>
        <w:t>。</w:t>
      </w:r>
    </w:p>
    <w:p w14:paraId="1D00A40C">
      <w:pPr>
        <w:widowControl/>
        <w:autoSpaceDE w:val="0"/>
        <w:autoSpaceDN w:val="0"/>
        <w:adjustRightInd w:val="0"/>
        <w:spacing w:line="360" w:lineRule="auto"/>
        <w:ind w:firstLine="437"/>
        <w:jc w:val="left"/>
        <w:rPr>
          <w:rFonts w:ascii="宋体" w:hAnsi="宋体" w:eastAsia="宋体" w:cs="宋体"/>
          <w:color w:val="auto"/>
          <w:kern w:val="0"/>
          <w:szCs w:val="21"/>
          <w:highlight w:val="none"/>
        </w:rPr>
      </w:pPr>
    </w:p>
    <w:p w14:paraId="30AEC029">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保</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银</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行：</w:t>
      </w:r>
      <w:r>
        <w:rPr>
          <w:rFonts w:ascii="宋体" w:hAnsi="宋体" w:eastAsia="宋体" w:cs="宋体"/>
          <w:color w:val="auto"/>
          <w:kern w:val="0"/>
          <w:szCs w:val="21"/>
          <w:highlight w:val="none"/>
          <w:u w:val="single"/>
        </w:rPr>
        <w:t xml:space="preserve">          银行全称          (盖章)   </w:t>
      </w:r>
    </w:p>
    <w:p w14:paraId="49EE9567">
      <w:pPr>
        <w:widowControl/>
        <w:autoSpaceDE w:val="0"/>
        <w:autoSpaceDN w:val="0"/>
        <w:adjustRightInd w:val="0"/>
        <w:spacing w:line="360" w:lineRule="auto"/>
        <w:ind w:firstLine="2520" w:firstLineChars="1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ascii="宋体" w:hAnsi="宋体" w:eastAsia="宋体" w:cs="宋体"/>
          <w:color w:val="auto"/>
          <w:kern w:val="0"/>
          <w:szCs w:val="21"/>
          <w:highlight w:val="none"/>
          <w:u w:val="single"/>
        </w:rPr>
        <w:t xml:space="preserve">       (职务)         </w:t>
      </w:r>
    </w:p>
    <w:p w14:paraId="0FE83566">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(姓名)         </w:t>
      </w:r>
    </w:p>
    <w:p w14:paraId="3E33060C">
      <w:pPr>
        <w:widowControl/>
        <w:autoSpaceDE w:val="0"/>
        <w:autoSpaceDN w:val="0"/>
        <w:adjustRightInd w:val="0"/>
        <w:spacing w:line="360" w:lineRule="auto"/>
        <w:ind w:firstLine="5502" w:firstLineChars="2620"/>
        <w:jc w:val="left"/>
        <w:rPr>
          <w:rFonts w:ascii="宋体" w:hAnsi="宋体" w:eastAsia="宋体" w:cs="宋体"/>
          <w:color w:val="auto"/>
          <w:kern w:val="0"/>
          <w:szCs w:val="21"/>
          <w:highlight w:val="none"/>
          <w:u w:val="single"/>
        </w:rPr>
      </w:pPr>
      <w:r>
        <w:rPr>
          <w:rFonts w:ascii="宋体" w:hAnsi="宋体" w:eastAsia="宋体" w:cs="宋体"/>
          <w:color w:val="auto"/>
          <w:kern w:val="0"/>
          <w:szCs w:val="21"/>
          <w:highlight w:val="none"/>
          <w:u w:val="single"/>
        </w:rPr>
        <w:t xml:space="preserve">       (签章)         </w:t>
      </w:r>
    </w:p>
    <w:p w14:paraId="719EE05D">
      <w:pPr>
        <w:autoSpaceDE w:val="0"/>
        <w:autoSpaceDN w:val="0"/>
        <w:adjustRightInd w:val="0"/>
        <w:spacing w:line="360" w:lineRule="auto"/>
        <w:ind w:left="840" w:firstLine="420" w:firstLineChars="200"/>
        <w:jc w:val="left"/>
        <w:rPr>
          <w:rFonts w:ascii="宋体" w:hAnsi="宋体" w:eastAsia="宋体" w:cs="宋体"/>
          <w:color w:val="auto"/>
          <w:kern w:val="0"/>
          <w:szCs w:val="21"/>
          <w:highlight w:val="none"/>
        </w:rPr>
      </w:pPr>
      <w:r>
        <w:rPr>
          <w:rFonts w:ascii="宋体" w:hAnsi="宋体" w:eastAsia="宋体" w:cs="宋体"/>
          <w:color w:val="auto"/>
          <w:kern w:val="0"/>
          <w:szCs w:val="21"/>
          <w:highlight w:val="none"/>
        </w:rPr>
        <w:t xml:space="preserve">                                        </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0B1364C8">
      <w:pPr>
        <w:widowControl/>
        <w:autoSpaceDE w:val="0"/>
        <w:autoSpaceDN w:val="0"/>
        <w:adjustRightInd w:val="0"/>
        <w:spacing w:line="360" w:lineRule="auto"/>
        <w:jc w:val="left"/>
        <w:rPr>
          <w:rFonts w:ascii="宋体" w:hAnsi="宋体" w:eastAsia="宋体" w:cs="宋体"/>
          <w:color w:val="auto"/>
          <w:kern w:val="0"/>
          <w:szCs w:val="21"/>
          <w:highlight w:val="none"/>
        </w:rPr>
      </w:pPr>
    </w:p>
    <w:p w14:paraId="04E05C09">
      <w:pPr>
        <w:widowControl/>
        <w:autoSpaceDE w:val="0"/>
        <w:autoSpaceDN w:val="0"/>
        <w:adjustRightInd w:val="0"/>
        <w:spacing w:line="360" w:lineRule="auto"/>
        <w:jc w:val="left"/>
        <w:rPr>
          <w:rFonts w:ascii="宋体" w:hAnsi="宋体" w:eastAsia="宋体" w:cs="宋体"/>
          <w:color w:val="auto"/>
          <w:kern w:val="0"/>
          <w:szCs w:val="21"/>
          <w:highlight w:val="none"/>
        </w:rPr>
      </w:pPr>
    </w:p>
    <w:p w14:paraId="717CD95A">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12E7262C">
      <w:pPr>
        <w:numPr>
          <w:ilvl w:val="0"/>
          <w:numId w:val="0"/>
        </w:numPr>
        <w:rPr>
          <w:rFonts w:hint="eastAsia" w:ascii="宋体" w:hAnsi="宋体" w:eastAsia="宋体" w:cs="Times New Roman"/>
          <w:b/>
          <w:color w:val="auto"/>
          <w:kern w:val="0"/>
          <w:sz w:val="28"/>
          <w:szCs w:val="28"/>
          <w:highlight w:val="none"/>
          <w:lang w:val="en-US" w:eastAsia="zh-CN"/>
        </w:rPr>
      </w:pPr>
      <w:r>
        <w:rPr>
          <w:rFonts w:hint="eastAsia" w:ascii="宋体" w:hAnsi="宋体" w:eastAsia="宋体" w:cs="Times New Roman"/>
          <w:b/>
          <w:color w:val="auto"/>
          <w:kern w:val="0"/>
          <w:sz w:val="28"/>
          <w:szCs w:val="28"/>
          <w:highlight w:val="none"/>
          <w:lang w:val="en-US" w:eastAsia="zh-CN" w:bidi="ar-SA"/>
        </w:rPr>
        <w:t>二、</w:t>
      </w:r>
      <w:r>
        <w:rPr>
          <w:rFonts w:hint="eastAsia" w:ascii="宋体" w:hAnsi="宋体" w:eastAsia="宋体" w:cs="Times New Roman"/>
          <w:b/>
          <w:color w:val="auto"/>
          <w:kern w:val="0"/>
          <w:sz w:val="28"/>
          <w:szCs w:val="28"/>
          <w:highlight w:val="none"/>
          <w:lang w:val="en-US" w:eastAsia="zh-CN"/>
        </w:rPr>
        <w:t>履约保证保险凭证格式</w:t>
      </w:r>
    </w:p>
    <w:p w14:paraId="06D31764">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p>
    <w:p w14:paraId="13C5CBE2">
      <w:pPr>
        <w:autoSpaceDE w:val="0"/>
        <w:autoSpaceDN w:val="0"/>
        <w:adjustRightInd w:val="0"/>
        <w:jc w:val="center"/>
        <w:rPr>
          <w:rFonts w:hint="eastAsia" w:ascii="宋体" w:hAnsi="宋体" w:eastAsia="宋体" w:cs="Times New Roman"/>
          <w:b/>
          <w:color w:val="auto"/>
          <w:kern w:val="0"/>
          <w:sz w:val="30"/>
          <w:szCs w:val="30"/>
          <w:highlight w:val="none"/>
          <w:lang w:val="en-US" w:eastAsia="zh-CN"/>
        </w:rPr>
      </w:pPr>
      <w:r>
        <w:rPr>
          <w:rFonts w:hint="eastAsia" w:ascii="宋体" w:hAnsi="宋体" w:eastAsia="宋体" w:cs="Times New Roman"/>
          <w:b/>
          <w:color w:val="auto"/>
          <w:kern w:val="0"/>
          <w:sz w:val="30"/>
          <w:szCs w:val="30"/>
          <w:highlight w:val="none"/>
          <w:lang w:val="en-US" w:eastAsia="zh-CN"/>
        </w:rPr>
        <w:t>履约保证保险凭证</w:t>
      </w:r>
    </w:p>
    <w:p w14:paraId="23765168">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51528F80">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4F95ECA8">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1C0DEDC9">
      <w:pPr>
        <w:autoSpaceDE w:val="0"/>
        <w:autoSpaceDN w:val="0"/>
        <w:adjustRightInd w:val="0"/>
        <w:spacing w:line="360" w:lineRule="auto"/>
        <w:ind w:firstLine="437"/>
        <w:jc w:val="left"/>
        <w:rPr>
          <w:rFonts w:hint="eastAsia" w:ascii="宋体" w:hAnsi="宋体" w:eastAsia="宋体" w:cs="宋体"/>
          <w:color w:val="auto"/>
          <w:kern w:val="0"/>
          <w:szCs w:val="21"/>
          <w:highlight w:val="none"/>
          <w:lang w:val="en-US" w:eastAsia="zh-CN"/>
        </w:rPr>
      </w:pPr>
    </w:p>
    <w:p w14:paraId="6E6E115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。我方已接受申请人的请求，并出具《履约保证保险》保险单。</w:t>
      </w:r>
      <w:r>
        <w:rPr>
          <w:rFonts w:hint="default" w:ascii="宋体" w:hAnsi="宋体" w:eastAsia="宋体" w:cs="宋体"/>
          <w:color w:val="auto"/>
          <w:kern w:val="0"/>
          <w:szCs w:val="21"/>
          <w:highlight w:val="none"/>
          <w:lang w:val="en-US" w:eastAsia="zh-CN"/>
        </w:rPr>
        <w:t xml:space="preserve"> </w:t>
      </w:r>
    </w:p>
    <w:p w14:paraId="7A383EA1">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3BFECF3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default" w:ascii="宋体" w:hAnsi="宋体" w:eastAsia="宋体" w:cs="宋体"/>
          <w:color w:val="auto"/>
          <w:kern w:val="0"/>
          <w:szCs w:val="21"/>
          <w:highlight w:val="none"/>
          <w:lang w:val="en-US" w:eastAsia="zh-CN"/>
        </w:rPr>
        <w:t>¥</w:t>
      </w:r>
      <w:r>
        <w:rPr>
          <w:rFonts w:hint="eastAsia" w:ascii="宋体" w:hAnsi="宋体" w:eastAsia="宋体" w:cs="宋体"/>
          <w:b/>
          <w:color w:val="auto"/>
          <w:kern w:val="0"/>
          <w:szCs w:val="21"/>
          <w:highlight w:val="none"/>
          <w:u w:val="single"/>
        </w:rPr>
        <w:t xml:space="preserve">               </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 xml:space="preserve">）。 </w:t>
      </w:r>
    </w:p>
    <w:p w14:paraId="4EDE201B">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08FF1359">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6791DBB8">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670F5944">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31115872">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56958DD5">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44862A19">
      <w:pPr>
        <w:numPr>
          <w:ilvl w:val="0"/>
          <w:numId w:val="0"/>
        </w:numPr>
        <w:autoSpaceDE w:val="0"/>
        <w:autoSpaceDN w:val="0"/>
        <w:adjustRightInd w:val="0"/>
        <w:spacing w:line="360" w:lineRule="auto"/>
        <w:ind w:firstLine="437" w:firstLineChars="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1FDCC7A2">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Times New Roman"/>
          <w:color w:val="auto"/>
          <w:kern w:val="0"/>
          <w:szCs w:val="21"/>
          <w:highlight w:val="none"/>
        </w:rPr>
        <w:t>应</w:t>
      </w:r>
      <w:r>
        <w:rPr>
          <w:rFonts w:hint="default" w:ascii="宋体" w:hAnsi="宋体" w:eastAsia="宋体" w:cs="Times New Roman"/>
          <w:color w:val="auto"/>
          <w:kern w:val="0"/>
          <w:szCs w:val="21"/>
          <w:highlight w:val="none"/>
          <w:lang w:val="en-US" w:eastAsia="zh-CN"/>
        </w:rPr>
        <w:t>从</w:t>
      </w:r>
      <w:r>
        <w:rPr>
          <w:rFonts w:hint="eastAsia" w:ascii="宋体" w:hAnsi="宋体" w:eastAsia="宋体" w:cs="Times New Roman"/>
          <w:color w:val="auto"/>
          <w:kern w:val="0"/>
          <w:szCs w:val="21"/>
          <w:highlight w:val="none"/>
          <w:lang w:eastAsia="zh-CN"/>
        </w:rPr>
        <w:t>合同签订之日起至合同期限届满并履行完毕相关服务义务且结算完毕之后二十八（28）个日历天内保持有效</w:t>
      </w:r>
      <w:r>
        <w:rPr>
          <w:rFonts w:hint="eastAsia" w:ascii="宋体" w:hAnsi="宋体" w:eastAsia="宋体" w:cs="Times New Roman"/>
          <w:color w:val="auto"/>
          <w:kern w:val="0"/>
          <w:szCs w:val="21"/>
          <w:highlight w:val="none"/>
        </w:rPr>
        <w:t>。</w:t>
      </w:r>
    </w:p>
    <w:p w14:paraId="57EB5DB6">
      <w:pPr>
        <w:numPr>
          <w:ilvl w:val="0"/>
          <w:numId w:val="0"/>
        </w:numPr>
        <w:outlineLvl w:val="9"/>
        <w:rPr>
          <w:rFonts w:hint="default"/>
          <w:color w:val="auto"/>
          <w:highlight w:val="none"/>
          <w:lang w:val="en-US" w:eastAsia="zh-CN"/>
        </w:rPr>
      </w:pPr>
    </w:p>
    <w:p w14:paraId="508F6BA0">
      <w:pPr>
        <w:autoSpaceDE w:val="0"/>
        <w:autoSpaceDN w:val="0"/>
        <w:adjustRightInd w:val="0"/>
        <w:spacing w:line="360" w:lineRule="auto"/>
        <w:ind w:firstLine="437"/>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附：《</w:t>
      </w:r>
      <w:r>
        <w:rPr>
          <w:rFonts w:hint="default" w:ascii="宋体" w:hAnsi="宋体" w:eastAsia="宋体" w:cs="宋体"/>
          <w:color w:val="auto"/>
          <w:kern w:val="0"/>
          <w:szCs w:val="21"/>
          <w:highlight w:val="none"/>
          <w:lang w:val="en-US" w:eastAsia="zh-CN"/>
        </w:rPr>
        <w:t xml:space="preserve">XXX </w:t>
      </w:r>
      <w:r>
        <w:rPr>
          <w:rFonts w:hint="eastAsia" w:ascii="宋体" w:hAnsi="宋体" w:eastAsia="宋体" w:cs="宋体"/>
          <w:color w:val="auto"/>
          <w:kern w:val="0"/>
          <w:szCs w:val="21"/>
          <w:highlight w:val="none"/>
          <w:lang w:val="en-US" w:eastAsia="zh-CN"/>
        </w:rPr>
        <w:t>保险有限公司履约保证保险（</w:t>
      </w:r>
      <w:r>
        <w:rPr>
          <w:rFonts w:hint="default" w:ascii="宋体" w:hAnsi="宋体" w:eastAsia="宋体" w:cs="宋体"/>
          <w:color w:val="auto"/>
          <w:kern w:val="0"/>
          <w:szCs w:val="21"/>
          <w:highlight w:val="none"/>
          <w:lang w:val="en-US" w:eastAsia="zh-CN"/>
        </w:rPr>
        <w:t xml:space="preserve">X </w:t>
      </w:r>
      <w:r>
        <w:rPr>
          <w:rFonts w:hint="eastAsia" w:ascii="宋体" w:hAnsi="宋体" w:eastAsia="宋体" w:cs="宋体"/>
          <w:color w:val="auto"/>
          <w:kern w:val="0"/>
          <w:szCs w:val="21"/>
          <w:highlight w:val="none"/>
          <w:lang w:val="en-US" w:eastAsia="zh-CN"/>
        </w:rPr>
        <w:t xml:space="preserve">款）条款》及保单 </w:t>
      </w:r>
    </w:p>
    <w:p w14:paraId="386FC641">
      <w:pPr>
        <w:autoSpaceDE w:val="0"/>
        <w:autoSpaceDN w:val="0"/>
        <w:adjustRightInd w:val="0"/>
        <w:spacing w:line="360" w:lineRule="auto"/>
        <w:ind w:firstLine="437"/>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1A7AB438">
      <w:pPr>
        <w:autoSpaceDE w:val="0"/>
        <w:autoSpaceDN w:val="0"/>
        <w:adjustRightInd w:val="0"/>
        <w:spacing w:line="360" w:lineRule="auto"/>
        <w:ind w:firstLine="437"/>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732BE882">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法定代表人或授权代理人：</w:t>
      </w:r>
      <w:r>
        <w:rPr>
          <w:rFonts w:hint="default" w:ascii="宋体" w:hAnsi="宋体" w:eastAsia="宋体" w:cs="宋体"/>
          <w:color w:val="auto"/>
          <w:kern w:val="0"/>
          <w:szCs w:val="21"/>
          <w:highlight w:val="none"/>
          <w:lang w:val="en-US" w:eastAsia="zh-CN"/>
        </w:rPr>
        <w:t xml:space="preserve">________ </w:t>
      </w:r>
    </w:p>
    <w:p w14:paraId="02F01E62">
      <w:pPr>
        <w:autoSpaceDE w:val="0"/>
        <w:autoSpaceDN w:val="0"/>
        <w:adjustRightInd w:val="0"/>
        <w:spacing w:line="360" w:lineRule="auto"/>
        <w:ind w:firstLine="437"/>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月</w:t>
      </w:r>
      <w:r>
        <w:rPr>
          <w:rFonts w:hint="default"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val="en-US" w:eastAsia="zh-CN"/>
        </w:rPr>
        <w:t>日</w:t>
      </w:r>
    </w:p>
    <w:p w14:paraId="4D2423AF">
      <w:pPr>
        <w:widowControl/>
        <w:autoSpaceDE w:val="0"/>
        <w:autoSpaceDN w:val="0"/>
        <w:adjustRightInd w:val="0"/>
        <w:spacing w:before="100" w:beforeAutospacing="1" w:after="100" w:afterAutospacing="1"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55B306E0">
      <w:pPr>
        <w:autoSpaceDE w:val="0"/>
        <w:autoSpaceDN w:val="0"/>
        <w:adjustRightInd w:val="0"/>
        <w:spacing w:after="120" w:afterLines="50" w:line="360" w:lineRule="auto"/>
        <w:jc w:val="left"/>
        <w:rPr>
          <w:rFonts w:ascii="宋体" w:hAnsi="宋体" w:eastAsia="宋体" w:cs="Times New Roman"/>
          <w:b/>
          <w:color w:val="auto"/>
          <w:kern w:val="0"/>
          <w:sz w:val="28"/>
          <w:szCs w:val="28"/>
          <w:highlight w:val="none"/>
        </w:rPr>
      </w:pPr>
      <w:r>
        <w:rPr>
          <w:rFonts w:hint="eastAsia" w:ascii="宋体" w:hAnsi="宋体" w:eastAsia="宋体" w:cs="Times New Roman"/>
          <w:b/>
          <w:color w:val="auto"/>
          <w:kern w:val="0"/>
          <w:sz w:val="28"/>
          <w:szCs w:val="28"/>
          <w:highlight w:val="none"/>
          <w:lang w:val="en-US" w:eastAsia="zh-CN"/>
        </w:rPr>
        <w:t>三</w:t>
      </w:r>
      <w:r>
        <w:rPr>
          <w:rFonts w:hint="eastAsia" w:ascii="宋体" w:hAnsi="宋体" w:eastAsia="宋体" w:cs="Times New Roman"/>
          <w:b/>
          <w:color w:val="auto"/>
          <w:kern w:val="0"/>
          <w:sz w:val="28"/>
          <w:szCs w:val="28"/>
          <w:highlight w:val="none"/>
        </w:rPr>
        <w:t>、担保公司履约担保书格式</w:t>
      </w:r>
    </w:p>
    <w:p w14:paraId="63325662">
      <w:pPr>
        <w:autoSpaceDE w:val="0"/>
        <w:autoSpaceDN w:val="0"/>
        <w:adjustRightInd w:val="0"/>
        <w:jc w:val="center"/>
        <w:rPr>
          <w:rFonts w:ascii="宋体" w:hAnsi="宋体" w:eastAsia="宋体" w:cs="Times New Roman"/>
          <w:b/>
          <w:color w:val="auto"/>
          <w:kern w:val="0"/>
          <w:sz w:val="30"/>
          <w:szCs w:val="30"/>
          <w:highlight w:val="none"/>
        </w:rPr>
      </w:pPr>
      <w:r>
        <w:rPr>
          <w:rFonts w:hint="eastAsia" w:ascii="宋体" w:hAnsi="宋体" w:eastAsia="宋体" w:cs="Times New Roman"/>
          <w:b/>
          <w:color w:val="auto"/>
          <w:kern w:val="0"/>
          <w:sz w:val="30"/>
          <w:szCs w:val="30"/>
          <w:highlight w:val="none"/>
        </w:rPr>
        <w:t>担保公司履约担保书</w:t>
      </w:r>
    </w:p>
    <w:p w14:paraId="3A6A9649">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1DCCB42B">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鉴于</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申请人</w:t>
      </w:r>
      <w:r>
        <w:rPr>
          <w:rFonts w:ascii="宋体" w:hAnsi="宋体" w:eastAsia="宋体" w:cs="Times New Roman"/>
          <w:color w:val="auto"/>
          <w:kern w:val="0"/>
          <w:szCs w:val="21"/>
          <w:highlight w:val="none"/>
          <w:u w:val="single"/>
        </w:rPr>
        <w:t xml:space="preserve">的名称与地址）  </w:t>
      </w:r>
      <w:r>
        <w:rPr>
          <w:rFonts w:ascii="宋体" w:hAnsi="宋体" w:eastAsia="宋体" w:cs="Times New Roman"/>
          <w:color w:val="auto"/>
          <w:kern w:val="0"/>
          <w:szCs w:val="21"/>
          <w:highlight w:val="none"/>
        </w:rPr>
        <w:t>（下称“</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”），已保证按</w:t>
      </w:r>
      <w:r>
        <w:rPr>
          <w:rFonts w:hint="eastAsia" w:ascii="宋体" w:hAnsi="宋体" w:eastAsia="宋体" w:cs="宋体"/>
          <w:color w:val="auto"/>
          <w:kern w:val="0"/>
          <w:szCs w:val="21"/>
          <w:highlight w:val="none"/>
        </w:rPr>
        <w:t>拟签订的</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项目</w:t>
      </w:r>
      <w:r>
        <w:rPr>
          <w:rFonts w:ascii="宋体" w:hAnsi="宋体" w:eastAsia="宋体" w:cs="Times New Roman"/>
          <w:color w:val="auto"/>
          <w:kern w:val="0"/>
          <w:szCs w:val="21"/>
          <w:highlight w:val="none"/>
          <w:u w:val="single"/>
        </w:rPr>
        <w:t>（招标编号：        ）</w:t>
      </w:r>
      <w:r>
        <w:rPr>
          <w:rFonts w:hint="eastAsia" w:ascii="宋体" w:hAnsi="宋体" w:eastAsia="宋体" w:cs="Times New Roman"/>
          <w:color w:val="auto"/>
          <w:kern w:val="0"/>
          <w:szCs w:val="21"/>
          <w:highlight w:val="none"/>
        </w:rPr>
        <w:t>合同（招标文件）</w:t>
      </w:r>
      <w:r>
        <w:rPr>
          <w:rFonts w:ascii="宋体" w:hAnsi="宋体" w:eastAsia="宋体" w:cs="Times New Roman"/>
          <w:color w:val="auto"/>
          <w:kern w:val="0"/>
          <w:szCs w:val="21"/>
          <w:highlight w:val="none"/>
        </w:rPr>
        <w:t>中规定的义务履行合同。</w:t>
      </w:r>
    </w:p>
    <w:p w14:paraId="10681E61">
      <w:pPr>
        <w:widowControl/>
        <w:autoSpaceDE w:val="0"/>
        <w:autoSpaceDN w:val="0"/>
        <w:adjustRightInd w:val="0"/>
        <w:spacing w:line="360" w:lineRule="auto"/>
        <w:ind w:firstLine="567" w:firstLineChars="27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根据上述合同（招标文件）规定，</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应向受益人提供一份金额为人民币</w:t>
      </w:r>
      <w:r>
        <w:rPr>
          <w:rFonts w:hint="eastAsia" w:ascii="宋体" w:hAnsi="宋体" w:eastAsia="宋体" w:cs="宋体"/>
          <w:color w:val="auto"/>
          <w:kern w:val="0"/>
          <w:szCs w:val="21"/>
          <w:highlight w:val="none"/>
        </w:rPr>
        <w:t>（大写）</w:t>
      </w:r>
      <w:r>
        <w:rPr>
          <w:rFonts w:ascii="宋体" w:hAnsi="宋体" w:eastAsia="宋体" w:cs="Times New Roman"/>
          <w:color w:val="auto"/>
          <w:kern w:val="0"/>
          <w:szCs w:val="21"/>
          <w:highlight w:val="none"/>
          <w:u w:val="single"/>
        </w:rPr>
        <w:t xml:space="preserve">     （RMB元）</w:t>
      </w:r>
      <w:r>
        <w:rPr>
          <w:rFonts w:ascii="宋体" w:hAnsi="宋体" w:eastAsia="宋体" w:cs="Times New Roman"/>
          <w:color w:val="auto"/>
          <w:kern w:val="0"/>
          <w:szCs w:val="21"/>
          <w:highlight w:val="none"/>
        </w:rPr>
        <w:t>的</w:t>
      </w:r>
      <w:r>
        <w:rPr>
          <w:rFonts w:hint="eastAsia" w:ascii="宋体" w:hAnsi="宋体" w:eastAsia="宋体" w:cs="Times New Roman"/>
          <w:color w:val="auto"/>
          <w:kern w:val="0"/>
          <w:szCs w:val="21"/>
          <w:highlight w:val="none"/>
        </w:rPr>
        <w:t>无条件、</w:t>
      </w:r>
      <w:r>
        <w:rPr>
          <w:rFonts w:ascii="宋体" w:hAnsi="宋体" w:eastAsia="宋体" w:cs="Times New Roman"/>
          <w:bCs/>
          <w:color w:val="auto"/>
          <w:kern w:val="0"/>
          <w:szCs w:val="21"/>
          <w:highlight w:val="none"/>
        </w:rPr>
        <w:t>不可撤销</w:t>
      </w:r>
      <w:r>
        <w:rPr>
          <w:rFonts w:ascii="宋体" w:hAnsi="宋体" w:eastAsia="宋体" w:cs="Times New Roman"/>
          <w:color w:val="auto"/>
          <w:kern w:val="0"/>
          <w:szCs w:val="21"/>
          <w:highlight w:val="none"/>
        </w:rPr>
        <w:t>履约</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，作为</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履行上述合同的担保</w:t>
      </w:r>
      <w:r>
        <w:rPr>
          <w:rFonts w:ascii="宋体" w:hAnsi="宋体" w:eastAsia="宋体" w:cs="宋体"/>
          <w:color w:val="auto"/>
          <w:kern w:val="0"/>
          <w:szCs w:val="21"/>
          <w:highlight w:val="none"/>
        </w:rPr>
        <w:t>，</w:t>
      </w:r>
      <w:r>
        <w:rPr>
          <w:rFonts w:hint="eastAsia" w:ascii="宋体" w:hAnsi="宋体" w:eastAsia="宋体" w:cs="宋体"/>
          <w:color w:val="auto"/>
          <w:kern w:val="0"/>
          <w:szCs w:val="21"/>
          <w:highlight w:val="none"/>
        </w:rPr>
        <w:t>我方</w:t>
      </w:r>
      <w:r>
        <w:rPr>
          <w:rFonts w:ascii="宋体" w:hAnsi="宋体" w:eastAsia="宋体" w:cs="宋体"/>
          <w:color w:val="auto"/>
          <w:kern w:val="0"/>
          <w:szCs w:val="21"/>
          <w:highlight w:val="none"/>
          <w:u w:val="single"/>
        </w:rPr>
        <w:t xml:space="preserve">  </w:t>
      </w:r>
      <w:r>
        <w:rPr>
          <w:rFonts w:ascii="宋体" w:hAnsi="宋体" w:eastAsia="宋体" w:cs="Times New Roman"/>
          <w:color w:val="auto"/>
          <w:kern w:val="0"/>
          <w:szCs w:val="21"/>
          <w:highlight w:val="none"/>
          <w:u w:val="single"/>
        </w:rPr>
        <w:t>（</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名称）</w:t>
      </w:r>
      <w:r>
        <w:rPr>
          <w:rFonts w:hint="eastAsia" w:ascii="宋体" w:hAnsi="宋体" w:eastAsia="宋体" w:cs="Times New Roman"/>
          <w:color w:val="auto"/>
          <w:kern w:val="0"/>
          <w:szCs w:val="21"/>
          <w:highlight w:val="none"/>
          <w:u w:val="single"/>
        </w:rPr>
        <w:t xml:space="preserve">  </w:t>
      </w:r>
      <w:r>
        <w:rPr>
          <w:rFonts w:hint="eastAsia" w:ascii="宋体" w:hAnsi="宋体" w:eastAsia="宋体" w:cs="宋体"/>
          <w:color w:val="auto"/>
          <w:kern w:val="0"/>
          <w:szCs w:val="21"/>
          <w:highlight w:val="none"/>
        </w:rPr>
        <w:t>在本合同项下的保证责任为连带责任保证。</w:t>
      </w:r>
    </w:p>
    <w:p w14:paraId="130D4895">
      <w:pPr>
        <w:autoSpaceDE w:val="0"/>
        <w:autoSpaceDN w:val="0"/>
        <w:adjustRightInd w:val="0"/>
        <w:spacing w:line="360" w:lineRule="auto"/>
        <w:ind w:firstLine="437"/>
        <w:jc w:val="left"/>
        <w:rPr>
          <w:rFonts w:ascii="宋体" w:hAnsi="宋体" w:eastAsia="宋体" w:cs="宋体"/>
          <w:color w:val="auto"/>
          <w:kern w:val="0"/>
          <w:szCs w:val="21"/>
          <w:highlight w:val="none"/>
        </w:rPr>
      </w:pPr>
      <w:r>
        <w:rPr>
          <w:rFonts w:ascii="宋体" w:hAnsi="宋体" w:eastAsia="宋体" w:cs="Times New Roman"/>
          <w:color w:val="auto"/>
          <w:kern w:val="0"/>
          <w:szCs w:val="21"/>
          <w:highlight w:val="none"/>
        </w:rPr>
        <w:t>我方</w:t>
      </w:r>
      <w:r>
        <w:rPr>
          <w:rFonts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rPr>
        <w:t>担保公司</w:t>
      </w:r>
      <w:r>
        <w:rPr>
          <w:rFonts w:ascii="宋体" w:hAnsi="宋体" w:eastAsia="宋体" w:cs="Times New Roman"/>
          <w:color w:val="auto"/>
          <w:kern w:val="0"/>
          <w:szCs w:val="21"/>
          <w:highlight w:val="none"/>
          <w:u w:val="single"/>
        </w:rPr>
        <w:t xml:space="preserve">名称）  </w:t>
      </w:r>
      <w:r>
        <w:rPr>
          <w:rFonts w:ascii="宋体" w:hAnsi="宋体" w:eastAsia="宋体" w:cs="Times New Roman"/>
          <w:color w:val="auto"/>
          <w:kern w:val="0"/>
          <w:szCs w:val="21"/>
          <w:highlight w:val="none"/>
        </w:rPr>
        <w:t>，受</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的委托，</w:t>
      </w:r>
      <w:r>
        <w:rPr>
          <w:rFonts w:hint="eastAsia" w:ascii="宋体" w:hAnsi="宋体" w:eastAsia="宋体" w:cs="宋体"/>
          <w:color w:val="auto"/>
          <w:kern w:val="0"/>
          <w:szCs w:val="21"/>
          <w:highlight w:val="none"/>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highlight w:val="none"/>
        </w:rPr>
        <w:t>_______元）</w:t>
      </w:r>
      <w:r>
        <w:rPr>
          <w:rFonts w:hint="eastAsia" w:ascii="宋体" w:hAnsi="宋体" w:eastAsia="宋体" w:cs="宋体"/>
          <w:color w:val="auto"/>
          <w:kern w:val="0"/>
          <w:szCs w:val="21"/>
          <w:highlight w:val="none"/>
        </w:rPr>
        <w:t>的款项。</w:t>
      </w:r>
    </w:p>
    <w:p w14:paraId="49841EF1">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我方还同意，任何受益人与</w:t>
      </w:r>
      <w:r>
        <w:rPr>
          <w:rFonts w:hint="eastAsia" w:ascii="宋体" w:hAnsi="宋体" w:eastAsia="宋体" w:cs="Times New Roman"/>
          <w:color w:val="auto"/>
          <w:kern w:val="0"/>
          <w:szCs w:val="21"/>
          <w:highlight w:val="none"/>
        </w:rPr>
        <w:t>申请人</w:t>
      </w:r>
      <w:r>
        <w:rPr>
          <w:rFonts w:ascii="宋体" w:hAnsi="宋体" w:eastAsia="宋体" w:cs="Times New Roman"/>
          <w:color w:val="auto"/>
          <w:kern w:val="0"/>
          <w:szCs w:val="21"/>
          <w:highlight w:val="none"/>
        </w:rPr>
        <w:t>之间可能对合同条款的修改、规范或其他合同文件的变动补充，都不能免除我方按本</w:t>
      </w:r>
      <w:r>
        <w:rPr>
          <w:rFonts w:hint="eastAsia" w:ascii="宋体" w:hAnsi="宋体" w:eastAsia="宋体" w:cs="Times New Roman"/>
          <w:color w:val="auto"/>
          <w:kern w:val="0"/>
          <w:szCs w:val="21"/>
          <w:highlight w:val="none"/>
        </w:rPr>
        <w:t>担保</w:t>
      </w:r>
      <w:r>
        <w:rPr>
          <w:rFonts w:ascii="宋体" w:hAnsi="宋体" w:eastAsia="宋体" w:cs="Times New Roman"/>
          <w:color w:val="auto"/>
          <w:kern w:val="0"/>
          <w:szCs w:val="21"/>
          <w:highlight w:val="none"/>
        </w:rPr>
        <w:t>函所承担的责任。因此，有关上述变动、补充和修改无须通知</w:t>
      </w:r>
      <w:r>
        <w:rPr>
          <w:rFonts w:hint="eastAsia" w:ascii="宋体" w:hAnsi="宋体" w:eastAsia="宋体" w:cs="Times New Roman"/>
          <w:color w:val="auto"/>
          <w:kern w:val="0"/>
          <w:szCs w:val="21"/>
          <w:highlight w:val="none"/>
        </w:rPr>
        <w:t>或征得</w:t>
      </w:r>
      <w:r>
        <w:rPr>
          <w:rFonts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rPr>
        <w:t>同意</w:t>
      </w:r>
      <w:r>
        <w:rPr>
          <w:rFonts w:ascii="宋体" w:hAnsi="宋体" w:eastAsia="宋体" w:cs="Times New Roman"/>
          <w:color w:val="auto"/>
          <w:kern w:val="0"/>
          <w:szCs w:val="21"/>
          <w:highlight w:val="none"/>
        </w:rPr>
        <w:t>。</w:t>
      </w:r>
    </w:p>
    <w:p w14:paraId="76BE0253">
      <w:pPr>
        <w:autoSpaceDE w:val="0"/>
        <w:autoSpaceDN w:val="0"/>
        <w:adjustRightInd w:val="0"/>
        <w:spacing w:line="360" w:lineRule="auto"/>
        <w:ind w:firstLine="43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本保函</w:t>
      </w:r>
      <w:r>
        <w:rPr>
          <w:rFonts w:hint="eastAsia" w:ascii="宋体" w:hAnsi="宋体" w:eastAsia="宋体" w:cs="Times New Roman"/>
          <w:color w:val="auto"/>
          <w:kern w:val="0"/>
          <w:szCs w:val="21"/>
          <w:highlight w:val="none"/>
        </w:rPr>
        <w:t>应</w:t>
      </w:r>
      <w:r>
        <w:rPr>
          <w:rFonts w:hint="default" w:ascii="宋体" w:hAnsi="宋体" w:eastAsia="宋体" w:cs="Times New Roman"/>
          <w:color w:val="auto"/>
          <w:kern w:val="0"/>
          <w:szCs w:val="21"/>
          <w:highlight w:val="none"/>
          <w:lang w:val="en-US" w:eastAsia="zh-CN"/>
        </w:rPr>
        <w:t>从</w:t>
      </w:r>
      <w:r>
        <w:rPr>
          <w:rFonts w:hint="eastAsia" w:ascii="宋体" w:hAnsi="宋体" w:eastAsia="宋体" w:cs="Times New Roman"/>
          <w:color w:val="auto"/>
          <w:kern w:val="0"/>
          <w:szCs w:val="21"/>
          <w:highlight w:val="none"/>
          <w:lang w:eastAsia="zh-CN"/>
        </w:rPr>
        <w:t>合同签订之日起至合同期限届满并履行完毕相关服务义务且结算完毕之后二十八（28）个日历天内保持有效</w:t>
      </w:r>
      <w:r>
        <w:rPr>
          <w:rFonts w:hint="eastAsia" w:ascii="宋体" w:hAnsi="宋体" w:eastAsia="宋体" w:cs="Times New Roman"/>
          <w:color w:val="auto"/>
          <w:kern w:val="0"/>
          <w:szCs w:val="21"/>
          <w:highlight w:val="none"/>
        </w:rPr>
        <w:t>。</w:t>
      </w:r>
    </w:p>
    <w:p w14:paraId="732234C8">
      <w:pPr>
        <w:autoSpaceDE w:val="0"/>
        <w:autoSpaceDN w:val="0"/>
        <w:adjustRightInd w:val="0"/>
        <w:spacing w:line="360" w:lineRule="auto"/>
        <w:jc w:val="left"/>
        <w:rPr>
          <w:rFonts w:ascii="宋体" w:hAnsi="宋体" w:eastAsia="宋体" w:cs="Times New Roman"/>
          <w:color w:val="auto"/>
          <w:kern w:val="0"/>
          <w:szCs w:val="21"/>
          <w:highlight w:val="none"/>
        </w:rPr>
      </w:pPr>
    </w:p>
    <w:p w14:paraId="2EDE1C47">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法定代表人或其授权的代理人：（签字或盖私章）</w:t>
      </w:r>
    </w:p>
    <w:p w14:paraId="062C42A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担保公司盖章：</w:t>
      </w:r>
    </w:p>
    <w:p w14:paraId="7406BDD3">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联系电话：</w:t>
      </w:r>
    </w:p>
    <w:p w14:paraId="5123B38C">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地址：</w:t>
      </w:r>
    </w:p>
    <w:p w14:paraId="190AA456">
      <w:pPr>
        <w:autoSpaceDE w:val="0"/>
        <w:autoSpaceDN w:val="0"/>
        <w:adjustRightInd w:val="0"/>
        <w:spacing w:line="360" w:lineRule="auto"/>
        <w:ind w:firstLine="3990" w:firstLineChars="190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日期：    年   月   日</w:t>
      </w:r>
    </w:p>
    <w:p w14:paraId="06BF4ECE">
      <w:pPr>
        <w:autoSpaceDE w:val="0"/>
        <w:autoSpaceDN w:val="0"/>
        <w:adjustRightInd w:val="0"/>
        <w:spacing w:line="360" w:lineRule="auto"/>
        <w:ind w:right="368" w:rightChars="175"/>
        <w:jc w:val="left"/>
        <w:rPr>
          <w:rFonts w:ascii="宋体" w:hAnsi="宋体" w:eastAsia="宋体" w:cs="Times New Roman"/>
          <w:color w:val="auto"/>
          <w:kern w:val="0"/>
          <w:szCs w:val="21"/>
          <w:highlight w:val="none"/>
        </w:rPr>
      </w:pPr>
    </w:p>
    <w:p w14:paraId="7AB2FA1A">
      <w:pPr>
        <w:autoSpaceDE w:val="0"/>
        <w:autoSpaceDN w:val="0"/>
        <w:adjustRightInd w:val="0"/>
        <w:spacing w:line="360" w:lineRule="auto"/>
        <w:jc w:val="left"/>
        <w:rPr>
          <w:rFonts w:ascii="宋体" w:hAnsi="宋体" w:eastAsia="宋体" w:cs="Times New Roman"/>
          <w:color w:val="auto"/>
          <w:kern w:val="0"/>
          <w:szCs w:val="21"/>
          <w:highlight w:val="none"/>
        </w:rPr>
      </w:pPr>
    </w:p>
    <w:p w14:paraId="7516812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7B79584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58E56CFE">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1CF38C31">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674FFC4">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3531798A">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424CC258">
      <w:pPr>
        <w:autoSpaceDE w:val="0"/>
        <w:autoSpaceDN w:val="0"/>
        <w:adjustRightInd w:val="0"/>
        <w:spacing w:line="360" w:lineRule="auto"/>
        <w:ind w:firstLine="5775" w:firstLineChars="2750"/>
        <w:jc w:val="left"/>
        <w:rPr>
          <w:rFonts w:ascii="宋体" w:hAnsi="宋体" w:eastAsia="宋体" w:cs="Times New Roman"/>
          <w:color w:val="auto"/>
          <w:kern w:val="0"/>
          <w:szCs w:val="21"/>
          <w:highlight w:val="none"/>
        </w:rPr>
      </w:pPr>
    </w:p>
    <w:p w14:paraId="697A1965">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4E490716">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highlight w:val="none"/>
        </w:rPr>
      </w:pPr>
      <w:bookmarkStart w:id="585" w:name="_Toc142508361"/>
      <w:bookmarkStart w:id="586" w:name="_Toc32476"/>
      <w:bookmarkStart w:id="587" w:name="_Toc486167708"/>
      <w:bookmarkStart w:id="588" w:name="_Toc15817"/>
      <w:bookmarkStart w:id="589" w:name="_Toc32761_WPSOffice_Level1"/>
      <w:bookmarkStart w:id="590" w:name="_Toc9840"/>
      <w:bookmarkStart w:id="591" w:name="_Toc450662895"/>
      <w:bookmarkStart w:id="592" w:name="_Toc14958"/>
      <w:bookmarkStart w:id="593" w:name="_Toc10686"/>
      <w:bookmarkStart w:id="594" w:name="_Toc3077"/>
      <w:r>
        <w:rPr>
          <w:rFonts w:hint="eastAsia" w:ascii="宋体" w:hAnsi="宋体" w:eastAsia="宋体" w:cs="宋体"/>
          <w:b/>
          <w:bCs/>
          <w:color w:val="auto"/>
          <w:kern w:val="44"/>
          <w:sz w:val="32"/>
          <w:szCs w:val="32"/>
          <w:highlight w:val="none"/>
          <w:lang w:val="zh-CN"/>
        </w:rPr>
        <w:t>第六篇 投标文件格式</w:t>
      </w:r>
      <w:bookmarkEnd w:id="585"/>
      <w:bookmarkEnd w:id="586"/>
      <w:bookmarkEnd w:id="587"/>
      <w:bookmarkEnd w:id="588"/>
      <w:bookmarkEnd w:id="589"/>
      <w:bookmarkEnd w:id="590"/>
      <w:bookmarkEnd w:id="591"/>
      <w:bookmarkEnd w:id="592"/>
      <w:bookmarkEnd w:id="593"/>
      <w:bookmarkEnd w:id="594"/>
    </w:p>
    <w:p w14:paraId="681ED2F4">
      <w:pPr>
        <w:rPr>
          <w:rFonts w:hint="eastAsia" w:ascii="宋体" w:hAnsi="宋体" w:eastAsia="宋体" w:cs="宋体"/>
          <w:color w:val="auto"/>
          <w:sz w:val="84"/>
          <w:highlight w:val="none"/>
        </w:rPr>
      </w:pPr>
      <w:bookmarkStart w:id="595" w:name="_Toc140596921"/>
      <w:bookmarkStart w:id="596" w:name="_Toc102860067"/>
      <w:bookmarkStart w:id="597" w:name="_Toc1977721"/>
      <w:bookmarkStart w:id="598" w:name="_Toc533708121"/>
      <w:bookmarkStart w:id="599" w:name="_Toc21133_WPSOffice_Level2"/>
      <w:bookmarkStart w:id="600" w:name="_Toc104991868"/>
      <w:bookmarkStart w:id="601" w:name="_Toc142508362"/>
      <w:bookmarkStart w:id="602" w:name="_Toc94107202"/>
      <w:bookmarkStart w:id="603" w:name="_Toc102860411"/>
      <w:bookmarkStart w:id="604" w:name="_Toc486167709"/>
      <w:r>
        <w:rPr>
          <w:rFonts w:hint="eastAsia" w:ascii="宋体" w:hAnsi="宋体" w:eastAsia="宋体" w:cs="宋体"/>
          <w:b/>
          <w:color w:val="auto"/>
          <w:kern w:val="0"/>
          <w:sz w:val="32"/>
          <w:szCs w:val="32"/>
          <w:highlight w:val="none"/>
        </w:rPr>
        <w:br w:type="page"/>
      </w:r>
    </w:p>
    <w:p w14:paraId="387AAB97">
      <w:pPr>
        <w:pStyle w:val="19"/>
        <w:spacing w:line="360" w:lineRule="auto"/>
        <w:jc w:val="center"/>
        <w:rPr>
          <w:rFonts w:hint="eastAsia" w:ascii="宋体" w:hAnsi="宋体" w:eastAsia="宋体" w:cs="宋体"/>
          <w:color w:val="auto"/>
          <w:sz w:val="84"/>
          <w:highlight w:val="none"/>
        </w:rPr>
      </w:pPr>
    </w:p>
    <w:p w14:paraId="1A5711BC">
      <w:pPr>
        <w:pStyle w:val="19"/>
        <w:spacing w:line="360" w:lineRule="auto"/>
        <w:jc w:val="center"/>
        <w:rPr>
          <w:rFonts w:hint="eastAsia" w:ascii="宋体" w:hAnsi="宋体" w:eastAsia="宋体" w:cs="宋体"/>
          <w:color w:val="auto"/>
          <w:sz w:val="84"/>
          <w:highlight w:val="none"/>
        </w:rPr>
      </w:pPr>
    </w:p>
    <w:p w14:paraId="4A6B4655">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358C6899">
      <w:pPr>
        <w:pStyle w:val="19"/>
        <w:spacing w:line="360" w:lineRule="auto"/>
        <w:rPr>
          <w:rFonts w:hint="eastAsia" w:ascii="宋体" w:hAnsi="宋体" w:eastAsia="宋体" w:cs="宋体"/>
          <w:color w:val="auto"/>
          <w:highlight w:val="none"/>
        </w:rPr>
      </w:pPr>
    </w:p>
    <w:p w14:paraId="3A4ED8F2">
      <w:pPr>
        <w:pStyle w:val="19"/>
        <w:spacing w:line="360" w:lineRule="auto"/>
        <w:rPr>
          <w:rFonts w:hint="eastAsia" w:ascii="宋体" w:hAnsi="宋体" w:eastAsia="宋体" w:cs="宋体"/>
          <w:color w:val="auto"/>
          <w:highlight w:val="none"/>
        </w:rPr>
      </w:pPr>
    </w:p>
    <w:p w14:paraId="5A47F1CD">
      <w:pPr>
        <w:pStyle w:val="19"/>
        <w:spacing w:line="360" w:lineRule="auto"/>
        <w:rPr>
          <w:rFonts w:hint="eastAsia" w:ascii="宋体" w:hAnsi="宋体" w:eastAsia="宋体" w:cs="宋体"/>
          <w:color w:val="auto"/>
          <w:highlight w:val="none"/>
        </w:rPr>
      </w:pPr>
    </w:p>
    <w:p w14:paraId="73B1A42C">
      <w:pPr>
        <w:pStyle w:val="19"/>
        <w:spacing w:line="360" w:lineRule="auto"/>
        <w:rPr>
          <w:rFonts w:hint="eastAsia" w:ascii="宋体" w:hAnsi="宋体" w:eastAsia="宋体" w:cs="宋体"/>
          <w:color w:val="auto"/>
          <w:highlight w:val="none"/>
        </w:rPr>
      </w:pPr>
    </w:p>
    <w:p w14:paraId="416930F8">
      <w:pPr>
        <w:pStyle w:val="19"/>
        <w:spacing w:line="360" w:lineRule="auto"/>
        <w:rPr>
          <w:rFonts w:hint="eastAsia" w:ascii="宋体" w:hAnsi="宋体" w:eastAsia="宋体" w:cs="宋体"/>
          <w:color w:val="auto"/>
          <w:highlight w:val="none"/>
        </w:rPr>
      </w:pPr>
    </w:p>
    <w:p w14:paraId="5B46AFB1">
      <w:pPr>
        <w:pStyle w:val="19"/>
        <w:spacing w:line="360" w:lineRule="auto"/>
        <w:rPr>
          <w:rFonts w:hint="eastAsia" w:ascii="宋体" w:hAnsi="宋体" w:eastAsia="宋体" w:cs="宋体"/>
          <w:color w:val="auto"/>
          <w:highlight w:val="none"/>
        </w:rPr>
      </w:pPr>
    </w:p>
    <w:p w14:paraId="0F8CA1F1">
      <w:pPr>
        <w:pStyle w:val="19"/>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招标编号：</w:t>
      </w:r>
      <w:r>
        <w:rPr>
          <w:rFonts w:hint="eastAsia" w:ascii="宋体" w:hAnsi="宋体" w:cs="宋体"/>
          <w:color w:val="auto"/>
          <w:sz w:val="30"/>
          <w:highlight w:val="none"/>
          <w:u w:val="single"/>
          <w:lang w:eastAsia="zh-CN"/>
        </w:rPr>
        <w:t>DGDS2025-002</w:t>
      </w:r>
    </w:p>
    <w:p w14:paraId="16898AE6">
      <w:pPr>
        <w:pStyle w:val="19"/>
        <w:spacing w:line="360" w:lineRule="auto"/>
        <w:rPr>
          <w:rFonts w:hint="eastAsia" w:ascii="宋体" w:hAnsi="宋体" w:eastAsia="宋体" w:cs="宋体"/>
          <w:color w:val="auto"/>
          <w:sz w:val="30"/>
          <w:highlight w:val="none"/>
          <w:u w:val="single"/>
          <w:lang w:eastAsia="zh-CN"/>
        </w:rPr>
      </w:pPr>
      <w:r>
        <w:rPr>
          <w:rFonts w:hint="eastAsia" w:ascii="宋体" w:hAnsi="宋体" w:eastAsia="宋体" w:cs="宋体"/>
          <w:color w:val="auto"/>
          <w:sz w:val="30"/>
          <w:highlight w:val="none"/>
        </w:rPr>
        <w:t>项目名称：</w:t>
      </w:r>
      <w:r>
        <w:rPr>
          <w:rFonts w:hint="eastAsia" w:ascii="宋体" w:hAnsi="宋体" w:cs="宋体"/>
          <w:color w:val="auto"/>
          <w:sz w:val="30"/>
          <w:highlight w:val="none"/>
          <w:u w:val="single"/>
          <w:lang w:eastAsia="zh-CN"/>
        </w:rPr>
        <w:t>珠三角水资源配置工程东莞配套芦花坑水厂一期配水管线工程-B标段第三方检测服务采购项目</w:t>
      </w:r>
    </w:p>
    <w:p w14:paraId="50D5FA94">
      <w:pPr>
        <w:pStyle w:val="19"/>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764701A6">
      <w:pPr>
        <w:pStyle w:val="19"/>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招标人：</w:t>
      </w:r>
      <w:r>
        <w:rPr>
          <w:rFonts w:hint="eastAsia" w:ascii="宋体" w:hAnsi="宋体" w:cs="宋体"/>
          <w:color w:val="auto"/>
          <w:sz w:val="30"/>
          <w:highlight w:val="none"/>
          <w:u w:val="single"/>
          <w:lang w:eastAsia="zh-CN"/>
        </w:rPr>
        <w:t>东莞市水务集团建设管理有限公司</w:t>
      </w:r>
    </w:p>
    <w:p w14:paraId="377DC6A8">
      <w:pPr>
        <w:pStyle w:val="19"/>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37D95400">
      <w:pPr>
        <w:pStyle w:val="19"/>
        <w:spacing w:line="360" w:lineRule="auto"/>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2096B886">
      <w:pPr>
        <w:pStyle w:val="19"/>
        <w:spacing w:line="360" w:lineRule="auto"/>
        <w:rPr>
          <w:rFonts w:hint="eastAsia" w:ascii="宋体" w:hAnsi="宋体" w:eastAsia="宋体" w:cs="宋体"/>
          <w:color w:val="auto"/>
          <w:highlight w:val="none"/>
        </w:rPr>
      </w:pPr>
    </w:p>
    <w:p w14:paraId="3DD66F9B">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872210">
      <w:pPr>
        <w:pStyle w:val="19"/>
        <w:spacing w:line="360" w:lineRule="auto"/>
        <w:rPr>
          <w:rFonts w:hint="eastAsia" w:ascii="宋体" w:hAnsi="宋体" w:eastAsia="宋体" w:cs="宋体"/>
          <w:color w:val="auto"/>
          <w:highlight w:val="none"/>
        </w:rPr>
      </w:pPr>
    </w:p>
    <w:p w14:paraId="20CDED04">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57"/>
        <w:gridCol w:w="4059"/>
      </w:tblGrid>
      <w:tr w14:paraId="039A883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39E9A0D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4719155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57" w:type="dxa"/>
            <w:vAlign w:val="center"/>
          </w:tcPr>
          <w:p w14:paraId="1374322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59" w:type="dxa"/>
            <w:tcBorders>
              <w:left w:val="single" w:color="auto" w:sz="4" w:space="0"/>
            </w:tcBorders>
            <w:vAlign w:val="center"/>
          </w:tcPr>
          <w:p w14:paraId="1E18B6D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7BEC5F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6C840C1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vAlign w:val="center"/>
          </w:tcPr>
          <w:p w14:paraId="3FAC3BA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57" w:type="dxa"/>
            <w:vAlign w:val="center"/>
          </w:tcPr>
          <w:p w14:paraId="660CDE9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355DC075">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6692BF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3D347235">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773" w:type="dxa"/>
            <w:vAlign w:val="center"/>
          </w:tcPr>
          <w:p w14:paraId="1FD0612E">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57" w:type="dxa"/>
            <w:vAlign w:val="center"/>
          </w:tcPr>
          <w:p w14:paraId="7C8BDF1A">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2D61D00A">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6ECF7D4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0E9C972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vAlign w:val="center"/>
          </w:tcPr>
          <w:p w14:paraId="200143C6">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2157" w:type="dxa"/>
            <w:vAlign w:val="center"/>
          </w:tcPr>
          <w:p w14:paraId="07301F2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59" w:type="dxa"/>
            <w:tcBorders>
              <w:left w:val="single" w:color="auto" w:sz="4" w:space="0"/>
            </w:tcBorders>
            <w:vAlign w:val="center"/>
          </w:tcPr>
          <w:p w14:paraId="16D7F107">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033D1D2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2AC756E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15E45FD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2157" w:type="dxa"/>
            <w:tcBorders>
              <w:top w:val="single" w:color="auto" w:sz="6" w:space="0"/>
              <w:left w:val="single" w:color="auto" w:sz="6" w:space="0"/>
              <w:bottom w:val="outset" w:color="808080" w:sz="6" w:space="0"/>
              <w:right w:val="single" w:color="auto" w:sz="6" w:space="0"/>
            </w:tcBorders>
            <w:vAlign w:val="center"/>
          </w:tcPr>
          <w:p w14:paraId="0C30492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59" w:type="dxa"/>
            <w:tcBorders>
              <w:top w:val="single" w:color="auto" w:sz="6" w:space="0"/>
              <w:left w:val="single" w:color="auto" w:sz="4" w:space="0"/>
              <w:bottom w:val="outset" w:color="808080" w:sz="6" w:space="0"/>
              <w:right w:val="single" w:color="auto" w:sz="6" w:space="0"/>
            </w:tcBorders>
            <w:vAlign w:val="center"/>
          </w:tcPr>
          <w:p w14:paraId="15D0957A">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17971F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361559A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57" w:type="dxa"/>
            <w:tcBorders>
              <w:bottom w:val="single" w:color="auto" w:sz="4" w:space="0"/>
            </w:tcBorders>
            <w:vAlign w:val="center"/>
          </w:tcPr>
          <w:p w14:paraId="56500A6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59" w:type="dxa"/>
            <w:tcBorders>
              <w:left w:val="single" w:color="auto" w:sz="4" w:space="0"/>
              <w:bottom w:val="single" w:color="auto" w:sz="4" w:space="0"/>
            </w:tcBorders>
            <w:vAlign w:val="center"/>
          </w:tcPr>
          <w:p w14:paraId="6D706AFF">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4DBE1809">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69907D2">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605" w:name="_Toc23782"/>
      <w:bookmarkStart w:id="606" w:name="_Toc27679"/>
      <w:bookmarkStart w:id="607" w:name="_Toc29567"/>
      <w:bookmarkStart w:id="608" w:name="_Toc13281"/>
      <w:bookmarkStart w:id="609" w:name="_Toc8212"/>
      <w:bookmarkStart w:id="610" w:name="_Toc114"/>
      <w:r>
        <w:rPr>
          <w:rFonts w:hint="eastAsia" w:ascii="宋体" w:hAnsi="宋体" w:eastAsia="宋体" w:cs="宋体"/>
          <w:b/>
          <w:color w:val="auto"/>
          <w:kern w:val="0"/>
          <w:sz w:val="32"/>
          <w:szCs w:val="32"/>
          <w:highlight w:val="none"/>
        </w:rPr>
        <w:t>一、投标函格式</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p>
    <w:p w14:paraId="65DAD795">
      <w:pPr>
        <w:autoSpaceDE w:val="0"/>
        <w:autoSpaceDN w:val="0"/>
        <w:adjustRightInd w:val="0"/>
        <w:spacing w:line="360" w:lineRule="auto"/>
        <w:jc w:val="center"/>
        <w:rPr>
          <w:rFonts w:ascii="宋体" w:hAnsi="宋体" w:eastAsia="宋体" w:cs="宋体"/>
          <w:b/>
          <w:bCs/>
          <w:color w:val="auto"/>
          <w:sz w:val="30"/>
          <w:szCs w:val="30"/>
          <w:highlight w:val="none"/>
        </w:rPr>
      </w:pPr>
      <w:bookmarkStart w:id="611" w:name="_Toc16695_WPSOffice_Level3"/>
      <w:r>
        <w:rPr>
          <w:rFonts w:hint="eastAsia" w:ascii="宋体" w:hAnsi="宋体" w:eastAsia="宋体" w:cs="宋体"/>
          <w:b/>
          <w:bCs/>
          <w:color w:val="auto"/>
          <w:sz w:val="30"/>
          <w:szCs w:val="30"/>
          <w:highlight w:val="none"/>
          <w:lang w:val="zh-CN"/>
        </w:rPr>
        <w:t>投 标 函</w:t>
      </w:r>
      <w:bookmarkEnd w:id="611"/>
    </w:p>
    <w:p w14:paraId="2FA64A79">
      <w:pPr>
        <w:autoSpaceDE w:val="0"/>
        <w:autoSpaceDN w:val="0"/>
        <w:adjustRightInd w:val="0"/>
        <w:spacing w:line="360" w:lineRule="auto"/>
        <w:rPr>
          <w:rFonts w:ascii="宋体" w:hAnsi="宋体" w:eastAsia="宋体" w:cs="宋体"/>
          <w:color w:val="auto"/>
          <w:szCs w:val="21"/>
          <w:highlight w:val="none"/>
          <w:lang w:val="zh-CN"/>
        </w:rPr>
      </w:pPr>
    </w:p>
    <w:p w14:paraId="3D5EC852">
      <w:pPr>
        <w:autoSpaceDE w:val="0"/>
        <w:autoSpaceDN w:val="0"/>
        <w:adjustRightInd w:val="0"/>
        <w:spacing w:line="360" w:lineRule="auto"/>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lang w:eastAsia="zh-CN"/>
        </w:rPr>
        <w:t>东莞市水务集团建设管理有限公司</w:t>
      </w:r>
    </w:p>
    <w:p w14:paraId="4A6473DD">
      <w:pPr>
        <w:autoSpaceDE w:val="0"/>
        <w:autoSpaceDN w:val="0"/>
        <w:adjustRightInd w:val="0"/>
        <w:spacing w:line="360" w:lineRule="auto"/>
        <w:rPr>
          <w:rFonts w:ascii="宋体" w:hAnsi="宋体" w:eastAsia="宋体" w:cs="宋体"/>
          <w:color w:val="auto"/>
          <w:szCs w:val="21"/>
          <w:highlight w:val="none"/>
        </w:rPr>
      </w:pPr>
    </w:p>
    <w:p w14:paraId="0ABB59BE">
      <w:pPr>
        <w:wordWrap w:val="0"/>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lang w:eastAsia="zh-CN"/>
        </w:rPr>
        <w:t>珠三角水资源配置工程东莞配套芦花坑水厂一期配水管线工程-B标段第三方检测服务采购项目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DGDS2025-002</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4DC3887E">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744C44AC">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w:t>
      </w:r>
      <w:r>
        <w:rPr>
          <w:rFonts w:ascii="宋体" w:hAnsi="宋体" w:eastAsia="宋体" w:cs="Times New Roman"/>
          <w:color w:val="auto"/>
          <w:szCs w:val="21"/>
          <w:highlight w:val="none"/>
          <w:lang w:val="zh-CN"/>
        </w:rPr>
        <w:t>—</w:t>
      </w:r>
      <w:r>
        <w:rPr>
          <w:rFonts w:hint="eastAsia" w:ascii="宋体" w:hAnsi="宋体" w:eastAsia="宋体" w:cs="Times New Roman"/>
          <w:color w:val="auto"/>
          <w:szCs w:val="21"/>
          <w:highlight w:val="none"/>
          <w:lang w:val="zh-CN"/>
        </w:rPr>
        <w:t>）唱标信封【</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份】（含投标文件电子文件）；</w:t>
      </w:r>
    </w:p>
    <w:p w14:paraId="422D54D9">
      <w:pPr>
        <w:autoSpaceDE w:val="0"/>
        <w:autoSpaceDN w:val="0"/>
        <w:adjustRightInd w:val="0"/>
        <w:spacing w:line="360" w:lineRule="auto"/>
        <w:ind w:firstLine="315" w:firstLineChars="150"/>
        <w:rPr>
          <w:rFonts w:ascii="宋体" w:hAnsi="宋体" w:eastAsia="宋体" w:cs="Times New Roman"/>
          <w:color w:val="auto"/>
          <w:szCs w:val="21"/>
          <w:highlight w:val="none"/>
          <w:lang w:val="zh-CN"/>
        </w:rPr>
      </w:pPr>
      <w:r>
        <w:rPr>
          <w:rFonts w:hint="eastAsia" w:ascii="宋体" w:hAnsi="宋体" w:eastAsia="宋体" w:cs="Times New Roman"/>
          <w:color w:val="auto"/>
          <w:szCs w:val="21"/>
          <w:highlight w:val="none"/>
          <w:lang w:val="zh-CN"/>
        </w:rPr>
        <w:t>（二）投标文件【正本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份，副本</w:t>
      </w:r>
      <w:r>
        <w:rPr>
          <w:rFonts w:hint="eastAsia" w:ascii="宋体" w:hAnsi="宋体" w:eastAsia="宋体" w:cs="Times New Roman"/>
          <w:color w:val="auto"/>
          <w:szCs w:val="21"/>
          <w:highlight w:val="none"/>
          <w:u w:val="single"/>
          <w:lang w:val="zh-CN"/>
        </w:rPr>
        <w:t xml:space="preserve">        </w:t>
      </w:r>
      <w:r>
        <w:rPr>
          <w:rFonts w:hint="eastAsia" w:ascii="宋体" w:hAnsi="宋体" w:eastAsia="宋体" w:cs="Times New Roman"/>
          <w:color w:val="auto"/>
          <w:szCs w:val="21"/>
          <w:highlight w:val="none"/>
          <w:lang w:val="zh-CN"/>
        </w:rPr>
        <w:t>份】。</w:t>
      </w:r>
    </w:p>
    <w:p w14:paraId="670C033E">
      <w:pPr>
        <w:autoSpaceDE w:val="0"/>
        <w:autoSpaceDN w:val="0"/>
        <w:adjustRightInd w:val="0"/>
        <w:spacing w:line="360" w:lineRule="auto"/>
        <w:ind w:firstLine="42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62B053AA">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w:t>
      </w:r>
      <w:r>
        <w:rPr>
          <w:rFonts w:hint="eastAsia" w:ascii="宋体" w:hAnsi="宋体" w:eastAsia="宋体" w:cs="Times New Roman"/>
          <w:color w:val="auto"/>
          <w:szCs w:val="21"/>
          <w:highlight w:val="none"/>
          <w:lang w:val="zh-CN"/>
        </w:rPr>
        <w:t>决定</w:t>
      </w:r>
      <w:r>
        <w:rPr>
          <w:rFonts w:hint="eastAsia" w:ascii="宋体" w:hAnsi="宋体" w:eastAsia="宋体" w:cs="宋体"/>
          <w:color w:val="auto"/>
          <w:szCs w:val="21"/>
          <w:highlight w:val="none"/>
          <w:lang w:val="zh-CN"/>
        </w:rPr>
        <w:t>参加招标编号为</w:t>
      </w:r>
      <w:r>
        <w:rPr>
          <w:rFonts w:hint="eastAsia" w:ascii="宋体" w:hAnsi="宋体" w:eastAsia="宋体" w:cs="宋体"/>
          <w:color w:val="auto"/>
          <w:szCs w:val="21"/>
          <w:highlight w:val="none"/>
          <w:u w:val="single"/>
          <w:lang w:val="zh-CN"/>
        </w:rPr>
        <w:t>DGDS2025-002</w:t>
      </w:r>
      <w:r>
        <w:rPr>
          <w:rFonts w:hint="eastAsia" w:ascii="宋体" w:hAnsi="宋体" w:eastAsia="宋体" w:cs="宋体"/>
          <w:color w:val="auto"/>
          <w:szCs w:val="21"/>
          <w:highlight w:val="none"/>
          <w:lang w:val="zh-CN"/>
        </w:rPr>
        <w:t>的投标；</w:t>
      </w:r>
    </w:p>
    <w:p w14:paraId="68BCC8E4">
      <w:pPr>
        <w:autoSpaceDE w:val="0"/>
        <w:autoSpaceDN w:val="0"/>
        <w:adjustRightInd w:val="0"/>
        <w:spacing w:line="360" w:lineRule="auto"/>
        <w:ind w:firstLine="315" w:firstLineChars="15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77839DE3">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217A657F">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4AA95F3B">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59563BF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5305B76A">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49C1BB00">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6CFABC45">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3765F9F8">
      <w:pPr>
        <w:autoSpaceDE w:val="0"/>
        <w:autoSpaceDN w:val="0"/>
        <w:adjustRightInd w:val="0"/>
        <w:spacing w:line="360" w:lineRule="auto"/>
        <w:ind w:left="0" w:leftChars="0"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8EFC694">
      <w:pPr>
        <w:autoSpaceDE w:val="0"/>
        <w:autoSpaceDN w:val="0"/>
        <w:adjustRightInd w:val="0"/>
        <w:spacing w:line="360" w:lineRule="auto"/>
        <w:ind w:firstLine="315" w:firstLineChars="15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2544AA19">
      <w:pPr>
        <w:autoSpaceDE w:val="0"/>
        <w:autoSpaceDN w:val="0"/>
        <w:adjustRightInd w:val="0"/>
        <w:spacing w:line="360" w:lineRule="auto"/>
        <w:ind w:left="395" w:leftChars="-12" w:hanging="420" w:hangingChars="200"/>
        <w:rPr>
          <w:rFonts w:ascii="宋体" w:hAnsi="宋体" w:eastAsia="宋体" w:cs="宋体"/>
          <w:color w:val="auto"/>
          <w:szCs w:val="21"/>
          <w:highlight w:val="none"/>
          <w:u w:val="single"/>
          <w:lang w:val="zh-CN"/>
        </w:rPr>
      </w:pPr>
    </w:p>
    <w:p w14:paraId="73C2E60C">
      <w:pPr>
        <w:autoSpaceDE w:val="0"/>
        <w:autoSpaceDN w:val="0"/>
        <w:adjustRightInd w:val="0"/>
        <w:spacing w:line="360" w:lineRule="auto"/>
        <w:ind w:firstLine="420" w:firstLineChars="200"/>
        <w:rPr>
          <w:rFonts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89AC66D">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7D2B39F0">
      <w:pPr>
        <w:autoSpaceDE w:val="0"/>
        <w:autoSpaceDN w:val="0"/>
        <w:adjustRightInd w:val="0"/>
        <w:spacing w:line="360" w:lineRule="auto"/>
        <w:ind w:firstLine="420" w:firstLineChars="200"/>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347CA148">
      <w:pPr>
        <w:autoSpaceDE w:val="0"/>
        <w:autoSpaceDN w:val="0"/>
        <w:adjustRightInd w:val="0"/>
        <w:spacing w:line="360" w:lineRule="auto"/>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4F465E46">
      <w:pPr>
        <w:autoSpaceDE w:val="0"/>
        <w:autoSpaceDN w:val="0"/>
        <w:adjustRightInd w:val="0"/>
        <w:spacing w:line="360" w:lineRule="auto"/>
        <w:ind w:firstLine="4960" w:firstLineChars="2362"/>
        <w:rPr>
          <w:rFonts w:hint="eastAsia" w:ascii="宋体" w:hAnsi="宋体" w:eastAsia="宋体" w:cs="宋体"/>
          <w:color w:val="auto"/>
          <w:szCs w:val="21"/>
          <w:highlight w:val="none"/>
          <w:lang w:val="zh-CN"/>
        </w:rPr>
      </w:pPr>
    </w:p>
    <w:p w14:paraId="11F9A017">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389C1BC0">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0B9FB077">
      <w:pPr>
        <w:autoSpaceDE w:val="0"/>
        <w:autoSpaceDN w:val="0"/>
        <w:adjustRightInd w:val="0"/>
        <w:spacing w:line="360" w:lineRule="auto"/>
        <w:ind w:firstLine="4960" w:firstLineChars="2362"/>
        <w:rPr>
          <w:rFonts w:ascii="宋体" w:hAnsi="宋体" w:eastAsia="宋体" w:cs="Times New Roman"/>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48571585">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612" w:name="_Toc28613_WPSOffice_Level2"/>
      <w:bookmarkStart w:id="613" w:name="_Toc140596922"/>
      <w:bookmarkStart w:id="614" w:name="_Toc533708122"/>
      <w:bookmarkStart w:id="615" w:name="_Toc3104"/>
      <w:bookmarkStart w:id="616" w:name="_Toc102860412"/>
      <w:bookmarkStart w:id="617" w:name="_Toc4014"/>
      <w:bookmarkStart w:id="618" w:name="_Toc102860068"/>
      <w:bookmarkStart w:id="619" w:name="_Toc94107203"/>
      <w:bookmarkStart w:id="620" w:name="_Toc1977722"/>
      <w:bookmarkStart w:id="621" w:name="_Toc30995"/>
      <w:bookmarkStart w:id="622" w:name="_Toc12417"/>
      <w:bookmarkStart w:id="623" w:name="_Toc104991869"/>
      <w:bookmarkStart w:id="624" w:name="_Toc486167710"/>
      <w:bookmarkStart w:id="625" w:name="_Toc142508363"/>
      <w:bookmarkStart w:id="626" w:name="_Toc9822"/>
      <w:bookmarkStart w:id="627" w:name="_Toc8240"/>
      <w:r>
        <w:rPr>
          <w:rFonts w:hint="eastAsia" w:ascii="宋体" w:hAnsi="宋体" w:eastAsia="宋体" w:cs="宋体"/>
          <w:b/>
          <w:color w:val="auto"/>
          <w:kern w:val="0"/>
          <w:sz w:val="32"/>
          <w:szCs w:val="32"/>
          <w:highlight w:val="none"/>
        </w:rPr>
        <w:t>二、投标承诺书格式</w:t>
      </w:r>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14:paraId="645175F8">
      <w:pPr>
        <w:autoSpaceDE w:val="0"/>
        <w:autoSpaceDN w:val="0"/>
        <w:adjustRightInd w:val="0"/>
        <w:spacing w:line="360" w:lineRule="auto"/>
        <w:jc w:val="center"/>
        <w:rPr>
          <w:rFonts w:ascii="宋体" w:hAnsi="宋体" w:eastAsia="宋体" w:cs="Times New Roman"/>
          <w:b/>
          <w:bCs/>
          <w:color w:val="auto"/>
          <w:sz w:val="30"/>
          <w:szCs w:val="30"/>
          <w:highlight w:val="none"/>
          <w:lang w:val="zh-CN"/>
        </w:rPr>
      </w:pPr>
      <w:r>
        <w:rPr>
          <w:rFonts w:hint="eastAsia" w:ascii="宋体" w:hAnsi="宋体" w:eastAsia="宋体" w:cs="Times New Roman"/>
          <w:b/>
          <w:bCs/>
          <w:color w:val="auto"/>
          <w:sz w:val="30"/>
          <w:szCs w:val="30"/>
          <w:highlight w:val="none"/>
          <w:lang w:val="zh-CN"/>
        </w:rPr>
        <w:t>投标承诺书</w:t>
      </w:r>
    </w:p>
    <w:p w14:paraId="4CE07B29">
      <w:pPr>
        <w:widowControl/>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01C7829B">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Times New Roman"/>
          <w:color w:val="auto"/>
          <w:kern w:val="0"/>
          <w:szCs w:val="21"/>
          <w:highlight w:val="none"/>
        </w:rPr>
        <w:t>我方</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（投标人名称）已完整阅读了</w:t>
      </w:r>
      <w:r>
        <w:rPr>
          <w:rFonts w:hint="eastAsia" w:ascii="宋体" w:hAnsi="宋体" w:eastAsia="宋体" w:cs="Times New Roman"/>
          <w:color w:val="auto"/>
          <w:kern w:val="0"/>
          <w:szCs w:val="21"/>
          <w:highlight w:val="none"/>
          <w:u w:val="single"/>
          <w:lang w:eastAsia="zh-CN"/>
        </w:rPr>
        <w:t>珠三角水资源配置工程东莞配套芦花坑水厂一期配水管线工程-B标段第三方检测服务采购项目</w:t>
      </w:r>
      <w:r>
        <w:rPr>
          <w:rFonts w:hint="eastAsia" w:ascii="宋体" w:hAnsi="宋体" w:eastAsia="宋体" w:cs="Times New Roman"/>
          <w:color w:val="auto"/>
          <w:kern w:val="0"/>
          <w:szCs w:val="21"/>
          <w:highlight w:val="none"/>
        </w:rPr>
        <w:t>（招标编号：</w:t>
      </w:r>
      <w:r>
        <w:rPr>
          <w:rFonts w:hint="eastAsia" w:ascii="宋体" w:hAnsi="宋体" w:eastAsia="宋体" w:cs="Times New Roman"/>
          <w:color w:val="auto"/>
          <w:kern w:val="0"/>
          <w:szCs w:val="21"/>
          <w:highlight w:val="none"/>
          <w:lang w:eastAsia="zh-CN"/>
        </w:rPr>
        <w:t>DGDS2025-002</w:t>
      </w:r>
      <w:r>
        <w:rPr>
          <w:rFonts w:hint="eastAsia" w:ascii="宋体" w:hAnsi="宋体" w:eastAsia="宋体" w:cs="Times New Roman"/>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Times New Roman"/>
          <w:color w:val="auto"/>
          <w:kern w:val="0"/>
          <w:szCs w:val="21"/>
          <w:highlight w:val="none"/>
          <w:lang w:eastAsia="zh-CN"/>
        </w:rPr>
        <w:t>异议</w:t>
      </w: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rPr>
        <w:cr/>
      </w:r>
      <w:r>
        <w:rPr>
          <w:rFonts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rPr>
        <w:t>我方</w:t>
      </w:r>
      <w:r>
        <w:rPr>
          <w:rFonts w:hint="eastAsia" w:ascii="宋体" w:hAnsi="宋体" w:eastAsia="宋体" w:cs="宋体"/>
          <w:color w:val="auto"/>
          <w:kern w:val="0"/>
          <w:szCs w:val="21"/>
          <w:highlight w:val="none"/>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highlight w:val="none"/>
        </w:rPr>
        <w:t>企业信用“黑名单”</w:t>
      </w:r>
      <w:r>
        <w:rPr>
          <w:rFonts w:hint="eastAsia" w:ascii="宋体" w:hAnsi="宋体" w:eastAsia="宋体" w:cs="宋体"/>
          <w:color w:val="auto"/>
          <w:kern w:val="0"/>
          <w:szCs w:val="21"/>
          <w:highlight w:val="none"/>
        </w:rPr>
        <w:t>，限制我方参与依法必须招标项目的投标，并</w:t>
      </w:r>
      <w:r>
        <w:rPr>
          <w:rFonts w:ascii="宋体" w:hAnsi="宋体" w:eastAsia="宋体" w:cs="宋体"/>
          <w:color w:val="auto"/>
          <w:kern w:val="0"/>
          <w:szCs w:val="21"/>
          <w:highlight w:val="none"/>
        </w:rPr>
        <w:t>向</w:t>
      </w:r>
      <w:r>
        <w:rPr>
          <w:rFonts w:hint="eastAsia" w:ascii="宋体" w:hAnsi="宋体" w:eastAsia="宋体" w:cs="宋体"/>
          <w:color w:val="auto"/>
          <w:kern w:val="0"/>
          <w:szCs w:val="21"/>
          <w:highlight w:val="none"/>
        </w:rPr>
        <w:t>行政主管部门报送</w:t>
      </w:r>
      <w:r>
        <w:rPr>
          <w:rFonts w:ascii="宋体" w:hAnsi="宋体" w:eastAsia="宋体" w:cs="宋体"/>
          <w:color w:val="auto"/>
          <w:kern w:val="0"/>
          <w:szCs w:val="21"/>
          <w:highlight w:val="none"/>
        </w:rPr>
        <w:t>结果。</w:t>
      </w:r>
      <w:r>
        <w:rPr>
          <w:rFonts w:hint="eastAsia" w:ascii="宋体" w:hAnsi="宋体" w:eastAsia="宋体" w:cs="宋体"/>
          <w:color w:val="auto"/>
          <w:kern w:val="0"/>
          <w:szCs w:val="21"/>
          <w:highlight w:val="none"/>
        </w:rPr>
        <w:t>同时，招标人有权根据《关于对环境保护领域失信生产经营单位及其有关人员开展联合惩戒的合作备忘录》等规定，通过“信用中国”网站向社会公示我方的失信行为，实现“一处失信、处处受限”。</w:t>
      </w:r>
    </w:p>
    <w:p w14:paraId="707C1389">
      <w:pPr>
        <w:widowControl/>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highlight w:val="none"/>
        </w:rPr>
        <w:t>9.2</w:t>
      </w:r>
      <w:r>
        <w:rPr>
          <w:rFonts w:hint="eastAsia" w:ascii="宋体" w:hAnsi="宋体" w:eastAsia="宋体" w:cs="宋体"/>
          <w:color w:val="auto"/>
          <w:kern w:val="0"/>
          <w:szCs w:val="21"/>
          <w:highlight w:val="none"/>
        </w:rPr>
        <w:t>款约定按时提供原件核查的，因此导致我方无法参与东莞市水务集团有限公司相关招标采购活动的，由我方自行承担全部后果。</w:t>
      </w:r>
    </w:p>
    <w:p w14:paraId="4D1EA22E">
      <w:pPr>
        <w:autoSpaceDE w:val="0"/>
        <w:autoSpaceDN w:val="0"/>
        <w:adjustRightInd w:val="0"/>
        <w:spacing w:line="360" w:lineRule="auto"/>
        <w:ind w:firstLine="420" w:firstLineChars="200"/>
        <w:jc w:val="left"/>
        <w:rPr>
          <w:rFonts w:ascii="宋体" w:hAnsi="宋体" w:eastAsia="宋体" w:cs="Times New Roman"/>
          <w:color w:val="auto"/>
          <w:kern w:val="0"/>
          <w:szCs w:val="21"/>
          <w:highlight w:val="none"/>
        </w:rPr>
      </w:pPr>
    </w:p>
    <w:p w14:paraId="3E58C45F">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7A213633">
      <w:pPr>
        <w:autoSpaceDE w:val="0"/>
        <w:autoSpaceDN w:val="0"/>
        <w:adjustRightInd w:val="0"/>
        <w:spacing w:line="360" w:lineRule="auto"/>
        <w:jc w:val="left"/>
        <w:rPr>
          <w:rFonts w:ascii="宋体" w:hAnsi="宋体" w:eastAsia="宋体" w:cs="Times New Roman"/>
          <w:color w:val="auto"/>
          <w:kern w:val="0"/>
          <w:sz w:val="24"/>
          <w:szCs w:val="24"/>
          <w:highlight w:val="none"/>
        </w:rPr>
      </w:pPr>
    </w:p>
    <w:p w14:paraId="27C4DD99">
      <w:pPr>
        <w:autoSpaceDE w:val="0"/>
        <w:autoSpaceDN w:val="0"/>
        <w:adjustRightInd w:val="0"/>
        <w:spacing w:line="360" w:lineRule="auto"/>
        <w:ind w:firstLine="5040"/>
        <w:rPr>
          <w:rFonts w:ascii="宋体" w:hAnsi="宋体" w:eastAsia="宋体" w:cs="Times New Roman"/>
          <w:color w:val="auto"/>
          <w:szCs w:val="24"/>
          <w:highlight w:val="none"/>
        </w:rPr>
      </w:pPr>
      <w:r>
        <w:rPr>
          <w:rFonts w:hint="eastAsia" w:ascii="宋体" w:hAnsi="宋体" w:eastAsia="宋体" w:cs="Times New Roman"/>
          <w:color w:val="auto"/>
          <w:szCs w:val="24"/>
          <w:highlight w:val="none"/>
          <w:lang w:val="zh-CN"/>
        </w:rPr>
        <w:t>投标人：（加盖投标人法人公章）</w:t>
      </w:r>
    </w:p>
    <w:p w14:paraId="2FF4D9AD">
      <w:pPr>
        <w:autoSpaceDE w:val="0"/>
        <w:autoSpaceDN w:val="0"/>
        <w:adjustRightInd w:val="0"/>
        <w:spacing w:line="360" w:lineRule="auto"/>
        <w:ind w:firstLine="504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法定代表人或其授权代表签名（或盖私章）：</w:t>
      </w:r>
    </w:p>
    <w:p w14:paraId="34253209">
      <w:pPr>
        <w:autoSpaceDE w:val="0"/>
        <w:autoSpaceDN w:val="0"/>
        <w:adjustRightInd w:val="0"/>
        <w:spacing w:line="360" w:lineRule="auto"/>
        <w:ind w:firstLine="5040"/>
        <w:rPr>
          <w:rFonts w:ascii="宋体" w:hAnsi="宋体" w:eastAsia="宋体" w:cs="Times New Roman"/>
          <w:color w:val="auto"/>
          <w:sz w:val="24"/>
          <w:szCs w:val="24"/>
          <w:highlight w:val="none"/>
          <w:lang w:val="zh-CN"/>
        </w:rPr>
      </w:pPr>
      <w:r>
        <w:rPr>
          <w:rFonts w:hint="eastAsia" w:ascii="宋体" w:hAnsi="宋体" w:eastAsia="宋体" w:cs="Times New Roman"/>
          <w:color w:val="auto"/>
          <w:szCs w:val="24"/>
          <w:highlight w:val="none"/>
          <w:lang w:val="zh-CN"/>
        </w:rPr>
        <w:t>日期：   年   月   日</w:t>
      </w:r>
    </w:p>
    <w:p w14:paraId="6633E229">
      <w:pPr>
        <w:autoSpaceDE w:val="0"/>
        <w:autoSpaceDN w:val="0"/>
        <w:adjustRightInd w:val="0"/>
        <w:spacing w:line="360" w:lineRule="auto"/>
        <w:ind w:firstLine="480" w:firstLineChars="200"/>
        <w:jc w:val="left"/>
        <w:rPr>
          <w:rFonts w:ascii="宋体" w:hAnsi="宋体" w:eastAsia="宋体" w:cs="宋体"/>
          <w:color w:val="auto"/>
          <w:kern w:val="0"/>
          <w:sz w:val="24"/>
          <w:szCs w:val="24"/>
          <w:highlight w:val="none"/>
        </w:rPr>
      </w:pPr>
    </w:p>
    <w:p w14:paraId="32EB99AB">
      <w:pPr>
        <w:autoSpaceDE w:val="0"/>
        <w:autoSpaceDN w:val="0"/>
        <w:adjustRightInd w:val="0"/>
        <w:spacing w:line="360" w:lineRule="auto"/>
        <w:jc w:val="left"/>
        <w:rPr>
          <w:rFonts w:ascii="宋体" w:hAnsi="宋体" w:eastAsia="宋体" w:cs="宋体"/>
          <w:color w:val="auto"/>
          <w:kern w:val="0"/>
          <w:sz w:val="24"/>
          <w:szCs w:val="24"/>
          <w:highlight w:val="none"/>
        </w:rPr>
      </w:pPr>
    </w:p>
    <w:p w14:paraId="05CFC077">
      <w:pPr>
        <w:autoSpaceDE w:val="0"/>
        <w:autoSpaceDN w:val="0"/>
        <w:adjustRightInd w:val="0"/>
        <w:spacing w:line="360" w:lineRule="auto"/>
        <w:jc w:val="left"/>
        <w:rPr>
          <w:rFonts w:ascii="宋体" w:hAnsi="宋体" w:eastAsia="宋体" w:cs="宋体"/>
          <w:color w:val="auto"/>
          <w:kern w:val="0"/>
          <w:sz w:val="24"/>
          <w:szCs w:val="24"/>
          <w:highlight w:val="none"/>
        </w:rPr>
      </w:pPr>
      <w:bookmarkStart w:id="628" w:name="_Toc316896755"/>
      <w:bookmarkStart w:id="629" w:name="_Toc326768876"/>
      <w:bookmarkStart w:id="630" w:name="_Toc311032584"/>
    </w:p>
    <w:p w14:paraId="1CAA54D6">
      <w:pPr>
        <w:rPr>
          <w:rFonts w:hint="eastAsia" w:ascii="宋体" w:hAnsi="宋体" w:eastAsia="宋体" w:cs="宋体"/>
          <w:b/>
          <w:color w:val="auto"/>
          <w:kern w:val="44"/>
          <w:sz w:val="32"/>
          <w:szCs w:val="32"/>
          <w:highlight w:val="none"/>
        </w:rPr>
      </w:pPr>
      <w:bookmarkStart w:id="631" w:name="_Toc102860413"/>
      <w:bookmarkStart w:id="632" w:name="_Toc102860069"/>
      <w:bookmarkStart w:id="633" w:name="_Toc29910"/>
      <w:bookmarkStart w:id="634" w:name="_Toc140596923"/>
      <w:bookmarkStart w:id="635" w:name="_Toc5075"/>
      <w:bookmarkStart w:id="636" w:name="_Toc82182546"/>
      <w:bookmarkStart w:id="637" w:name="_Toc94107204"/>
      <w:bookmarkStart w:id="638" w:name="_Toc24336"/>
      <w:bookmarkStart w:id="639" w:name="_Toc104991870"/>
      <w:bookmarkStart w:id="640" w:name="_Toc86764083"/>
      <w:bookmarkStart w:id="641" w:name="_Toc142508364"/>
      <w:bookmarkStart w:id="642" w:name="_Toc1977723"/>
      <w:bookmarkStart w:id="643" w:name="_Toc7024_WPSOffice_Level2"/>
      <w:bookmarkStart w:id="644" w:name="_Toc486167711"/>
      <w:bookmarkStart w:id="645" w:name="_Toc533708123"/>
      <w:r>
        <w:rPr>
          <w:rFonts w:hint="eastAsia" w:ascii="宋体" w:hAnsi="宋体" w:eastAsia="宋体" w:cs="宋体"/>
          <w:b/>
          <w:color w:val="auto"/>
          <w:kern w:val="44"/>
          <w:sz w:val="32"/>
          <w:szCs w:val="32"/>
          <w:highlight w:val="none"/>
        </w:rPr>
        <w:br w:type="page"/>
      </w:r>
    </w:p>
    <w:p w14:paraId="3146F125">
      <w:pPr>
        <w:pageBreakBefore/>
        <w:autoSpaceDE w:val="0"/>
        <w:autoSpaceDN w:val="0"/>
        <w:adjustRightInd w:val="0"/>
        <w:spacing w:line="360" w:lineRule="auto"/>
        <w:jc w:val="left"/>
        <w:outlineLvl w:val="2"/>
        <w:rPr>
          <w:rFonts w:ascii="宋体" w:hAnsi="宋体" w:eastAsia="宋体" w:cs="宋体"/>
          <w:b/>
          <w:color w:val="auto"/>
          <w:kern w:val="44"/>
          <w:sz w:val="32"/>
          <w:szCs w:val="32"/>
          <w:highlight w:val="none"/>
        </w:rPr>
      </w:pPr>
      <w:bookmarkStart w:id="646" w:name="_Toc15014"/>
      <w:bookmarkStart w:id="647" w:name="_Toc17353"/>
      <w:bookmarkStart w:id="648" w:name="_Toc29720"/>
      <w:r>
        <w:rPr>
          <w:rFonts w:hint="eastAsia" w:ascii="宋体" w:hAnsi="宋体" w:eastAsia="宋体" w:cs="宋体"/>
          <w:b/>
          <w:color w:val="auto"/>
          <w:kern w:val="44"/>
          <w:sz w:val="32"/>
          <w:szCs w:val="32"/>
          <w:highlight w:val="none"/>
          <w:lang w:val="en-US" w:eastAsia="zh-CN"/>
        </w:rPr>
        <w:t>三、</w:t>
      </w:r>
      <w:r>
        <w:rPr>
          <w:rFonts w:hint="eastAsia" w:ascii="宋体" w:hAnsi="宋体" w:eastAsia="宋体" w:cs="宋体"/>
          <w:b/>
          <w:color w:val="auto"/>
          <w:kern w:val="44"/>
          <w:sz w:val="32"/>
          <w:szCs w:val="32"/>
          <w:highlight w:val="none"/>
        </w:rPr>
        <w:t>供货及/或提供服务过程承诺函格式</w:t>
      </w:r>
      <w:bookmarkEnd w:id="631"/>
      <w:bookmarkEnd w:id="632"/>
      <w:bookmarkEnd w:id="633"/>
      <w:bookmarkEnd w:id="634"/>
      <w:bookmarkEnd w:id="635"/>
      <w:bookmarkEnd w:id="636"/>
      <w:bookmarkEnd w:id="637"/>
      <w:bookmarkEnd w:id="638"/>
      <w:bookmarkEnd w:id="639"/>
      <w:bookmarkEnd w:id="640"/>
      <w:bookmarkEnd w:id="641"/>
      <w:bookmarkEnd w:id="646"/>
      <w:bookmarkEnd w:id="647"/>
      <w:bookmarkEnd w:id="648"/>
    </w:p>
    <w:p w14:paraId="5587CEBB">
      <w:pPr>
        <w:autoSpaceDE w:val="0"/>
        <w:autoSpaceDN w:val="0"/>
        <w:adjustRightInd w:val="0"/>
        <w:spacing w:line="360" w:lineRule="auto"/>
        <w:jc w:val="center"/>
        <w:rPr>
          <w:rFonts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27B70704">
      <w:pPr>
        <w:autoSpaceDE w:val="0"/>
        <w:autoSpaceDN w:val="0"/>
        <w:adjustRightInd w:val="0"/>
        <w:spacing w:line="360" w:lineRule="auto"/>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lang w:eastAsia="zh-CN"/>
        </w:rPr>
        <w:t>东莞市水务集团建设管理有限公司</w:t>
      </w:r>
      <w:r>
        <w:rPr>
          <w:rFonts w:hint="eastAsia" w:ascii="宋体" w:hAnsi="宋体" w:eastAsia="宋体" w:cs="宋体"/>
          <w:color w:val="auto"/>
          <w:kern w:val="0"/>
          <w:szCs w:val="21"/>
          <w:highlight w:val="none"/>
        </w:rPr>
        <w:t>：</w:t>
      </w:r>
    </w:p>
    <w:p w14:paraId="597FBA3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Times New Roman"/>
          <w:color w:val="auto"/>
          <w:kern w:val="0"/>
          <w:szCs w:val="21"/>
          <w:highlight w:val="none"/>
          <w:lang w:eastAsia="zh-CN"/>
        </w:rPr>
        <w:t>珠三角水资源配置工程东莞配套芦花坑水厂一期配水管线工程-B标段第三方检测服务采购项目</w:t>
      </w:r>
      <w:r>
        <w:rPr>
          <w:rFonts w:hint="eastAsia" w:ascii="宋体" w:hAnsi="宋体" w:eastAsia="宋体" w:cs="宋体"/>
          <w:color w:val="auto"/>
          <w:kern w:val="0"/>
          <w:szCs w:val="21"/>
          <w:highlight w:val="none"/>
        </w:rPr>
        <w:t>(招标编号：</w:t>
      </w:r>
      <w:r>
        <w:rPr>
          <w:rFonts w:hint="eastAsia" w:ascii="宋体" w:hAnsi="宋体" w:eastAsia="宋体" w:cs="Times New Roman"/>
          <w:color w:val="auto"/>
          <w:szCs w:val="21"/>
          <w:highlight w:val="none"/>
          <w:lang w:val="zh-CN"/>
        </w:rPr>
        <w:t>DGDS2025-002</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5685F6AD">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1F877AF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6BD3CB3A">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1FA21DF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736421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78074F8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19521D3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5AEFB29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5DE96E1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5B4F9D51">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65AD698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2B01CE9F">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4BF6DA2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260F2F1E">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3F05A4F3">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25D2036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5720D212">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485D56D0">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650A54B6">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6F557B17">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13、我方承诺接受招标人的检查与监督，并主动配合，做好安全工作，凡有违反上述条款的即视为我方违约，招标人有权从货物/服务价款中扣除</w:t>
      </w:r>
      <w:r>
        <w:rPr>
          <w:rFonts w:hint="eastAsia" w:ascii="宋体" w:hAnsi="宋体" w:eastAsia="宋体" w:cs="宋体"/>
          <w:color w:val="auto"/>
          <w:kern w:val="0"/>
          <w:szCs w:val="21"/>
          <w:highlight w:val="none"/>
          <w:lang w:val="en-US" w:eastAsia="zh-CN"/>
        </w:rPr>
        <w:t>2000</w:t>
      </w:r>
      <w:r>
        <w:rPr>
          <w:rFonts w:hint="eastAsia" w:ascii="宋体" w:hAnsi="宋体" w:eastAsia="宋体" w:cs="宋体"/>
          <w:color w:val="auto"/>
          <w:kern w:val="0"/>
          <w:szCs w:val="21"/>
          <w:highlight w:val="none"/>
        </w:rPr>
        <w:t>元/次作为违约金。</w:t>
      </w:r>
    </w:p>
    <w:p w14:paraId="39355EFB">
      <w:pPr>
        <w:autoSpaceDE w:val="0"/>
        <w:autoSpaceDN w:val="0"/>
        <w:adjustRightInd w:val="0"/>
        <w:spacing w:line="360" w:lineRule="auto"/>
        <w:ind w:firstLine="420" w:firstLineChars="20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6AA79AFF">
      <w:pPr>
        <w:autoSpaceDE w:val="0"/>
        <w:autoSpaceDN w:val="0"/>
        <w:adjustRightInd w:val="0"/>
        <w:spacing w:line="360" w:lineRule="auto"/>
        <w:ind w:firstLine="504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0BAB1A83">
      <w:pPr>
        <w:autoSpaceDE w:val="0"/>
        <w:autoSpaceDN w:val="0"/>
        <w:adjustRightInd w:val="0"/>
        <w:spacing w:line="360" w:lineRule="auto"/>
        <w:ind w:firstLine="5040"/>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7BED0266">
      <w:pPr>
        <w:autoSpaceDE w:val="0"/>
        <w:autoSpaceDN w:val="0"/>
        <w:adjustRightInd w:val="0"/>
        <w:spacing w:line="360" w:lineRule="auto"/>
        <w:ind w:firstLine="504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3C8A57DA">
      <w:pPr>
        <w:autoSpaceDE w:val="0"/>
        <w:autoSpaceDN w:val="0"/>
        <w:adjustRightInd w:val="0"/>
        <w:spacing w:line="360" w:lineRule="auto"/>
        <w:ind w:right="420" w:firstLine="5040" w:firstLineChars="2400"/>
        <w:jc w:val="left"/>
        <w:rPr>
          <w:rFonts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11F399E5">
      <w:pPr>
        <w:pageBreakBefore/>
        <w:autoSpaceDE w:val="0"/>
        <w:autoSpaceDN w:val="0"/>
        <w:adjustRightInd w:val="0"/>
        <w:spacing w:line="360" w:lineRule="auto"/>
        <w:jc w:val="left"/>
        <w:outlineLvl w:val="2"/>
        <w:rPr>
          <w:rFonts w:ascii="宋体" w:hAnsi="宋体" w:eastAsia="宋体" w:cs="宋体"/>
          <w:b/>
          <w:color w:val="auto"/>
          <w:kern w:val="0"/>
          <w:sz w:val="32"/>
          <w:szCs w:val="32"/>
          <w:highlight w:val="none"/>
        </w:rPr>
      </w:pPr>
      <w:bookmarkStart w:id="649" w:name="_Toc140596925"/>
      <w:bookmarkStart w:id="650" w:name="_Toc94107206"/>
      <w:bookmarkStart w:id="651" w:name="_Toc1140"/>
      <w:bookmarkStart w:id="652" w:name="_Toc13416"/>
      <w:bookmarkStart w:id="653" w:name="_Toc102860415"/>
      <w:bookmarkStart w:id="654" w:name="_Toc28015"/>
      <w:bookmarkStart w:id="655" w:name="_Toc104991872"/>
      <w:bookmarkStart w:id="656" w:name="_Toc142508366"/>
      <w:bookmarkStart w:id="657" w:name="_Toc102860071"/>
      <w:bookmarkStart w:id="658" w:name="_Toc18346"/>
      <w:bookmarkStart w:id="659" w:name="_Toc22049"/>
      <w:bookmarkStart w:id="660" w:name="_Toc8298"/>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642"/>
      <w:bookmarkEnd w:id="643"/>
      <w:bookmarkEnd w:id="644"/>
      <w:bookmarkEnd w:id="645"/>
      <w:bookmarkEnd w:id="649"/>
      <w:bookmarkEnd w:id="650"/>
      <w:bookmarkEnd w:id="651"/>
      <w:bookmarkEnd w:id="652"/>
      <w:bookmarkEnd w:id="653"/>
      <w:bookmarkEnd w:id="654"/>
      <w:bookmarkEnd w:id="655"/>
      <w:bookmarkEnd w:id="656"/>
      <w:bookmarkEnd w:id="657"/>
      <w:bookmarkEnd w:id="658"/>
      <w:bookmarkEnd w:id="659"/>
      <w:bookmarkEnd w:id="660"/>
    </w:p>
    <w:p w14:paraId="4574B312">
      <w:pPr>
        <w:spacing w:line="360" w:lineRule="auto"/>
        <w:jc w:val="center"/>
        <w:rPr>
          <w:rFonts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4AB7F56B">
      <w:pPr>
        <w:spacing w:line="360" w:lineRule="auto"/>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lang w:eastAsia="zh-CN"/>
        </w:rPr>
        <w:t>珠三角水资源配置工程东莞配套芦花坑水厂一期配水管线工程-B标段第三方检测服务采购项目</w:t>
      </w:r>
    </w:p>
    <w:p w14:paraId="13A6CE73">
      <w:pPr>
        <w:spacing w:line="360" w:lineRule="auto"/>
        <w:rPr>
          <w:rFonts w:hint="eastAsia" w:ascii="宋体" w:hAnsi="宋体" w:eastAsia="宋体" w:cs="宋体"/>
          <w:color w:val="auto"/>
          <w:kern w:val="0"/>
          <w:szCs w:val="21"/>
          <w:highlight w:val="none"/>
          <w:u w:val="single"/>
          <w:lang w:eastAsia="zh-CN"/>
        </w:rPr>
      </w:pPr>
      <w:r>
        <w:rPr>
          <w:rFonts w:hint="eastAsia" w:ascii="宋体" w:hAnsi="宋体" w:eastAsia="宋体" w:cs="宋体"/>
          <w:b/>
          <w:color w:val="auto"/>
          <w:kern w:val="0"/>
          <w:szCs w:val="21"/>
          <w:highlight w:val="none"/>
        </w:rPr>
        <w:t>招标编号：</w:t>
      </w:r>
      <w:r>
        <w:rPr>
          <w:rFonts w:hint="eastAsia" w:ascii="宋体" w:hAnsi="宋体" w:eastAsia="宋体" w:cs="宋体"/>
          <w:color w:val="auto"/>
          <w:kern w:val="0"/>
          <w:szCs w:val="21"/>
          <w:highlight w:val="none"/>
          <w:u w:val="single"/>
          <w:lang w:eastAsia="zh-CN"/>
        </w:rPr>
        <w:t>DGDS2025-002</w:t>
      </w:r>
    </w:p>
    <w:tbl>
      <w:tblPr>
        <w:tblStyle w:val="36"/>
        <w:tblW w:w="103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6"/>
        <w:gridCol w:w="4729"/>
        <w:gridCol w:w="3273"/>
        <w:gridCol w:w="1332"/>
      </w:tblGrid>
      <w:tr w14:paraId="5C7BD3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1036" w:type="dxa"/>
            <w:tcBorders>
              <w:top w:val="single" w:color="auto" w:sz="4" w:space="0"/>
              <w:left w:val="single" w:color="auto" w:sz="4" w:space="0"/>
              <w:bottom w:val="single" w:color="auto" w:sz="4" w:space="0"/>
              <w:right w:val="single" w:color="auto" w:sz="4" w:space="0"/>
            </w:tcBorders>
            <w:vAlign w:val="center"/>
          </w:tcPr>
          <w:p w14:paraId="1A18E47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序号</w:t>
            </w:r>
          </w:p>
        </w:tc>
        <w:tc>
          <w:tcPr>
            <w:tcW w:w="4729" w:type="dxa"/>
            <w:tcBorders>
              <w:top w:val="single" w:color="auto" w:sz="4" w:space="0"/>
              <w:left w:val="single" w:color="auto" w:sz="4" w:space="0"/>
              <w:bottom w:val="single" w:color="auto" w:sz="4" w:space="0"/>
              <w:right w:val="single" w:color="auto" w:sz="4" w:space="0"/>
            </w:tcBorders>
            <w:vAlign w:val="center"/>
          </w:tcPr>
          <w:p w14:paraId="2C6B3970">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名称</w:t>
            </w:r>
          </w:p>
        </w:tc>
        <w:tc>
          <w:tcPr>
            <w:tcW w:w="3273" w:type="dxa"/>
            <w:tcBorders>
              <w:top w:val="single" w:color="auto" w:sz="4" w:space="0"/>
              <w:left w:val="single" w:color="auto" w:sz="4" w:space="0"/>
              <w:bottom w:val="single" w:color="auto" w:sz="4" w:space="0"/>
              <w:right w:val="single" w:color="auto" w:sz="4" w:space="0"/>
            </w:tcBorders>
            <w:vAlign w:val="center"/>
          </w:tcPr>
          <w:p w14:paraId="7C07D0F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检测服务系数</w:t>
            </w:r>
          </w:p>
        </w:tc>
        <w:tc>
          <w:tcPr>
            <w:tcW w:w="1332" w:type="dxa"/>
            <w:tcBorders>
              <w:top w:val="single" w:color="auto" w:sz="4" w:space="0"/>
              <w:left w:val="single" w:color="auto" w:sz="4" w:space="0"/>
              <w:bottom w:val="single" w:color="auto" w:sz="4" w:space="0"/>
              <w:right w:val="single" w:color="auto" w:sz="4" w:space="0"/>
            </w:tcBorders>
            <w:vAlign w:val="center"/>
          </w:tcPr>
          <w:p w14:paraId="2985B19A">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Times New Roman"/>
                <w:b/>
                <w:color w:val="auto"/>
                <w:kern w:val="0"/>
                <w:szCs w:val="21"/>
                <w:highlight w:val="none"/>
              </w:rPr>
              <w:t>备注</w:t>
            </w:r>
          </w:p>
        </w:tc>
      </w:tr>
      <w:tr w14:paraId="41C47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36" w:type="dxa"/>
            <w:tcBorders>
              <w:top w:val="single" w:color="auto" w:sz="4" w:space="0"/>
              <w:left w:val="single" w:color="auto" w:sz="4" w:space="0"/>
              <w:right w:val="single" w:color="auto" w:sz="4" w:space="0"/>
            </w:tcBorders>
            <w:vAlign w:val="center"/>
          </w:tcPr>
          <w:p w14:paraId="4E5AF503">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4729" w:type="dxa"/>
            <w:tcBorders>
              <w:top w:val="single" w:color="auto" w:sz="4" w:space="0"/>
              <w:left w:val="single" w:color="auto" w:sz="4" w:space="0"/>
              <w:right w:val="single" w:color="auto" w:sz="4" w:space="0"/>
            </w:tcBorders>
            <w:vAlign w:val="center"/>
          </w:tcPr>
          <w:p w14:paraId="640B8484">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r>
              <w:rPr>
                <w:rFonts w:hint="eastAsia" w:ascii="宋体" w:hAnsi="宋体" w:eastAsia="宋体" w:cs="Times New Roman"/>
                <w:color w:val="auto"/>
                <w:szCs w:val="21"/>
                <w:highlight w:val="none"/>
                <w:lang w:val="zh-CN"/>
              </w:rPr>
              <w:t>珠三角水资源配置工程东莞配套芦花坑水厂一期配水管线工程-B标段第三方检测服务采购项目</w:t>
            </w:r>
          </w:p>
        </w:tc>
        <w:tc>
          <w:tcPr>
            <w:tcW w:w="3273" w:type="dxa"/>
            <w:tcBorders>
              <w:top w:val="single" w:color="auto" w:sz="4" w:space="0"/>
              <w:left w:val="single" w:color="auto" w:sz="4" w:space="0"/>
              <w:right w:val="single" w:color="auto" w:sz="4" w:space="0"/>
            </w:tcBorders>
            <w:vAlign w:val="center"/>
          </w:tcPr>
          <w:p w14:paraId="5EE9C281">
            <w:pPr>
              <w:keepNext w:val="0"/>
              <w:keepLines w:val="0"/>
              <w:suppressLineNumbers w:val="0"/>
              <w:spacing w:before="0" w:beforeAutospacing="0" w:after="0" w:afterAutospacing="0" w:line="360" w:lineRule="auto"/>
              <w:ind w:left="0" w:right="0"/>
              <w:jc w:val="both"/>
              <w:rPr>
                <w:rFonts w:hint="default" w:ascii="宋体" w:hAnsi="宋体" w:eastAsia="宋体" w:cs="Times New Roman"/>
                <w:color w:val="auto"/>
                <w:kern w:val="0"/>
                <w:szCs w:val="21"/>
                <w:highlight w:val="none"/>
              </w:rPr>
            </w:pPr>
            <w:r>
              <w:rPr>
                <w:rFonts w:hint="eastAsia" w:ascii="宋体" w:hAnsi="宋体" w:eastAsia="宋体" w:cs="Times New Roman"/>
                <w:color w:val="auto"/>
                <w:kern w:val="0"/>
                <w:sz w:val="21"/>
                <w:szCs w:val="21"/>
                <w:highlight w:val="none"/>
                <w:u w:val="single"/>
                <w:lang w:val="en-US" w:eastAsia="zh-CN" w:bidi="ar"/>
              </w:rPr>
              <w:t xml:space="preserve">                             </w:t>
            </w:r>
          </w:p>
        </w:tc>
        <w:tc>
          <w:tcPr>
            <w:tcW w:w="1332" w:type="dxa"/>
            <w:tcBorders>
              <w:top w:val="single" w:color="auto" w:sz="4" w:space="0"/>
              <w:left w:val="single" w:color="auto" w:sz="4" w:space="0"/>
              <w:right w:val="single" w:color="auto" w:sz="4" w:space="0"/>
            </w:tcBorders>
            <w:vAlign w:val="center"/>
          </w:tcPr>
          <w:p w14:paraId="1CB9E98D">
            <w:pPr>
              <w:keepNext w:val="0"/>
              <w:keepLines w:val="0"/>
              <w:suppressLineNumbers w:val="0"/>
              <w:tabs>
                <w:tab w:val="left" w:pos="8610"/>
              </w:tabs>
              <w:spacing w:before="0" w:beforeAutospacing="0" w:after="0" w:afterAutospacing="0" w:line="360" w:lineRule="auto"/>
              <w:ind w:left="0" w:right="0"/>
              <w:jc w:val="center"/>
              <w:rPr>
                <w:rFonts w:hint="default" w:ascii="宋体" w:hAnsi="宋体" w:eastAsia="宋体" w:cs="Times New Roman"/>
                <w:color w:val="auto"/>
                <w:kern w:val="0"/>
                <w:szCs w:val="21"/>
                <w:highlight w:val="none"/>
              </w:rPr>
            </w:pPr>
          </w:p>
        </w:tc>
      </w:tr>
    </w:tbl>
    <w:p w14:paraId="133816A6">
      <w:pPr>
        <w:rPr>
          <w:rFonts w:ascii="宋体" w:hAnsi="宋体" w:eastAsia="宋体" w:cs="宋体"/>
          <w:color w:val="auto"/>
          <w:kern w:val="0"/>
          <w:sz w:val="20"/>
          <w:szCs w:val="21"/>
          <w:highlight w:val="none"/>
        </w:rPr>
      </w:pPr>
    </w:p>
    <w:p w14:paraId="09A7BC40">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71683A5F">
      <w:pPr>
        <w:numPr>
          <w:ilvl w:val="0"/>
          <w:numId w:val="0"/>
        </w:numPr>
        <w:autoSpaceDE w:val="0"/>
        <w:autoSpaceDN w:val="0"/>
        <w:adjustRightInd w:val="0"/>
        <w:spacing w:line="360" w:lineRule="auto"/>
        <w:ind w:left="357" w:leftChars="-100" w:hanging="567" w:firstLineChars="0"/>
        <w:rPr>
          <w:rFonts w:hint="eastAsia" w:ascii="宋体" w:hAnsi="宋体" w:eastAsia="宋体" w:cs="Times New Roman"/>
          <w:color w:val="auto"/>
          <w:szCs w:val="21"/>
          <w:highlight w:val="none"/>
          <w:lang w:val="zh-CN"/>
        </w:rPr>
      </w:pPr>
      <w:r>
        <w:rPr>
          <w:rFonts w:hint="eastAsia" w:ascii="宋体" w:hAnsi="宋体" w:eastAsia="宋体" w:cs="Times New Roman"/>
          <w:color w:val="auto"/>
          <w:kern w:val="2"/>
          <w:sz w:val="21"/>
          <w:szCs w:val="21"/>
          <w:highlight w:val="none"/>
          <w:lang w:val="zh-CN" w:eastAsia="zh-CN" w:bidi="ar-SA"/>
        </w:rPr>
        <w:t>（1）</w:t>
      </w:r>
      <w:r>
        <w:rPr>
          <w:rFonts w:hint="eastAsia" w:ascii="宋体" w:hAnsi="宋体" w:eastAsia="宋体" w:cs="宋体"/>
          <w:color w:val="auto"/>
          <w:szCs w:val="21"/>
          <w:highlight w:val="none"/>
          <w:lang w:val="zh-CN"/>
        </w:rPr>
        <w:t>本项目的投标报价采用检测服务系数报价，合同履约过程中，工程量清单计价表中检测项目</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不含税综合单价按以下方式计算：</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不含税综合单价=不含税综合单价×</w:t>
      </w:r>
      <w:r>
        <w:rPr>
          <w:rFonts w:hint="eastAsia" w:ascii="宋体" w:hAnsi="宋体" w:eastAsia="宋体" w:cs="宋体"/>
          <w:color w:val="auto"/>
          <w:szCs w:val="21"/>
          <w:highlight w:val="none"/>
          <w:lang w:val="en-US" w:eastAsia="zh-CN"/>
        </w:rPr>
        <w:t>中标</w:t>
      </w:r>
      <w:r>
        <w:rPr>
          <w:rFonts w:hint="eastAsia" w:ascii="宋体" w:hAnsi="宋体" w:eastAsia="宋体" w:cs="宋体"/>
          <w:color w:val="auto"/>
          <w:szCs w:val="21"/>
          <w:highlight w:val="none"/>
          <w:lang w:val="zh-CN"/>
        </w:rPr>
        <w:t>检测服务系数，以实际工作量进行结算，但最终结算价不得超出暂定总合同价款（含税），</w:t>
      </w:r>
      <w:r>
        <w:rPr>
          <w:rFonts w:hint="eastAsia" w:ascii="宋体" w:hAnsi="宋体" w:eastAsia="宋体" w:cs="宋体"/>
          <w:color w:val="auto"/>
          <w:szCs w:val="21"/>
          <w:highlight w:val="none"/>
          <w:lang w:val="en-US" w:eastAsia="zh-CN"/>
        </w:rPr>
        <w:t>结算</w:t>
      </w:r>
      <w:r>
        <w:rPr>
          <w:rFonts w:hint="eastAsia" w:ascii="宋体" w:hAnsi="宋体" w:eastAsia="宋体" w:cs="宋体"/>
          <w:color w:val="auto"/>
          <w:szCs w:val="21"/>
          <w:highlight w:val="none"/>
          <w:lang w:val="zh-CN"/>
        </w:rPr>
        <w:t>不含税综合单价出现小数点，保留小数点后两位，从小数点后第3位四舍五入。</w:t>
      </w:r>
      <w:r>
        <w:rPr>
          <w:rFonts w:hint="eastAsia" w:ascii="宋体" w:hAnsi="宋体" w:eastAsia="宋体" w:cs="Times New Roman"/>
          <w:color w:val="auto"/>
          <w:szCs w:val="21"/>
          <w:highlight w:val="none"/>
          <w:lang w:val="zh-CN"/>
        </w:rPr>
        <w:t>本招标文件所称的不含税</w:t>
      </w:r>
      <w:r>
        <w:rPr>
          <w:rFonts w:hint="eastAsia" w:ascii="宋体" w:hAnsi="宋体" w:eastAsia="宋体" w:cs="宋体"/>
          <w:color w:val="auto"/>
          <w:sz w:val="21"/>
          <w:szCs w:val="21"/>
          <w:highlight w:val="none"/>
        </w:rPr>
        <w:t>综合单价</w:t>
      </w:r>
      <w:r>
        <w:rPr>
          <w:rFonts w:hint="eastAsia" w:ascii="宋体" w:hAnsi="宋体" w:eastAsia="宋体" w:cs="Times New Roman"/>
          <w:color w:val="auto"/>
          <w:szCs w:val="21"/>
          <w:highlight w:val="none"/>
          <w:lang w:val="zh-CN"/>
        </w:rPr>
        <w:t>和</w:t>
      </w:r>
      <w:r>
        <w:rPr>
          <w:rFonts w:hint="eastAsia" w:ascii="宋体" w:hAnsi="宋体" w:eastAsia="宋体" w:cs="宋体"/>
          <w:color w:val="auto"/>
          <w:szCs w:val="21"/>
          <w:highlight w:val="none"/>
        </w:rPr>
        <w:t>暂定总合同价</w:t>
      </w:r>
      <w:r>
        <w:rPr>
          <w:rFonts w:hint="eastAsia" w:ascii="宋体" w:hAnsi="宋体" w:eastAsia="宋体" w:cs="宋体"/>
          <w:color w:val="auto"/>
          <w:szCs w:val="21"/>
          <w:highlight w:val="none"/>
          <w:lang w:val="en-US" w:eastAsia="zh-CN"/>
        </w:rPr>
        <w:t>款</w:t>
      </w:r>
      <w:r>
        <w:rPr>
          <w:rFonts w:hint="eastAsia" w:ascii="宋体" w:hAnsi="宋体" w:eastAsia="宋体" w:cs="Times New Roman"/>
          <w:color w:val="auto"/>
          <w:szCs w:val="21"/>
          <w:highlight w:val="none"/>
          <w:lang w:val="zh-CN"/>
        </w:rPr>
        <w:t>是指不含本采购项目投标人的销项税额，包含了投标人完成合同义务（含投标人代缴代扣、分包及委外服务、安装、采购货物等所产生的价税）的其他全部费用。本采购项目的销项税额由</w:t>
      </w:r>
      <w:r>
        <w:rPr>
          <w:rFonts w:hint="eastAsia" w:ascii="宋体" w:hAnsi="宋体" w:eastAsia="宋体" w:cs="宋体"/>
          <w:color w:val="auto"/>
          <w:szCs w:val="21"/>
          <w:highlight w:val="none"/>
          <w:lang w:val="zh-CN"/>
        </w:rPr>
        <w:t>项目业主或招标人</w:t>
      </w:r>
      <w:r>
        <w:rPr>
          <w:rFonts w:hint="eastAsia" w:ascii="宋体" w:hAnsi="宋体" w:eastAsia="宋体" w:cs="Times New Roman"/>
          <w:color w:val="auto"/>
          <w:szCs w:val="21"/>
          <w:highlight w:val="none"/>
          <w:lang w:val="zh-CN"/>
        </w:rPr>
        <w:t>承担，不计入投标报价。</w:t>
      </w:r>
    </w:p>
    <w:p w14:paraId="7CE1DA6D">
      <w:pPr>
        <w:numPr>
          <w:ilvl w:val="0"/>
          <w:numId w:val="0"/>
        </w:numPr>
        <w:autoSpaceDE w:val="0"/>
        <w:autoSpaceDN w:val="0"/>
        <w:adjustRightInd w:val="0"/>
        <w:spacing w:line="360" w:lineRule="auto"/>
        <w:ind w:left="357" w:leftChars="-100" w:hanging="567" w:firstLineChars="0"/>
        <w:rPr>
          <w:rFonts w:hint="eastAsia" w:ascii="宋体" w:hAnsi="宋体" w:eastAsia="宋体" w:cs="Times New Roman"/>
          <w:b/>
          <w:bCs/>
          <w:color w:val="auto"/>
          <w:kern w:val="0"/>
          <w:szCs w:val="21"/>
          <w:highlight w:val="none"/>
        </w:rPr>
      </w:pPr>
      <w:r>
        <w:rPr>
          <w:rFonts w:ascii="宋体" w:hAnsi="宋体" w:eastAsia="宋体" w:cs="Times New Roman"/>
          <w:b/>
          <w:bCs/>
          <w:color w:val="auto"/>
          <w:kern w:val="0"/>
          <w:sz w:val="21"/>
          <w:szCs w:val="21"/>
          <w:highlight w:val="none"/>
          <w:lang w:val="en-US" w:eastAsia="zh-CN" w:bidi="ar-SA"/>
        </w:rPr>
        <w:t>（2）</w:t>
      </w:r>
      <w:r>
        <w:rPr>
          <w:rFonts w:hint="eastAsia" w:ascii="宋体" w:hAnsi="宋体" w:eastAsia="宋体" w:cs="Times New Roman"/>
          <w:b/>
          <w:bCs/>
          <w:color w:val="auto"/>
          <w:szCs w:val="21"/>
          <w:highlight w:val="none"/>
          <w:u w:val="single"/>
        </w:rPr>
        <w:t>投标人</w:t>
      </w:r>
      <w:r>
        <w:rPr>
          <w:rFonts w:hint="eastAsia" w:ascii="宋体" w:hAnsi="宋体" w:eastAsia="宋体" w:cs="Times New Roman"/>
          <w:b/>
          <w:bCs/>
          <w:color w:val="auto"/>
          <w:szCs w:val="21"/>
          <w:highlight w:val="none"/>
          <w:u w:val="single"/>
          <w:lang w:val="en-US" w:eastAsia="zh-CN"/>
        </w:rPr>
        <w:t>检测</w:t>
      </w:r>
      <w:r>
        <w:rPr>
          <w:rFonts w:hint="eastAsia" w:ascii="宋体" w:hAnsi="宋体" w:eastAsia="宋体" w:cs="Times New Roman"/>
          <w:b/>
          <w:bCs/>
          <w:color w:val="auto"/>
          <w:szCs w:val="21"/>
          <w:highlight w:val="none"/>
          <w:u w:val="single"/>
        </w:rPr>
        <w:t>服务系数报价</w:t>
      </w:r>
      <w:r>
        <w:rPr>
          <w:rFonts w:hint="eastAsia" w:ascii="宋体" w:hAnsi="宋体" w:eastAsia="宋体" w:cs="Times New Roman"/>
          <w:b/>
          <w:bCs/>
          <w:color w:val="auto"/>
          <w:szCs w:val="21"/>
          <w:highlight w:val="none"/>
          <w:u w:val="single"/>
          <w:lang w:val="en-US" w:eastAsia="zh-CN"/>
        </w:rPr>
        <w:t>不得超过0.80</w:t>
      </w:r>
      <w:r>
        <w:rPr>
          <w:rFonts w:hint="eastAsia" w:ascii="宋体" w:hAnsi="宋体" w:eastAsia="宋体" w:cs="Times New Roman"/>
          <w:b/>
          <w:bCs/>
          <w:color w:val="auto"/>
          <w:szCs w:val="21"/>
          <w:highlight w:val="none"/>
          <w:u w:val="single"/>
          <w:lang w:eastAsia="zh-CN"/>
        </w:rPr>
        <w:t>，</w:t>
      </w:r>
      <w:r>
        <w:rPr>
          <w:rFonts w:hint="eastAsia" w:ascii="宋体" w:hAnsi="宋体" w:eastAsia="宋体" w:cs="Times New Roman"/>
          <w:b/>
          <w:bCs/>
          <w:color w:val="auto"/>
          <w:szCs w:val="21"/>
          <w:highlight w:val="none"/>
          <w:u w:val="single"/>
        </w:rPr>
        <w:t>且不能为</w:t>
      </w:r>
      <w:r>
        <w:rPr>
          <w:rFonts w:hint="eastAsia" w:ascii="宋体" w:hAnsi="宋体" w:eastAsia="宋体" w:cs="Times New Roman"/>
          <w:b/>
          <w:bCs/>
          <w:color w:val="auto"/>
          <w:szCs w:val="21"/>
          <w:highlight w:val="none"/>
          <w:u w:val="single"/>
          <w:lang w:val="en-US" w:eastAsia="zh-CN"/>
        </w:rPr>
        <w:t>0.00或</w:t>
      </w:r>
      <w:r>
        <w:rPr>
          <w:rFonts w:hint="eastAsia" w:ascii="宋体" w:hAnsi="宋体" w:eastAsia="宋体" w:cs="Times New Roman"/>
          <w:b/>
          <w:bCs/>
          <w:color w:val="auto"/>
          <w:szCs w:val="21"/>
          <w:highlight w:val="none"/>
          <w:u w:val="single"/>
        </w:rPr>
        <w:t>负数，投标人未按招标文件要求进行检测服务系数报价的，将被视为无效投标</w:t>
      </w: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szCs w:val="21"/>
          <w:highlight w:val="none"/>
          <w:u w:val="single"/>
          <w:lang w:val="en-US" w:eastAsia="zh-CN"/>
        </w:rPr>
        <w:t>检测</w:t>
      </w:r>
      <w:r>
        <w:rPr>
          <w:rFonts w:hint="eastAsia" w:ascii="宋体" w:hAnsi="宋体" w:eastAsia="宋体" w:cs="Times New Roman"/>
          <w:b/>
          <w:bCs/>
          <w:color w:val="auto"/>
          <w:szCs w:val="21"/>
          <w:highlight w:val="none"/>
          <w:u w:val="single"/>
        </w:rPr>
        <w:t>服务系数报价保留小数点后两位</w:t>
      </w:r>
      <w:r>
        <w:rPr>
          <w:rFonts w:hint="eastAsia" w:ascii="宋体" w:hAnsi="宋体" w:eastAsia="宋体" w:cs="Times New Roman"/>
          <w:b/>
          <w:bCs/>
          <w:color w:val="auto"/>
          <w:szCs w:val="21"/>
          <w:highlight w:val="none"/>
          <w:u w:val="single"/>
          <w:lang w:eastAsia="zh-CN"/>
        </w:rPr>
        <w:t>，</w:t>
      </w:r>
      <w:r>
        <w:rPr>
          <w:rFonts w:hint="eastAsia" w:ascii="宋体" w:hAnsi="宋体" w:eastAsia="宋体" w:cs="Times New Roman"/>
          <w:b/>
          <w:bCs/>
          <w:color w:val="auto"/>
          <w:szCs w:val="21"/>
          <w:highlight w:val="none"/>
          <w:u w:val="single"/>
        </w:rPr>
        <w:t>否则评标委员会按去“尾”或补“零”的方式进行修正为保留小数点后两位，投标人须接受被修正后的报价(例:如检测服务系数为0.789，则被修正为0.78;如检测服务系数为0.7，则被修正为0.70)。</w:t>
      </w:r>
    </w:p>
    <w:p w14:paraId="090FC4B8">
      <w:pPr>
        <w:numPr>
          <w:ilvl w:val="0"/>
          <w:numId w:val="0"/>
        </w:numPr>
        <w:autoSpaceDE w:val="0"/>
        <w:autoSpaceDN w:val="0"/>
        <w:adjustRightInd w:val="0"/>
        <w:spacing w:line="360" w:lineRule="auto"/>
        <w:ind w:left="357" w:leftChars="-100" w:hanging="567" w:firstLineChars="0"/>
        <w:rPr>
          <w:rFonts w:ascii="宋体" w:hAnsi="宋体" w:eastAsia="宋体" w:cs="Times New Roman"/>
          <w:b/>
          <w:bCs/>
          <w:color w:val="auto"/>
          <w:kern w:val="0"/>
          <w:szCs w:val="21"/>
          <w:highlight w:val="none"/>
          <w:lang w:val="zh-CN"/>
        </w:rPr>
      </w:pPr>
      <w:r>
        <w:rPr>
          <w:rFonts w:hint="eastAsia" w:ascii="宋体" w:hAnsi="宋体" w:eastAsia="宋体" w:cs="Times New Roman"/>
          <w:color w:val="auto"/>
          <w:kern w:val="0"/>
          <w:szCs w:val="21"/>
          <w:highlight w:val="none"/>
        </w:rPr>
        <w:t>（</w:t>
      </w:r>
      <w:r>
        <w:rPr>
          <w:rFonts w:hint="eastAsia" w:ascii="宋体" w:hAnsi="宋体" w:eastAsia="宋体" w:cs="Times New Roman"/>
          <w:color w:val="auto"/>
          <w:kern w:val="0"/>
          <w:szCs w:val="21"/>
          <w:highlight w:val="none"/>
          <w:lang w:val="en-US" w:eastAsia="zh-CN"/>
        </w:rPr>
        <w:t>3</w:t>
      </w:r>
      <w:r>
        <w:rPr>
          <w:rFonts w:hint="eastAsia" w:ascii="宋体" w:hAnsi="宋体" w:eastAsia="宋体" w:cs="Times New Roman"/>
          <w:color w:val="auto"/>
          <w:kern w:val="0"/>
          <w:szCs w:val="21"/>
          <w:highlight w:val="none"/>
        </w:rPr>
        <w:t>）</w:t>
      </w:r>
      <w:r>
        <w:rPr>
          <w:rFonts w:hint="eastAsia" w:ascii="宋体" w:hAnsi="宋体" w:eastAsia="宋体" w:cs="Times New Roman"/>
          <w:b/>
          <w:bCs/>
          <w:color w:val="auto"/>
          <w:kern w:val="0"/>
          <w:szCs w:val="21"/>
          <w:highlight w:val="none"/>
          <w:u w:val="single"/>
          <w:lang w:val="zh-CN"/>
        </w:rPr>
        <w:t>本表一式二份，一份随唱标信封一起提交，一份编入投标文件商务文件</w:t>
      </w:r>
      <w:r>
        <w:rPr>
          <w:rFonts w:hint="eastAsia" w:ascii="宋体" w:hAnsi="宋体" w:eastAsia="宋体" w:cs="Times New Roman"/>
          <w:b/>
          <w:bCs/>
          <w:color w:val="auto"/>
          <w:kern w:val="0"/>
          <w:szCs w:val="21"/>
          <w:highlight w:val="none"/>
          <w:lang w:val="zh-CN"/>
        </w:rPr>
        <w:t>。</w:t>
      </w:r>
    </w:p>
    <w:p w14:paraId="46E54944">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057CAAED">
      <w:pPr>
        <w:autoSpaceDE w:val="0"/>
        <w:autoSpaceDN w:val="0"/>
        <w:adjustRightInd w:val="0"/>
        <w:spacing w:line="360" w:lineRule="auto"/>
        <w:ind w:firstLine="4960" w:firstLineChars="2362"/>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6556E662">
      <w:pPr>
        <w:autoSpaceDE w:val="0"/>
        <w:autoSpaceDN w:val="0"/>
        <w:adjustRightInd w:val="0"/>
        <w:spacing w:line="360" w:lineRule="auto"/>
        <w:ind w:firstLine="4960" w:firstLineChars="2362"/>
        <w:rPr>
          <w:rFonts w:ascii="宋体" w:hAnsi="宋体" w:eastAsia="宋体" w:cs="Times New Roman"/>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Times New Roman"/>
          <w:color w:val="auto"/>
          <w:szCs w:val="24"/>
          <w:highlight w:val="none"/>
          <w:lang w:val="zh-CN"/>
        </w:rPr>
        <w:t>期：   年   月   日</w:t>
      </w:r>
    </w:p>
    <w:p w14:paraId="29E670CA">
      <w:pPr>
        <w:widowControl w:val="0"/>
        <w:wordWrap/>
        <w:autoSpaceDE w:val="0"/>
        <w:autoSpaceDN w:val="0"/>
        <w:adjustRightInd w:val="0"/>
        <w:snapToGrid/>
        <w:spacing w:line="360" w:lineRule="auto"/>
        <w:ind w:left="0" w:leftChars="0" w:right="273" w:rightChars="130" w:firstLine="0" w:firstLineChars="0"/>
        <w:jc w:val="both"/>
        <w:textAlignment w:val="auto"/>
        <w:outlineLvl w:val="2"/>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bCs/>
          <w:color w:val="auto"/>
          <w:sz w:val="30"/>
          <w:szCs w:val="30"/>
          <w:highlight w:val="none"/>
          <w:lang w:val="zh-CN"/>
        </w:rPr>
        <w:br w:type="page"/>
      </w:r>
      <w:bookmarkStart w:id="661" w:name="_Toc1977725"/>
      <w:bookmarkStart w:id="662" w:name="_Toc102860418"/>
      <w:bookmarkStart w:id="663" w:name="_Toc142508369"/>
      <w:bookmarkStart w:id="664" w:name="_Toc102860074"/>
      <w:bookmarkStart w:id="665" w:name="_Toc94107209"/>
      <w:bookmarkStart w:id="666" w:name="_Toc6190"/>
      <w:bookmarkStart w:id="667" w:name="_Toc104991875"/>
      <w:bookmarkStart w:id="668" w:name="_Toc26516"/>
      <w:bookmarkStart w:id="669" w:name="_Toc23083"/>
      <w:bookmarkStart w:id="670" w:name="_Toc140596928"/>
      <w:bookmarkStart w:id="671" w:name="_Toc11522"/>
      <w:bookmarkStart w:id="672" w:name="_Toc7938"/>
      <w:bookmarkStart w:id="673" w:name="_Toc20759_WPSOffice_Level2"/>
      <w:bookmarkStart w:id="674" w:name="_Toc533708124"/>
      <w:bookmarkStart w:id="675" w:name="_Toc486167712"/>
      <w:r>
        <w:rPr>
          <w:rFonts w:hint="eastAsia" w:ascii="宋体" w:hAnsi="宋体" w:eastAsia="宋体" w:cs="宋体"/>
          <w:b/>
          <w:color w:val="auto"/>
          <w:kern w:val="0"/>
          <w:sz w:val="32"/>
          <w:szCs w:val="32"/>
          <w:highlight w:val="none"/>
          <w:lang w:val="en-US" w:eastAsia="zh-CN"/>
        </w:rPr>
        <w:t>五、投标人资格证明文件</w:t>
      </w:r>
      <w:bookmarkEnd w:id="661"/>
      <w:bookmarkEnd w:id="662"/>
      <w:bookmarkEnd w:id="663"/>
      <w:bookmarkEnd w:id="664"/>
      <w:bookmarkEnd w:id="665"/>
      <w:bookmarkEnd w:id="666"/>
      <w:bookmarkEnd w:id="667"/>
      <w:bookmarkEnd w:id="668"/>
      <w:bookmarkEnd w:id="669"/>
      <w:bookmarkEnd w:id="670"/>
      <w:bookmarkEnd w:id="671"/>
      <w:bookmarkEnd w:id="672"/>
    </w:p>
    <w:p w14:paraId="1D3AA6AC">
      <w:pPr>
        <w:keepNext w:val="0"/>
        <w:keepLines w:val="0"/>
        <w:tabs>
          <w:tab w:val="left" w:pos="567"/>
        </w:tabs>
        <w:kinsoku/>
        <w:wordWrap/>
        <w:overflowPunct/>
        <w:topLinePunct w:val="0"/>
        <w:autoSpaceDE w:val="0"/>
        <w:autoSpaceDN w:val="0"/>
        <w:bidi w:val="0"/>
        <w:adjustRightInd w:val="0"/>
        <w:snapToGrid/>
        <w:spacing w:line="360" w:lineRule="auto"/>
        <w:jc w:val="left"/>
        <w:outlineLvl w:val="9"/>
        <w:rPr>
          <w:rFonts w:ascii="宋体" w:hAnsi="宋体" w:eastAsia="宋体" w:cs="宋体"/>
          <w:b/>
          <w:color w:val="auto"/>
          <w:kern w:val="0"/>
          <w:sz w:val="30"/>
          <w:szCs w:val="30"/>
          <w:highlight w:val="none"/>
        </w:rPr>
      </w:pPr>
      <w:bookmarkStart w:id="676" w:name="_Toc104991876"/>
      <w:bookmarkStart w:id="677" w:name="_Toc102860075"/>
      <w:bookmarkStart w:id="678" w:name="_Toc25267"/>
      <w:bookmarkStart w:id="679" w:name="_Toc140596929"/>
      <w:bookmarkStart w:id="680" w:name="_Toc94107210"/>
      <w:bookmarkStart w:id="681" w:name="_Toc102860419"/>
      <w:bookmarkStart w:id="682" w:name="_Toc23612"/>
      <w:bookmarkStart w:id="683" w:name="_Toc29874"/>
      <w:bookmarkStart w:id="684" w:name="_Toc142508370"/>
      <w:bookmarkStart w:id="685" w:name="_Toc17358"/>
      <w:bookmarkStart w:id="686" w:name="_Toc21908"/>
      <w:bookmarkStart w:id="687"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676"/>
      <w:bookmarkEnd w:id="677"/>
      <w:bookmarkEnd w:id="678"/>
      <w:bookmarkEnd w:id="679"/>
      <w:bookmarkEnd w:id="680"/>
      <w:bookmarkEnd w:id="681"/>
      <w:bookmarkEnd w:id="682"/>
      <w:bookmarkEnd w:id="683"/>
      <w:bookmarkEnd w:id="684"/>
      <w:bookmarkEnd w:id="685"/>
      <w:bookmarkEnd w:id="686"/>
    </w:p>
    <w:p w14:paraId="31335A38">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456788F9">
      <w:pPr>
        <w:keepNext w:val="0"/>
        <w:keepLines w:val="0"/>
        <w:tabs>
          <w:tab w:val="left" w:pos="567"/>
        </w:tabs>
        <w:kinsoku/>
        <w:wordWrap/>
        <w:overflowPunct/>
        <w:topLinePunct w:val="0"/>
        <w:autoSpaceDE w:val="0"/>
        <w:autoSpaceDN w:val="0"/>
        <w:bidi w:val="0"/>
        <w:adjustRightInd w:val="0"/>
        <w:snapToGrid/>
        <w:spacing w:line="360" w:lineRule="auto"/>
        <w:ind w:firstLine="316" w:firstLineChars="150"/>
        <w:jc w:val="left"/>
        <w:outlineLvl w:val="9"/>
        <w:rPr>
          <w:rFonts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3FBA4088">
      <w:pPr>
        <w:keepNext w:val="0"/>
        <w:keepLines w:val="0"/>
        <w:tabs>
          <w:tab w:val="left" w:pos="567"/>
        </w:tabs>
        <w:kinsoku/>
        <w:wordWrap/>
        <w:overflowPunct/>
        <w:topLinePunct w:val="0"/>
        <w:autoSpaceDE w:val="0"/>
        <w:autoSpaceDN w:val="0"/>
        <w:bidi w:val="0"/>
        <w:adjustRightInd w:val="0"/>
        <w:snapToGrid/>
        <w:spacing w:line="360" w:lineRule="auto"/>
        <w:jc w:val="left"/>
        <w:outlineLvl w:val="9"/>
        <w:rPr>
          <w:rFonts w:ascii="宋体" w:hAnsi="宋体" w:eastAsia="宋体" w:cs="宋体"/>
          <w:b/>
          <w:color w:val="auto"/>
          <w:kern w:val="0"/>
          <w:sz w:val="30"/>
          <w:szCs w:val="30"/>
          <w:highlight w:val="none"/>
        </w:rPr>
      </w:pPr>
      <w:bookmarkStart w:id="688" w:name="_Toc7756"/>
      <w:bookmarkStart w:id="689" w:name="_Toc28170"/>
      <w:bookmarkStart w:id="690" w:name="_Toc142508371"/>
      <w:bookmarkStart w:id="691" w:name="_Toc104991877"/>
      <w:bookmarkStart w:id="692" w:name="_Toc27861"/>
      <w:bookmarkStart w:id="693" w:name="_Toc94107211"/>
      <w:bookmarkStart w:id="694" w:name="_Toc140596930"/>
      <w:bookmarkStart w:id="695" w:name="_Toc102860420"/>
      <w:bookmarkStart w:id="696" w:name="_Toc102860076"/>
      <w:bookmarkStart w:id="697" w:name="_Toc25013"/>
      <w:bookmarkStart w:id="698" w:name="_Toc3949"/>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688"/>
      <w:bookmarkEnd w:id="689"/>
      <w:bookmarkEnd w:id="690"/>
      <w:bookmarkEnd w:id="691"/>
      <w:bookmarkEnd w:id="692"/>
      <w:bookmarkEnd w:id="693"/>
      <w:bookmarkEnd w:id="694"/>
      <w:bookmarkEnd w:id="695"/>
      <w:bookmarkEnd w:id="696"/>
      <w:bookmarkEnd w:id="697"/>
      <w:bookmarkEnd w:id="698"/>
    </w:p>
    <w:p w14:paraId="77884176">
      <w:pPr>
        <w:keepNext w:val="0"/>
        <w:keepLines w:val="0"/>
        <w:tabs>
          <w:tab w:val="left" w:pos="567"/>
        </w:tabs>
        <w:kinsoku/>
        <w:wordWrap/>
        <w:overflowPunct/>
        <w:topLinePunct w:val="0"/>
        <w:autoSpaceDE w:val="0"/>
        <w:autoSpaceDN w:val="0"/>
        <w:bidi w:val="0"/>
        <w:adjustRightInd w:val="0"/>
        <w:snapToGrid/>
        <w:spacing w:line="360" w:lineRule="auto"/>
        <w:jc w:val="left"/>
        <w:outlineLvl w:val="9"/>
        <w:rPr>
          <w:rFonts w:ascii="宋体" w:hAnsi="宋体" w:eastAsia="宋体" w:cs="宋体"/>
          <w:b/>
          <w:color w:val="auto"/>
          <w:kern w:val="0"/>
          <w:szCs w:val="21"/>
          <w:highlight w:val="none"/>
        </w:rPr>
      </w:pPr>
      <w:r>
        <w:rPr>
          <w:rFonts w:ascii="宋体" w:hAnsi="宋体" w:eastAsia="宋体" w:cs="宋体"/>
          <w:b/>
          <w:color w:val="auto"/>
          <w:kern w:val="0"/>
          <w:sz w:val="30"/>
          <w:szCs w:val="30"/>
          <w:highlight w:val="none"/>
        </w:rPr>
        <w:br w:type="page"/>
      </w:r>
      <w:bookmarkStart w:id="699" w:name="_Toc104991878"/>
      <w:bookmarkStart w:id="700" w:name="_Toc9132"/>
      <w:bookmarkStart w:id="701" w:name="_Toc94107212"/>
      <w:bookmarkStart w:id="702" w:name="_Toc17499"/>
      <w:bookmarkStart w:id="703" w:name="_Toc102860421"/>
      <w:bookmarkStart w:id="704" w:name="_Toc7441"/>
      <w:bookmarkStart w:id="705" w:name="_Toc753"/>
      <w:bookmarkStart w:id="706" w:name="_Toc142508372"/>
      <w:bookmarkStart w:id="707" w:name="_Toc102860077"/>
      <w:bookmarkStart w:id="708" w:name="_Toc140596931"/>
      <w:bookmarkStart w:id="709" w:name="_Toc21920"/>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法定代表人身份证明书原件、法定代表人授权书原件格式（法定代表人投标时只需提供法定代表人身份证明书，委托他人为投标代表或签署投标文件时需同时提供法定代表人授权书）</w:t>
      </w:r>
      <w:bookmarkEnd w:id="699"/>
      <w:bookmarkEnd w:id="700"/>
      <w:bookmarkEnd w:id="701"/>
      <w:bookmarkEnd w:id="702"/>
      <w:bookmarkEnd w:id="703"/>
      <w:bookmarkEnd w:id="704"/>
      <w:bookmarkEnd w:id="705"/>
      <w:bookmarkEnd w:id="706"/>
      <w:bookmarkEnd w:id="707"/>
      <w:bookmarkEnd w:id="708"/>
      <w:bookmarkEnd w:id="709"/>
    </w:p>
    <w:p w14:paraId="2681AC57">
      <w:pPr>
        <w:keepNext w:val="0"/>
        <w:keepLines w:val="0"/>
        <w:kinsoku/>
        <w:wordWrap/>
        <w:overflowPunct/>
        <w:topLinePunct w:val="0"/>
        <w:bidi w:val="0"/>
        <w:snapToGrid/>
        <w:spacing w:before="120" w:after="120" w:line="360" w:lineRule="auto"/>
        <w:ind w:firstLine="426" w:firstLineChars="202"/>
        <w:outlineLvl w:val="9"/>
        <w:rPr>
          <w:rFonts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673"/>
      <w:bookmarkEnd w:id="674"/>
      <w:bookmarkEnd w:id="675"/>
      <w:bookmarkEnd w:id="687"/>
    </w:p>
    <w:p w14:paraId="78D7DA22">
      <w:pPr>
        <w:keepNext w:val="0"/>
        <w:keepLines w:val="0"/>
        <w:kinsoku/>
        <w:wordWrap/>
        <w:overflowPunct/>
        <w:topLinePunct w:val="0"/>
        <w:bidi w:val="0"/>
        <w:snapToGrid/>
        <w:spacing w:before="120" w:after="120" w:line="360" w:lineRule="auto"/>
        <w:ind w:firstLine="608" w:firstLineChars="202"/>
        <w:jc w:val="center"/>
        <w:outlineLvl w:val="9"/>
        <w:rPr>
          <w:rFonts w:ascii="宋体" w:hAnsi="宋体" w:eastAsia="宋体" w:cs="宋体"/>
          <w:b/>
          <w:color w:val="auto"/>
          <w:sz w:val="30"/>
          <w:szCs w:val="30"/>
          <w:highlight w:val="none"/>
        </w:rPr>
      </w:pPr>
    </w:p>
    <w:p w14:paraId="413A87D3">
      <w:pPr>
        <w:keepNext w:val="0"/>
        <w:keepLines w:val="0"/>
        <w:kinsoku/>
        <w:wordWrap/>
        <w:overflowPunct/>
        <w:topLinePunct w:val="0"/>
        <w:bidi w:val="0"/>
        <w:snapToGrid/>
        <w:spacing w:before="120" w:after="120" w:line="360" w:lineRule="auto"/>
        <w:ind w:firstLine="608" w:firstLineChars="202"/>
        <w:jc w:val="center"/>
        <w:outlineLvl w:val="9"/>
        <w:rPr>
          <w:rFonts w:ascii="宋体" w:hAnsi="宋体" w:eastAsia="宋体" w:cs="宋体"/>
          <w:b/>
          <w:bCs/>
          <w:color w:val="auto"/>
          <w:sz w:val="30"/>
          <w:szCs w:val="30"/>
          <w:highlight w:val="none"/>
        </w:rPr>
      </w:pPr>
      <w:bookmarkStart w:id="710" w:name="_Toc11033_WPSOffice_Level3"/>
      <w:r>
        <w:rPr>
          <w:rFonts w:hint="eastAsia" w:ascii="宋体" w:hAnsi="宋体" w:eastAsia="宋体" w:cs="宋体"/>
          <w:b/>
          <w:color w:val="auto"/>
          <w:sz w:val="30"/>
          <w:szCs w:val="30"/>
          <w:highlight w:val="none"/>
        </w:rPr>
        <w:t>法定代</w:t>
      </w:r>
      <w:bookmarkStart w:id="711" w:name="_Toc45995270"/>
      <w:bookmarkStart w:id="712" w:name="_Toc36971359"/>
      <w:r>
        <w:rPr>
          <w:rFonts w:hint="eastAsia" w:ascii="宋体" w:hAnsi="宋体" w:eastAsia="宋体" w:cs="宋体"/>
          <w:b/>
          <w:color w:val="auto"/>
          <w:sz w:val="30"/>
          <w:szCs w:val="30"/>
          <w:highlight w:val="none"/>
        </w:rPr>
        <w:t>表人身份证明书</w:t>
      </w:r>
      <w:bookmarkEnd w:id="710"/>
    </w:p>
    <w:bookmarkEnd w:id="711"/>
    <w:bookmarkEnd w:id="712"/>
    <w:p w14:paraId="5006856A">
      <w:pPr>
        <w:keepNext w:val="0"/>
        <w:keepLines w:val="0"/>
        <w:kinsoku/>
        <w:wordWrap/>
        <w:overflowPunct/>
        <w:topLinePunct w:val="0"/>
        <w:bidi w:val="0"/>
        <w:snapToGrid/>
        <w:spacing w:before="120" w:after="120" w:line="360" w:lineRule="auto"/>
        <w:ind w:firstLine="420" w:firstLineChars="200"/>
        <w:outlineLvl w:val="9"/>
        <w:rPr>
          <w:rFonts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6D2B5AF9">
      <w:pPr>
        <w:keepNext w:val="0"/>
        <w:keepLines w:val="0"/>
        <w:kinsoku/>
        <w:wordWrap/>
        <w:overflowPunct/>
        <w:topLinePunct w:val="0"/>
        <w:bidi w:val="0"/>
        <w:snapToGrid/>
        <w:spacing w:before="120" w:after="120"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6F5A3933">
      <w:pPr>
        <w:keepNext w:val="0"/>
        <w:keepLines w:val="0"/>
        <w:kinsoku/>
        <w:wordWrap/>
        <w:overflowPunct/>
        <w:topLinePunct w:val="0"/>
        <w:bidi w:val="0"/>
        <w:snapToGrid/>
        <w:spacing w:before="120" w:after="120" w:line="360" w:lineRule="auto"/>
        <w:ind w:firstLine="424" w:firstLineChars="202"/>
        <w:outlineLvl w:val="9"/>
        <w:rPr>
          <w:rFonts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0C14CBB6">
      <w:pPr>
        <w:keepNext w:val="0"/>
        <w:keepLines w:val="0"/>
        <w:kinsoku/>
        <w:wordWrap/>
        <w:overflowPunct/>
        <w:topLinePunct w:val="0"/>
        <w:bidi w:val="0"/>
        <w:snapToGrid/>
        <w:spacing w:before="120" w:after="120"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4821A031">
      <w:pPr>
        <w:keepNext w:val="0"/>
        <w:keepLines w:val="0"/>
        <w:kinsoku/>
        <w:wordWrap/>
        <w:overflowPunct/>
        <w:topLinePunct w:val="0"/>
        <w:bidi w:val="0"/>
        <w:snapToGrid/>
        <w:spacing w:before="120" w:after="120" w:line="360" w:lineRule="auto"/>
        <w:ind w:firstLine="424" w:firstLineChars="202"/>
        <w:outlineLvl w:val="9"/>
        <w:rPr>
          <w:rFonts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21168BD8">
      <w:pPr>
        <w:keepNext w:val="0"/>
        <w:keepLines w:val="0"/>
        <w:kinsoku/>
        <w:wordWrap/>
        <w:overflowPunct/>
        <w:topLinePunct w:val="0"/>
        <w:bidi w:val="0"/>
        <w:snapToGrid/>
        <w:spacing w:before="120" w:after="120" w:line="360" w:lineRule="auto"/>
        <w:ind w:firstLine="424" w:firstLineChars="202"/>
        <w:outlineLvl w:val="9"/>
        <w:rPr>
          <w:rFonts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20A1BE3B">
      <w:pPr>
        <w:keepNext w:val="0"/>
        <w:keepLines w:val="0"/>
        <w:kinsoku/>
        <w:wordWrap/>
        <w:overflowPunct/>
        <w:topLinePunct w:val="0"/>
        <w:bidi w:val="0"/>
        <w:snapToGrid/>
        <w:spacing w:before="120" w:after="120" w:line="360" w:lineRule="auto"/>
        <w:ind w:firstLine="424" w:firstLineChars="202"/>
        <w:outlineLvl w:val="9"/>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03354E23">
      <w:pPr>
        <w:keepNext w:val="0"/>
        <w:keepLines w:val="0"/>
        <w:kinsoku/>
        <w:wordWrap/>
        <w:overflowPunct/>
        <w:topLinePunct w:val="0"/>
        <w:bidi w:val="0"/>
        <w:snapToGrid/>
        <w:spacing w:before="120" w:after="120" w:line="360" w:lineRule="auto"/>
        <w:ind w:left="340" w:leftChars="162" w:firstLine="4740"/>
        <w:outlineLvl w:val="9"/>
        <w:rPr>
          <w:rFonts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2BE51418">
      <w:pPr>
        <w:keepNext w:val="0"/>
        <w:keepLines w:val="0"/>
        <w:kinsoku/>
        <w:wordWrap/>
        <w:overflowPunct/>
        <w:topLinePunct w:val="0"/>
        <w:autoSpaceDE w:val="0"/>
        <w:autoSpaceDN w:val="0"/>
        <w:bidi w:val="0"/>
        <w:adjustRightInd w:val="0"/>
        <w:snapToGrid/>
        <w:spacing w:line="360" w:lineRule="auto"/>
        <w:ind w:right="1010" w:rightChars="481" w:firstLine="6090" w:firstLineChars="2900"/>
        <w:jc w:val="left"/>
        <w:outlineLvl w:val="9"/>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44BEA24C">
      <w:pPr>
        <w:keepNext w:val="0"/>
        <w:keepLines w:val="0"/>
        <w:kinsoku/>
        <w:wordWrap/>
        <w:overflowPunct/>
        <w:topLinePunct w:val="0"/>
        <w:autoSpaceDE w:val="0"/>
        <w:autoSpaceDN w:val="0"/>
        <w:bidi w:val="0"/>
        <w:adjustRightInd w:val="0"/>
        <w:snapToGrid/>
        <w:jc w:val="left"/>
        <w:outlineLvl w:val="9"/>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3" name="文本框 7"/>
                <wp:cNvGraphicFramePr/>
                <a:graphic xmlns:a="http://schemas.openxmlformats.org/drawingml/2006/main">
                  <a:graphicData uri="http://schemas.microsoft.com/office/word/2010/wordprocessingShape">
                    <wps:wsp>
                      <wps:cNvSpPr/>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27719C"/>
                          <w:p w14:paraId="1FA87AEC"/>
                          <w:p w14:paraId="7A70463D"/>
                          <w:p w14:paraId="1D7DFEF8"/>
                          <w:p w14:paraId="3B5D4EF6">
                            <w:pPr>
                              <w:jc w:val="center"/>
                              <w:rPr>
                                <w:szCs w:val="21"/>
                              </w:rPr>
                            </w:pPr>
                            <w:r>
                              <w:rPr>
                                <w:rFonts w:hint="eastAsia"/>
                                <w:szCs w:val="21"/>
                              </w:rPr>
                              <w:t>法定代表人身份证正面</w:t>
                            </w:r>
                          </w:p>
                        </w:txbxContent>
                      </wps:txbx>
                      <wps:bodyPr upright="1"/>
                    </wps:wsp>
                  </a:graphicData>
                </a:graphic>
              </wp:anchor>
            </w:drawing>
          </mc:Choice>
          <mc:Fallback>
            <w:pict>
              <v:rect id="文本框 7" o:spid="_x0000_s1026" o:spt="1" style="position:absolute;left:0pt;margin-left:4.85pt;margin-top:8.6pt;height:154.5pt;width:219.75pt;z-index:251661312;mso-width-relative:page;mso-height-relative:page;" fillcolor="#FFFFFF" filled="t" stroked="t" coordsize="21600,21600" o:gfxdata="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jK1tNcAAAAIAQAADwAAAAAAAAABACAAAAAiAAAA&#10;ZHJzL2Rvd25yZXYueG1sUEsBAhQAFAAAAAgAh07iQFAXVpcIAgAALQQAAA4AAAAAAAAAAQAgAAAA&#10;JgEAAGRycy9lMm9Eb2MueG1sUEsFBgAAAAAGAAYAWQEAAKAFAAAAAA==&#10;">
                <v:fill on="t" focussize="0,0"/>
                <v:stroke color="#000000" joinstyle="miter"/>
                <v:imagedata o:title=""/>
                <o:lock v:ext="edit" aspectratio="f"/>
                <v:textbox>
                  <w:txbxContent>
                    <w:p w14:paraId="5327719C"/>
                    <w:p w14:paraId="1FA87AEC"/>
                    <w:p w14:paraId="7A70463D"/>
                    <w:p w14:paraId="1D7DFEF8"/>
                    <w:p w14:paraId="3B5D4EF6">
                      <w:pPr>
                        <w:jc w:val="center"/>
                        <w:rPr>
                          <w:szCs w:val="21"/>
                        </w:rPr>
                      </w:pPr>
                      <w:r>
                        <w:rPr>
                          <w:rFonts w:hint="eastAsia"/>
                          <w:szCs w:val="21"/>
                        </w:rPr>
                        <w:t>法定代表人身份证正面</w:t>
                      </w:r>
                    </w:p>
                  </w:txbxContent>
                </v:textbox>
              </v:rect>
            </w:pict>
          </mc:Fallback>
        </mc:AlternateContent>
      </w:r>
      <w:r>
        <w:rPr>
          <w:rFonts w:ascii="宋体" w:hAnsi="宋体" w:eastAsia="宋体" w:cs="宋体"/>
          <w:color w:val="auto"/>
          <w:kern w:val="0"/>
          <w:sz w:val="24"/>
          <w:szCs w:val="24"/>
          <w:highlight w:val="none"/>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4445" t="5080" r="5080" b="13970"/>
                <wp:wrapNone/>
                <wp:docPr id="2" name="文本框 6"/>
                <wp:cNvGraphicFramePr/>
                <a:graphic xmlns:a="http://schemas.openxmlformats.org/drawingml/2006/main">
                  <a:graphicData uri="http://schemas.microsoft.com/office/word/2010/wordprocessingShape">
                    <wps:wsp>
                      <wps:cNvSpPr/>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683C9B"/>
                          <w:p w14:paraId="179C90A9"/>
                          <w:p w14:paraId="5BA9CD30"/>
                          <w:p w14:paraId="797795F7"/>
                          <w:p w14:paraId="383F4B42">
                            <w:pPr>
                              <w:jc w:val="center"/>
                              <w:rPr>
                                <w:szCs w:val="21"/>
                              </w:rPr>
                            </w:pPr>
                            <w:r>
                              <w:rPr>
                                <w:rFonts w:hint="eastAsia"/>
                                <w:szCs w:val="21"/>
                              </w:rPr>
                              <w:t>法定代表人身份证反面</w:t>
                            </w:r>
                          </w:p>
                          <w:p w14:paraId="0713B123">
                            <w:pPr>
                              <w:jc w:val="center"/>
                              <w:rPr>
                                <w:szCs w:val="21"/>
                              </w:rPr>
                            </w:pPr>
                          </w:p>
                        </w:txbxContent>
                      </wps:txbx>
                      <wps:bodyPr upright="1"/>
                    </wps:wsp>
                  </a:graphicData>
                </a:graphic>
              </wp:anchor>
            </w:drawing>
          </mc:Choice>
          <mc:Fallback>
            <w:pict>
              <v:rect id="文本框 6" o:spid="_x0000_s1026" o:spt="1" style="position:absolute;left:0pt;margin-left:246.35pt;margin-top:8.6pt;height:154.5pt;width:219.75pt;z-index:251660288;mso-width-relative:page;mso-height-relative:page;" fillcolor="#FFFFFF" filled="t" stroked="t" coordsize="21600,21600" o:gfxdata="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jRgpbYAAAACgEAAA8AAAAAAAAAAQAgAAAAIgAA&#10;AGRycy9kb3ducmV2LnhtbFBLAQIUABQAAAAIAIdO4kAguZWQCAIAAC0EAAAOAAAAAAAAAAEAIAAA&#10;ACcBAABkcnMvZTJvRG9jLnhtbFBLBQYAAAAABgAGAFkBAAChBQAAAAA=&#10;">
                <v:fill on="t" focussize="0,0"/>
                <v:stroke color="#000000" joinstyle="miter"/>
                <v:imagedata o:title=""/>
                <o:lock v:ext="edit" aspectratio="f"/>
                <v:textbox>
                  <w:txbxContent>
                    <w:p w14:paraId="53683C9B"/>
                    <w:p w14:paraId="179C90A9"/>
                    <w:p w14:paraId="5BA9CD30"/>
                    <w:p w14:paraId="797795F7"/>
                    <w:p w14:paraId="383F4B42">
                      <w:pPr>
                        <w:jc w:val="center"/>
                        <w:rPr>
                          <w:szCs w:val="21"/>
                        </w:rPr>
                      </w:pPr>
                      <w:r>
                        <w:rPr>
                          <w:rFonts w:hint="eastAsia"/>
                          <w:szCs w:val="21"/>
                        </w:rPr>
                        <w:t>法定代表人身份证反面</w:t>
                      </w:r>
                    </w:p>
                    <w:p w14:paraId="0713B123">
                      <w:pPr>
                        <w:jc w:val="center"/>
                        <w:rPr>
                          <w:szCs w:val="21"/>
                        </w:rPr>
                      </w:pPr>
                    </w:p>
                  </w:txbxContent>
                </v:textbox>
              </v:rect>
            </w:pict>
          </mc:Fallback>
        </mc:AlternateContent>
      </w:r>
      <w:r>
        <w:rPr>
          <w:rFonts w:ascii="宋体" w:hAnsi="宋体" w:eastAsia="宋体" w:cs="宋体"/>
          <w:color w:val="auto"/>
          <w:kern w:val="0"/>
          <w:sz w:val="24"/>
          <w:szCs w:val="24"/>
          <w:highlight w:val="none"/>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4445" t="5080" r="5080" b="13970"/>
                <wp:wrapNone/>
                <wp:docPr id="1" name="文本框 5"/>
                <wp:cNvGraphicFramePr/>
                <a:graphic xmlns:a="http://schemas.openxmlformats.org/drawingml/2006/main">
                  <a:graphicData uri="http://schemas.microsoft.com/office/word/2010/wordprocessingShape">
                    <wps:wsp>
                      <wps:cNvSpPr/>
                      <wps:spPr>
                        <a:xfrm>
                          <a:off x="0" y="0"/>
                          <a:ext cx="2790825" cy="19621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494399"/>
                          <w:p w14:paraId="0F13B9FC"/>
                          <w:p w14:paraId="5E7A9B31"/>
                          <w:p w14:paraId="4E6E7463"/>
                          <w:p w14:paraId="78C29843">
                            <w:pPr>
                              <w:jc w:val="center"/>
                            </w:pPr>
                            <w:r>
                              <w:rPr>
                                <w:rFonts w:hint="eastAsia"/>
                              </w:rPr>
                              <w:t>身份证正面</w:t>
                            </w:r>
                          </w:p>
                        </w:txbxContent>
                      </wps:txbx>
                      <wps:bodyPr upright="1"/>
                    </wps:wsp>
                  </a:graphicData>
                </a:graphic>
              </wp:anchor>
            </w:drawing>
          </mc:Choice>
          <mc:Fallback>
            <w:pict>
              <v:rect id="文本框 5" o:spid="_x0000_s1026" o:spt="1" style="position:absolute;left:0pt;margin-left:4.85pt;margin-top:8.6pt;height:154.5pt;width:219.75pt;z-index:251659264;mso-width-relative:page;mso-height-relative:page;" fillcolor="#FFFFFF" filled="t" stroked="t" coordsize="21600,21600" o:gfxdata="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jK1tNcAAAAIAQAADwAAAAAAAAABACAAAAAiAAAA&#10;ZHJzL2Rvd25yZXYueG1sUEsBAhQAFAAAAAgAh07iQLBL0ZgIAgAALQQAAA4AAAAAAAAAAQAgAAAA&#10;JgEAAGRycy9lMm9Eb2MueG1sUEsFBgAAAAAGAAYAWQEAAKAFAAAAAA==&#10;">
                <v:fill on="t" focussize="0,0"/>
                <v:stroke color="#000000" joinstyle="miter"/>
                <v:imagedata o:title=""/>
                <o:lock v:ext="edit" aspectratio="f"/>
                <v:textbox>
                  <w:txbxContent>
                    <w:p w14:paraId="3A494399"/>
                    <w:p w14:paraId="0F13B9FC"/>
                    <w:p w14:paraId="5E7A9B31"/>
                    <w:p w14:paraId="4E6E7463"/>
                    <w:p w14:paraId="78C29843">
                      <w:pPr>
                        <w:jc w:val="center"/>
                      </w:pPr>
                      <w:r>
                        <w:rPr>
                          <w:rFonts w:hint="eastAsia"/>
                        </w:rPr>
                        <w:t>身份证正面</w:t>
                      </w:r>
                    </w:p>
                  </w:txbxContent>
                </v:textbox>
              </v:rect>
            </w:pict>
          </mc:Fallback>
        </mc:AlternateContent>
      </w:r>
    </w:p>
    <w:p w14:paraId="04DF83CE">
      <w:pPr>
        <w:keepNext w:val="0"/>
        <w:keepLines w:val="0"/>
        <w:kinsoku/>
        <w:wordWrap/>
        <w:overflowPunct/>
        <w:topLinePunct w:val="0"/>
        <w:autoSpaceDE w:val="0"/>
        <w:autoSpaceDN w:val="0"/>
        <w:bidi w:val="0"/>
        <w:adjustRightInd w:val="0"/>
        <w:snapToGrid/>
        <w:jc w:val="left"/>
        <w:outlineLvl w:val="9"/>
        <w:rPr>
          <w:rFonts w:ascii="宋体" w:hAnsi="宋体" w:eastAsia="宋体" w:cs="宋体"/>
          <w:color w:val="auto"/>
          <w:kern w:val="0"/>
          <w:sz w:val="24"/>
          <w:szCs w:val="24"/>
          <w:highlight w:val="none"/>
        </w:rPr>
      </w:pPr>
    </w:p>
    <w:p w14:paraId="3183CFA9">
      <w:pPr>
        <w:keepNext w:val="0"/>
        <w:keepLines w:val="0"/>
        <w:kinsoku/>
        <w:wordWrap/>
        <w:overflowPunct/>
        <w:topLinePunct w:val="0"/>
        <w:autoSpaceDE w:val="0"/>
        <w:autoSpaceDN w:val="0"/>
        <w:bidi w:val="0"/>
        <w:adjustRightInd w:val="0"/>
        <w:snapToGrid/>
        <w:jc w:val="left"/>
        <w:outlineLvl w:val="9"/>
        <w:rPr>
          <w:rFonts w:ascii="宋体" w:hAnsi="宋体" w:eastAsia="宋体" w:cs="宋体"/>
          <w:color w:val="auto"/>
          <w:kern w:val="0"/>
          <w:sz w:val="24"/>
          <w:szCs w:val="24"/>
          <w:highlight w:val="none"/>
        </w:rPr>
      </w:pPr>
    </w:p>
    <w:p w14:paraId="242A71B5">
      <w:pPr>
        <w:keepNext w:val="0"/>
        <w:keepLines w:val="0"/>
        <w:kinsoku/>
        <w:wordWrap/>
        <w:overflowPunct/>
        <w:topLinePunct w:val="0"/>
        <w:autoSpaceDE w:val="0"/>
        <w:autoSpaceDN w:val="0"/>
        <w:bidi w:val="0"/>
        <w:adjustRightInd w:val="0"/>
        <w:snapToGrid/>
        <w:jc w:val="left"/>
        <w:outlineLvl w:val="9"/>
        <w:rPr>
          <w:rFonts w:ascii="宋体" w:hAnsi="宋体" w:eastAsia="宋体" w:cs="宋体"/>
          <w:color w:val="auto"/>
          <w:kern w:val="0"/>
          <w:sz w:val="24"/>
          <w:szCs w:val="24"/>
          <w:highlight w:val="none"/>
        </w:rPr>
      </w:pPr>
    </w:p>
    <w:p w14:paraId="0442B509">
      <w:pPr>
        <w:keepNext w:val="0"/>
        <w:keepLines w:val="0"/>
        <w:kinsoku/>
        <w:wordWrap/>
        <w:overflowPunct/>
        <w:topLinePunct w:val="0"/>
        <w:autoSpaceDE w:val="0"/>
        <w:autoSpaceDN w:val="0"/>
        <w:bidi w:val="0"/>
        <w:adjustRightInd w:val="0"/>
        <w:snapToGrid/>
        <w:jc w:val="left"/>
        <w:outlineLvl w:val="9"/>
        <w:rPr>
          <w:rFonts w:ascii="宋体" w:hAnsi="宋体" w:eastAsia="宋体" w:cs="宋体"/>
          <w:color w:val="auto"/>
          <w:kern w:val="0"/>
          <w:sz w:val="24"/>
          <w:szCs w:val="24"/>
          <w:highlight w:val="none"/>
        </w:rPr>
      </w:pPr>
    </w:p>
    <w:p w14:paraId="76147C71">
      <w:pPr>
        <w:keepNext w:val="0"/>
        <w:keepLines w:val="0"/>
        <w:kinsoku/>
        <w:wordWrap/>
        <w:overflowPunct/>
        <w:topLinePunct w:val="0"/>
        <w:autoSpaceDE w:val="0"/>
        <w:autoSpaceDN w:val="0"/>
        <w:bidi w:val="0"/>
        <w:adjustRightInd w:val="0"/>
        <w:snapToGrid/>
        <w:jc w:val="left"/>
        <w:outlineLvl w:val="9"/>
        <w:rPr>
          <w:rFonts w:ascii="宋体" w:hAnsi="宋体" w:eastAsia="宋体" w:cs="宋体"/>
          <w:color w:val="auto"/>
          <w:kern w:val="0"/>
          <w:sz w:val="24"/>
          <w:szCs w:val="24"/>
          <w:highlight w:val="none"/>
        </w:rPr>
      </w:pPr>
    </w:p>
    <w:p w14:paraId="327FC7C3">
      <w:pPr>
        <w:keepNext w:val="0"/>
        <w:keepLines w:val="0"/>
        <w:kinsoku/>
        <w:wordWrap/>
        <w:overflowPunct/>
        <w:topLinePunct w:val="0"/>
        <w:autoSpaceDE w:val="0"/>
        <w:autoSpaceDN w:val="0"/>
        <w:bidi w:val="0"/>
        <w:adjustRightInd w:val="0"/>
        <w:snapToGrid/>
        <w:jc w:val="left"/>
        <w:outlineLvl w:val="9"/>
        <w:rPr>
          <w:rFonts w:ascii="宋体" w:hAnsi="宋体" w:eastAsia="宋体" w:cs="宋体"/>
          <w:color w:val="auto"/>
          <w:kern w:val="0"/>
          <w:sz w:val="24"/>
          <w:szCs w:val="24"/>
          <w:highlight w:val="none"/>
        </w:rPr>
      </w:pPr>
    </w:p>
    <w:p w14:paraId="06D1613F">
      <w:pPr>
        <w:keepNext w:val="0"/>
        <w:keepLines w:val="0"/>
        <w:kinsoku/>
        <w:wordWrap/>
        <w:overflowPunct/>
        <w:topLinePunct w:val="0"/>
        <w:autoSpaceDE w:val="0"/>
        <w:autoSpaceDN w:val="0"/>
        <w:bidi w:val="0"/>
        <w:adjustRightInd w:val="0"/>
        <w:snapToGrid/>
        <w:jc w:val="left"/>
        <w:outlineLvl w:val="9"/>
        <w:rPr>
          <w:rFonts w:ascii="宋体" w:hAnsi="宋体" w:eastAsia="宋体" w:cs="宋体"/>
          <w:color w:val="auto"/>
          <w:kern w:val="0"/>
          <w:sz w:val="24"/>
          <w:szCs w:val="24"/>
          <w:highlight w:val="none"/>
        </w:rPr>
      </w:pPr>
    </w:p>
    <w:p w14:paraId="6AB4DF47">
      <w:pPr>
        <w:keepNext w:val="0"/>
        <w:keepLines w:val="0"/>
        <w:kinsoku/>
        <w:wordWrap/>
        <w:overflowPunct/>
        <w:topLinePunct w:val="0"/>
        <w:autoSpaceDE w:val="0"/>
        <w:autoSpaceDN w:val="0"/>
        <w:bidi w:val="0"/>
        <w:adjustRightInd w:val="0"/>
        <w:snapToGrid/>
        <w:jc w:val="left"/>
        <w:outlineLvl w:val="9"/>
        <w:rPr>
          <w:rFonts w:ascii="宋体" w:hAnsi="宋体" w:eastAsia="宋体" w:cs="宋体"/>
          <w:color w:val="auto"/>
          <w:kern w:val="0"/>
          <w:sz w:val="24"/>
          <w:szCs w:val="24"/>
          <w:highlight w:val="none"/>
        </w:rPr>
      </w:pPr>
    </w:p>
    <w:p w14:paraId="37922734">
      <w:pPr>
        <w:keepNext w:val="0"/>
        <w:keepLines w:val="0"/>
        <w:kinsoku/>
        <w:wordWrap/>
        <w:overflowPunct/>
        <w:topLinePunct w:val="0"/>
        <w:autoSpaceDE w:val="0"/>
        <w:autoSpaceDN w:val="0"/>
        <w:bidi w:val="0"/>
        <w:adjustRightInd w:val="0"/>
        <w:snapToGrid/>
        <w:jc w:val="left"/>
        <w:outlineLvl w:val="9"/>
        <w:rPr>
          <w:rFonts w:ascii="宋体" w:hAnsi="宋体" w:eastAsia="宋体" w:cs="宋体"/>
          <w:color w:val="auto"/>
          <w:kern w:val="0"/>
          <w:sz w:val="24"/>
          <w:szCs w:val="24"/>
          <w:highlight w:val="none"/>
        </w:rPr>
      </w:pPr>
    </w:p>
    <w:p w14:paraId="55469298">
      <w:pPr>
        <w:keepNext w:val="0"/>
        <w:keepLines w:val="0"/>
        <w:kinsoku/>
        <w:wordWrap/>
        <w:overflowPunct/>
        <w:topLinePunct w:val="0"/>
        <w:autoSpaceDE w:val="0"/>
        <w:autoSpaceDN w:val="0"/>
        <w:bidi w:val="0"/>
        <w:adjustRightInd w:val="0"/>
        <w:snapToGrid/>
        <w:jc w:val="left"/>
        <w:outlineLvl w:val="9"/>
        <w:rPr>
          <w:rFonts w:ascii="宋体" w:hAnsi="宋体" w:eastAsia="宋体" w:cs="宋体"/>
          <w:b/>
          <w:color w:val="auto"/>
          <w:kern w:val="0"/>
          <w:szCs w:val="21"/>
          <w:highlight w:val="none"/>
        </w:rPr>
      </w:pPr>
    </w:p>
    <w:p w14:paraId="64034B99">
      <w:pPr>
        <w:keepNext w:val="0"/>
        <w:keepLines w:val="0"/>
        <w:kinsoku/>
        <w:wordWrap/>
        <w:overflowPunct/>
        <w:topLinePunct w:val="0"/>
        <w:autoSpaceDE w:val="0"/>
        <w:autoSpaceDN w:val="0"/>
        <w:bidi w:val="0"/>
        <w:adjustRightInd w:val="0"/>
        <w:snapToGrid/>
        <w:jc w:val="left"/>
        <w:outlineLvl w:val="9"/>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7763138C">
      <w:pPr>
        <w:keepNext w:val="0"/>
        <w:keepLines w:val="0"/>
        <w:kinsoku/>
        <w:wordWrap/>
        <w:overflowPunct/>
        <w:topLinePunct w:val="0"/>
        <w:autoSpaceDE w:val="0"/>
        <w:autoSpaceDN w:val="0"/>
        <w:bidi w:val="0"/>
        <w:adjustRightInd w:val="0"/>
        <w:snapToGrid/>
        <w:jc w:val="left"/>
        <w:outlineLvl w:val="9"/>
        <w:rPr>
          <w:rFonts w:ascii="宋体" w:hAnsi="宋体" w:eastAsia="宋体" w:cs="宋体"/>
          <w:color w:val="auto"/>
          <w:kern w:val="0"/>
          <w:szCs w:val="21"/>
          <w:highlight w:val="none"/>
        </w:rPr>
      </w:pPr>
    </w:p>
    <w:p w14:paraId="67013896">
      <w:pPr>
        <w:keepNext w:val="0"/>
        <w:keepLines w:val="0"/>
        <w:kinsoku/>
        <w:wordWrap/>
        <w:overflowPunct/>
        <w:topLinePunct w:val="0"/>
        <w:bidi w:val="0"/>
        <w:snapToGrid/>
        <w:spacing w:before="120" w:after="120" w:line="360" w:lineRule="auto"/>
        <w:ind w:firstLine="424" w:firstLineChars="202"/>
        <w:outlineLvl w:val="9"/>
        <w:rPr>
          <w:rFonts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628"/>
      <w:bookmarkEnd w:id="629"/>
      <w:bookmarkEnd w:id="630"/>
      <w:bookmarkStart w:id="713" w:name="_Toc486167713"/>
      <w:bookmarkStart w:id="714" w:name="_Toc6240_WPSOffice_Level2"/>
      <w:bookmarkStart w:id="715" w:name="_Toc533708125"/>
      <w:bookmarkStart w:id="716" w:name="_Toc1977727"/>
      <w:r>
        <w:rPr>
          <w:rFonts w:hint="eastAsia" w:ascii="宋体" w:hAnsi="宋体" w:eastAsia="宋体" w:cs="宋体"/>
          <w:b/>
          <w:color w:val="auto"/>
          <w:szCs w:val="24"/>
          <w:highlight w:val="none"/>
        </w:rPr>
        <w:t>（2）法定代表人授权书格式</w:t>
      </w:r>
      <w:bookmarkEnd w:id="713"/>
      <w:bookmarkEnd w:id="714"/>
      <w:bookmarkEnd w:id="715"/>
      <w:bookmarkEnd w:id="716"/>
    </w:p>
    <w:p w14:paraId="62438F71">
      <w:pPr>
        <w:keepNext w:val="0"/>
        <w:keepLines w:val="0"/>
        <w:kinsoku/>
        <w:wordWrap/>
        <w:overflowPunct/>
        <w:topLinePunct w:val="0"/>
        <w:autoSpaceDE w:val="0"/>
        <w:autoSpaceDN w:val="0"/>
        <w:bidi w:val="0"/>
        <w:adjustRightInd w:val="0"/>
        <w:snapToGrid/>
        <w:spacing w:line="360" w:lineRule="auto"/>
        <w:jc w:val="center"/>
        <w:outlineLvl w:val="9"/>
        <w:rPr>
          <w:rFonts w:ascii="宋体" w:hAnsi="宋体" w:eastAsia="宋体" w:cs="宋体"/>
          <w:b/>
          <w:bCs/>
          <w:color w:val="auto"/>
          <w:sz w:val="30"/>
          <w:szCs w:val="30"/>
          <w:highlight w:val="none"/>
          <w:lang w:val="zh-CN"/>
        </w:rPr>
      </w:pPr>
    </w:p>
    <w:p w14:paraId="1946DCBD">
      <w:pPr>
        <w:keepNext w:val="0"/>
        <w:keepLines w:val="0"/>
        <w:kinsoku/>
        <w:wordWrap/>
        <w:overflowPunct/>
        <w:topLinePunct w:val="0"/>
        <w:autoSpaceDE w:val="0"/>
        <w:autoSpaceDN w:val="0"/>
        <w:bidi w:val="0"/>
        <w:adjustRightInd w:val="0"/>
        <w:snapToGrid/>
        <w:spacing w:line="360" w:lineRule="auto"/>
        <w:jc w:val="center"/>
        <w:outlineLvl w:val="9"/>
        <w:rPr>
          <w:rFonts w:ascii="宋体" w:hAnsi="宋体" w:eastAsia="宋体" w:cs="宋体"/>
          <w:b/>
          <w:bCs/>
          <w:color w:val="auto"/>
          <w:sz w:val="30"/>
          <w:szCs w:val="30"/>
          <w:highlight w:val="none"/>
          <w:lang w:val="zh-CN"/>
        </w:rPr>
      </w:pPr>
      <w:bookmarkStart w:id="717" w:name="_Toc29146_WPSOffice_Level3"/>
      <w:r>
        <w:rPr>
          <w:rFonts w:hint="eastAsia" w:ascii="宋体" w:hAnsi="宋体" w:eastAsia="宋体" w:cs="宋体"/>
          <w:b/>
          <w:bCs/>
          <w:color w:val="auto"/>
          <w:sz w:val="30"/>
          <w:szCs w:val="30"/>
          <w:highlight w:val="none"/>
          <w:lang w:val="zh-CN"/>
        </w:rPr>
        <w:t>法定代表人授权书</w:t>
      </w:r>
      <w:bookmarkEnd w:id="717"/>
    </w:p>
    <w:p w14:paraId="6B17EE6E">
      <w:pPr>
        <w:keepNext w:val="0"/>
        <w:keepLines w:val="0"/>
        <w:kinsoku/>
        <w:wordWrap/>
        <w:overflowPunct/>
        <w:topLinePunct w:val="0"/>
        <w:autoSpaceDE w:val="0"/>
        <w:autoSpaceDN w:val="0"/>
        <w:bidi w:val="0"/>
        <w:adjustRightInd w:val="0"/>
        <w:snapToGrid/>
        <w:spacing w:line="360" w:lineRule="auto"/>
        <w:jc w:val="center"/>
        <w:outlineLvl w:val="9"/>
        <w:rPr>
          <w:rFonts w:ascii="宋体" w:hAnsi="宋体" w:eastAsia="宋体" w:cs="宋体"/>
          <w:color w:val="auto"/>
          <w:szCs w:val="28"/>
          <w:highlight w:val="none"/>
          <w:lang w:val="zh-CN"/>
        </w:rPr>
      </w:pPr>
    </w:p>
    <w:p w14:paraId="10B8785A">
      <w:pPr>
        <w:keepNext w:val="0"/>
        <w:keepLines w:val="0"/>
        <w:kinsoku/>
        <w:wordWrap/>
        <w:overflowPunct/>
        <w:topLinePunct w:val="0"/>
        <w:bidi w:val="0"/>
        <w:snapToGrid/>
        <w:spacing w:before="120" w:after="120" w:line="360" w:lineRule="auto"/>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致：东莞市水务集团建设管理有限公司</w:t>
      </w:r>
    </w:p>
    <w:p w14:paraId="3016446C">
      <w:pPr>
        <w:keepNext w:val="0"/>
        <w:keepLines w:val="0"/>
        <w:kinsoku/>
        <w:wordWrap/>
        <w:overflowPunct/>
        <w:topLinePunct w:val="0"/>
        <w:bidi w:val="0"/>
        <w:snapToGrid/>
        <w:spacing w:before="120" w:after="120" w:line="360" w:lineRule="auto"/>
        <w:ind w:firstLine="630" w:firstLineChars="300"/>
        <w:outlineLvl w:val="9"/>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szCs w:val="21"/>
          <w:highlight w:val="none"/>
          <w:u w:val="single"/>
          <w:lang w:eastAsia="zh-CN"/>
        </w:rPr>
        <w:t>珠三角水资源配置工程东莞配套芦花坑水厂一期配水管线工程-B标段第三方检测服务采购项目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DGDS2025-002</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1E66D4C8">
      <w:pPr>
        <w:keepNext w:val="0"/>
        <w:keepLines w:val="0"/>
        <w:kinsoku/>
        <w:wordWrap/>
        <w:overflowPunct/>
        <w:topLinePunct w:val="0"/>
        <w:bidi w:val="0"/>
        <w:snapToGrid/>
        <w:spacing w:before="120" w:after="120" w:line="360" w:lineRule="auto"/>
        <w:ind w:firstLine="420" w:firstLineChars="200"/>
        <w:outlineLvl w:val="9"/>
        <w:rPr>
          <w:rFonts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22D77BD9">
      <w:pPr>
        <w:keepNext w:val="0"/>
        <w:keepLines w:val="0"/>
        <w:kinsoku/>
        <w:wordWrap/>
        <w:overflowPunct/>
        <w:topLinePunct w:val="0"/>
        <w:bidi w:val="0"/>
        <w:snapToGrid/>
        <w:spacing w:before="120" w:after="120" w:line="360" w:lineRule="auto"/>
        <w:ind w:left="348" w:leftChars="136" w:hanging="62"/>
        <w:outlineLvl w:val="9"/>
        <w:rPr>
          <w:rFonts w:ascii="宋体" w:hAnsi="宋体" w:eastAsia="宋体" w:cs="宋体"/>
          <w:color w:val="auto"/>
          <w:szCs w:val="24"/>
          <w:highlight w:val="none"/>
        </w:rPr>
      </w:pPr>
    </w:p>
    <w:p w14:paraId="01981246">
      <w:pPr>
        <w:keepNext w:val="0"/>
        <w:keepLines w:val="0"/>
        <w:kinsoku/>
        <w:wordWrap/>
        <w:overflowPunct/>
        <w:topLinePunct w:val="0"/>
        <w:bidi w:val="0"/>
        <w:snapToGrid/>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651863E3">
      <w:pPr>
        <w:keepNext w:val="0"/>
        <w:keepLines w:val="0"/>
        <w:kinsoku/>
        <w:wordWrap/>
        <w:overflowPunct/>
        <w:topLinePunct w:val="0"/>
        <w:bidi w:val="0"/>
        <w:snapToGrid/>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07F6AF85">
      <w:pPr>
        <w:keepNext w:val="0"/>
        <w:keepLines w:val="0"/>
        <w:kinsoku/>
        <w:wordWrap/>
        <w:overflowPunct/>
        <w:topLinePunct w:val="0"/>
        <w:bidi w:val="0"/>
        <w:snapToGrid/>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77555075">
      <w:pPr>
        <w:keepNext w:val="0"/>
        <w:keepLines w:val="0"/>
        <w:kinsoku/>
        <w:wordWrap/>
        <w:overflowPunct/>
        <w:topLinePunct w:val="0"/>
        <w:bidi w:val="0"/>
        <w:snapToGrid/>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54438E5">
      <w:pPr>
        <w:keepNext w:val="0"/>
        <w:keepLines w:val="0"/>
        <w:kinsoku/>
        <w:wordWrap/>
        <w:overflowPunct/>
        <w:topLinePunct w:val="0"/>
        <w:bidi w:val="0"/>
        <w:snapToGrid/>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484F3467">
      <w:pPr>
        <w:keepNext w:val="0"/>
        <w:keepLines w:val="0"/>
        <w:kinsoku/>
        <w:wordWrap/>
        <w:overflowPunct/>
        <w:topLinePunct w:val="0"/>
        <w:bidi w:val="0"/>
        <w:snapToGrid/>
        <w:spacing w:before="120" w:after="120" w:line="360" w:lineRule="auto"/>
        <w:ind w:left="4200" w:leftChars="2000" w:firstLine="425"/>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3E8FE017">
      <w:pPr>
        <w:keepNext w:val="0"/>
        <w:keepLines w:val="0"/>
        <w:kinsoku/>
        <w:wordWrap/>
        <w:overflowPunct/>
        <w:topLinePunct w:val="0"/>
        <w:bidi w:val="0"/>
        <w:snapToGrid/>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20946729">
      <w:pPr>
        <w:keepNext w:val="0"/>
        <w:keepLines w:val="0"/>
        <w:kinsoku/>
        <w:wordWrap/>
        <w:overflowPunct/>
        <w:topLinePunct w:val="0"/>
        <w:bidi w:val="0"/>
        <w:snapToGrid/>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60DEDA25">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0050CE65">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r>
        <w:rPr>
          <w:rFonts w:ascii="宋体" w:hAnsi="宋体" w:eastAsia="宋体" w:cs="宋体"/>
          <w:color w:val="auto"/>
          <w:kern w:val="2"/>
          <w:sz w:val="21"/>
          <w:szCs w:val="21"/>
          <w:highlight w:val="none"/>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4445" t="4445" r="5080" b="5080"/>
                <wp:wrapNone/>
                <wp:docPr id="6" name="文本框 4"/>
                <wp:cNvGraphicFramePr/>
                <a:graphic xmlns:a="http://schemas.openxmlformats.org/drawingml/2006/main">
                  <a:graphicData uri="http://schemas.microsoft.com/office/word/2010/wordprocessingShape">
                    <wps:wsp>
                      <wps:cNvSpPr/>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5DABF9"/>
                          <w:p w14:paraId="3041904C"/>
                          <w:p w14:paraId="1CB39D7D"/>
                          <w:p w14:paraId="5CDCB26E"/>
                          <w:p w14:paraId="50E160E3">
                            <w:pPr>
                              <w:jc w:val="center"/>
                              <w:rPr>
                                <w:rFonts w:hAnsi="宋体"/>
                              </w:rPr>
                            </w:pPr>
                            <w:r>
                              <w:rPr>
                                <w:rFonts w:hint="eastAsia" w:hAnsi="宋体"/>
                              </w:rPr>
                              <w:t>法定代表人身份证反面</w:t>
                            </w:r>
                          </w:p>
                        </w:txbxContent>
                      </wps:txbx>
                      <wps:bodyPr upright="1"/>
                    </wps:wsp>
                  </a:graphicData>
                </a:graphic>
              </wp:anchor>
            </w:drawing>
          </mc:Choice>
          <mc:Fallback>
            <w:pict>
              <v:rect id="文本框 4" o:spid="_x0000_s1026" o:spt="1" style="position:absolute;left:0pt;margin-left:265.1pt;margin-top:5.5pt;height:138.75pt;width:219.75pt;z-index:251664384;mso-width-relative:page;mso-height-relative:page;" fillcolor="#FFFFFF" filled="t" stroked="t" coordsize="21600,21600" o:gfxdata="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SE6T7YAAAACgEAAA8AAAAAAAAAAQAgAAAAIgAAAGRy&#10;cy9kb3ducmV2LnhtbFBLAQIUABQAAAAIAIdO4kAn+IigBQIAAC0EAAAOAAAAAAAAAAEAIAAAACcB&#10;AABkcnMvZTJvRG9jLnhtbFBLBQYAAAAABgAGAFkBAACeBQAAAAA=&#10;">
                <v:fill on="t" focussize="0,0"/>
                <v:stroke color="#000000" joinstyle="miter"/>
                <v:imagedata o:title=""/>
                <o:lock v:ext="edit" aspectratio="f"/>
                <v:textbox>
                  <w:txbxContent>
                    <w:p w14:paraId="6D5DABF9"/>
                    <w:p w14:paraId="3041904C"/>
                    <w:p w14:paraId="1CB39D7D"/>
                    <w:p w14:paraId="5CDCB26E"/>
                    <w:p w14:paraId="50E160E3">
                      <w:pPr>
                        <w:jc w:val="center"/>
                        <w:rPr>
                          <w:rFonts w:hAnsi="宋体"/>
                        </w:rPr>
                      </w:pPr>
                      <w:r>
                        <w:rPr>
                          <w:rFonts w:hint="eastAsia" w:hAnsi="宋体"/>
                        </w:rPr>
                        <w:t>法定代表人身份证反面</w:t>
                      </w:r>
                    </w:p>
                  </w:txbxContent>
                </v:textbox>
              </v:rect>
            </w:pict>
          </mc:Fallback>
        </mc:AlternateContent>
      </w:r>
      <w:r>
        <w:rPr>
          <w:rFonts w:ascii="宋体" w:hAnsi="宋体" w:eastAsia="宋体" w:cs="宋体"/>
          <w:color w:val="auto"/>
          <w:kern w:val="2"/>
          <w:sz w:val="21"/>
          <w:szCs w:val="21"/>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4445" t="4445" r="5080" b="5080"/>
                <wp:wrapNone/>
                <wp:docPr id="4" name="文本框 3"/>
                <wp:cNvGraphicFramePr/>
                <a:graphic xmlns:a="http://schemas.openxmlformats.org/drawingml/2006/main">
                  <a:graphicData uri="http://schemas.microsoft.com/office/word/2010/wordprocessingShape">
                    <wps:wsp>
                      <wps:cNvSpPr/>
                      <wps:spPr>
                        <a:xfrm>
                          <a:off x="0" y="0"/>
                          <a:ext cx="2790825" cy="1762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1CA2DF"/>
                          <w:p w14:paraId="5AD1178F"/>
                          <w:p w14:paraId="6F89D07F"/>
                          <w:p w14:paraId="171F84E7"/>
                          <w:p w14:paraId="22A8D110">
                            <w:pPr>
                              <w:jc w:val="center"/>
                              <w:rPr>
                                <w:rFonts w:hAnsi="宋体"/>
                              </w:rPr>
                            </w:pPr>
                            <w:r>
                              <w:rPr>
                                <w:rFonts w:hint="eastAsia" w:hAnsi="宋体"/>
                              </w:rPr>
                              <w:t>法定代表人身份证正面</w:t>
                            </w:r>
                          </w:p>
                        </w:txbxContent>
                      </wps:txbx>
                      <wps:bodyPr upright="1"/>
                    </wps:wsp>
                  </a:graphicData>
                </a:graphic>
              </wp:anchor>
            </w:drawing>
          </mc:Choice>
          <mc:Fallback>
            <w:pict>
              <v:rect id="文本框 3" o:spid="_x0000_s1026" o:spt="1" style="position:absolute;left:0pt;margin-left:24.35pt;margin-top:5.5pt;height:138.75pt;width:219.75pt;z-index:251662336;mso-width-relative:page;mso-height-relative:page;" fillcolor="#FFFFFF" filled="t" stroked="t" coordsize="21600,21600" o:gfxdata="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w46ozXAAAACQEAAA8AAAAAAAAAAQAgAAAAIgAAAGRycy9k&#10;b3ducmV2LnhtbFBLAQIUABQAAAAIAIdO4kBiFj1MAwIAAC0EAAAOAAAAAAAAAAEAIAAAACYBAABk&#10;cnMvZTJvRG9jLnhtbFBLBQYAAAAABgAGAFkBAACbBQAAAAA=&#10;">
                <v:fill on="t" focussize="0,0"/>
                <v:stroke color="#000000" joinstyle="miter"/>
                <v:imagedata o:title=""/>
                <o:lock v:ext="edit" aspectratio="f"/>
                <v:textbox>
                  <w:txbxContent>
                    <w:p w14:paraId="761CA2DF"/>
                    <w:p w14:paraId="5AD1178F"/>
                    <w:p w14:paraId="6F89D07F"/>
                    <w:p w14:paraId="171F84E7"/>
                    <w:p w14:paraId="22A8D110">
                      <w:pPr>
                        <w:jc w:val="center"/>
                        <w:rPr>
                          <w:rFonts w:hAnsi="宋体"/>
                        </w:rPr>
                      </w:pPr>
                      <w:r>
                        <w:rPr>
                          <w:rFonts w:hint="eastAsia" w:hAnsi="宋体"/>
                        </w:rPr>
                        <w:t>法定代表人身份证正面</w:t>
                      </w:r>
                    </w:p>
                  </w:txbxContent>
                </v:textbox>
              </v:rect>
            </w:pict>
          </mc:Fallback>
        </mc:AlternateContent>
      </w:r>
    </w:p>
    <w:p w14:paraId="5470EFAB">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0A116318">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0CAE5C8F">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62A8FB77">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5FE0AB68">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3C732AA1">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27A100F8">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2A60FCD2">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2FD7E702">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r>
        <w:rPr>
          <w:rFonts w:ascii="宋体" w:hAnsi="宋体" w:eastAsia="宋体" w:cs="宋体"/>
          <w:color w:val="auto"/>
          <w:kern w:val="2"/>
          <w:sz w:val="21"/>
          <w:szCs w:val="21"/>
          <w:highlight w:val="none"/>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5080" t="4445" r="13970" b="14605"/>
                <wp:wrapNone/>
                <wp:docPr id="7" name="文本框 2"/>
                <wp:cNvGraphicFramePr/>
                <a:graphic xmlns:a="http://schemas.openxmlformats.org/drawingml/2006/main">
                  <a:graphicData uri="http://schemas.microsoft.com/office/word/2010/wordprocessingShape">
                    <wps:wsp>
                      <wps:cNvSpPr/>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DD12B8"/>
                          <w:p w14:paraId="16EE1371">
                            <w:pPr>
                              <w:jc w:val="center"/>
                              <w:rPr>
                                <w:rFonts w:hAnsi="宋体"/>
                                <w:color w:val="FF0000"/>
                              </w:rPr>
                            </w:pPr>
                          </w:p>
                          <w:p w14:paraId="1FE557C0">
                            <w:pPr>
                              <w:jc w:val="center"/>
                              <w:rPr>
                                <w:rFonts w:hAnsi="宋体"/>
                                <w:color w:val="FF0000"/>
                              </w:rPr>
                            </w:pPr>
                          </w:p>
                          <w:p w14:paraId="11894C6B">
                            <w:pPr>
                              <w:jc w:val="center"/>
                              <w:rPr>
                                <w:rFonts w:hAnsi="宋体"/>
                                <w:color w:val="FF0000"/>
                              </w:rPr>
                            </w:pPr>
                          </w:p>
                          <w:p w14:paraId="59E212DF">
                            <w:pPr>
                              <w:jc w:val="center"/>
                            </w:pPr>
                            <w:r>
                              <w:rPr>
                                <w:rFonts w:hint="eastAsia" w:hAnsi="宋体"/>
                              </w:rPr>
                              <w:t>被授权人身份证反面</w:t>
                            </w:r>
                          </w:p>
                          <w:p w14:paraId="5C7D88CB"/>
                          <w:p w14:paraId="3C0FC5BF"/>
                        </w:txbxContent>
                      </wps:txbx>
                      <wps:bodyPr upright="1"/>
                    </wps:wsp>
                  </a:graphicData>
                </a:graphic>
              </wp:anchor>
            </w:drawing>
          </mc:Choice>
          <mc:Fallback>
            <w:pict>
              <v:rect id="文本框 2" o:spid="_x0000_s1026" o:spt="1" style="position:absolute;left:0pt;margin-left:265.1pt;margin-top:8.05pt;height:139.5pt;width:216pt;z-index:251665408;mso-width-relative:page;mso-height-relative:page;" fillcolor="#FFFFFF" filled="t" stroked="t" coordsize="21600,21600" o:gfxdata="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QRRk2AAAAAoBAAAPAAAAAAAAAAEAIAAAACIA&#10;AABkcnMvZG93bnJldi54bWxQSwECFAAUAAAACACHTuJA1RcsuwkCAAAtBAAADgAAAAAAAAABACAA&#10;AAAnAQAAZHJzL2Uyb0RvYy54bWxQSwUGAAAAAAYABgBZAQAAogUAAAAA&#10;">
                <v:fill on="t" focussize="0,0"/>
                <v:stroke color="#000000" joinstyle="miter"/>
                <v:imagedata o:title=""/>
                <o:lock v:ext="edit" aspectratio="f"/>
                <v:textbox>
                  <w:txbxContent>
                    <w:p w14:paraId="67DD12B8"/>
                    <w:p w14:paraId="16EE1371">
                      <w:pPr>
                        <w:jc w:val="center"/>
                        <w:rPr>
                          <w:rFonts w:hAnsi="宋体"/>
                          <w:color w:val="FF0000"/>
                        </w:rPr>
                      </w:pPr>
                    </w:p>
                    <w:p w14:paraId="1FE557C0">
                      <w:pPr>
                        <w:jc w:val="center"/>
                        <w:rPr>
                          <w:rFonts w:hAnsi="宋体"/>
                          <w:color w:val="FF0000"/>
                        </w:rPr>
                      </w:pPr>
                    </w:p>
                    <w:p w14:paraId="11894C6B">
                      <w:pPr>
                        <w:jc w:val="center"/>
                        <w:rPr>
                          <w:rFonts w:hAnsi="宋体"/>
                          <w:color w:val="FF0000"/>
                        </w:rPr>
                      </w:pPr>
                    </w:p>
                    <w:p w14:paraId="59E212DF">
                      <w:pPr>
                        <w:jc w:val="center"/>
                      </w:pPr>
                      <w:r>
                        <w:rPr>
                          <w:rFonts w:hint="eastAsia" w:hAnsi="宋体"/>
                        </w:rPr>
                        <w:t>被授权人身份证反面</w:t>
                      </w:r>
                    </w:p>
                    <w:p w14:paraId="5C7D88CB"/>
                    <w:p w14:paraId="3C0FC5BF"/>
                  </w:txbxContent>
                </v:textbox>
              </v:rect>
            </w:pict>
          </mc:Fallback>
        </mc:AlternateContent>
      </w:r>
      <w:r>
        <w:rPr>
          <w:rFonts w:ascii="宋体" w:hAnsi="宋体" w:eastAsia="宋体" w:cs="宋体"/>
          <w:color w:val="auto"/>
          <w:kern w:val="2"/>
          <w:sz w:val="21"/>
          <w:szCs w:val="21"/>
          <w:highlight w:val="none"/>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5080" t="4445" r="13970" b="14605"/>
                <wp:wrapNone/>
                <wp:docPr id="5" name="文本框 1"/>
                <wp:cNvGraphicFramePr/>
                <a:graphic xmlns:a="http://schemas.openxmlformats.org/drawingml/2006/main">
                  <a:graphicData uri="http://schemas.microsoft.com/office/word/2010/wordprocessingShape">
                    <wps:wsp>
                      <wps:cNvSpPr/>
                      <wps:spPr>
                        <a:xfrm>
                          <a:off x="0" y="0"/>
                          <a:ext cx="2743200" cy="1771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43C3CB"/>
                          <w:p w14:paraId="51D45120">
                            <w:pPr>
                              <w:jc w:val="center"/>
                              <w:rPr>
                                <w:rFonts w:hAnsi="宋体"/>
                                <w:color w:val="FF0000"/>
                              </w:rPr>
                            </w:pPr>
                          </w:p>
                          <w:p w14:paraId="5C07DF4C">
                            <w:pPr>
                              <w:jc w:val="center"/>
                              <w:rPr>
                                <w:rFonts w:hAnsi="宋体"/>
                                <w:color w:val="FF0000"/>
                              </w:rPr>
                            </w:pPr>
                          </w:p>
                          <w:p w14:paraId="79C7F01A">
                            <w:pPr>
                              <w:jc w:val="center"/>
                              <w:rPr>
                                <w:rFonts w:hAnsi="宋体"/>
                                <w:color w:val="FF0000"/>
                              </w:rPr>
                            </w:pPr>
                          </w:p>
                          <w:p w14:paraId="3C3B59C5">
                            <w:pPr>
                              <w:jc w:val="center"/>
                            </w:pPr>
                            <w:r>
                              <w:rPr>
                                <w:rFonts w:hint="eastAsia" w:hAnsi="宋体"/>
                              </w:rPr>
                              <w:t>被授权人身份证正面</w:t>
                            </w:r>
                          </w:p>
                          <w:p w14:paraId="6CC84FC8"/>
                          <w:p w14:paraId="4138662E"/>
                        </w:txbxContent>
                      </wps:txbx>
                      <wps:bodyPr upright="1"/>
                    </wps:wsp>
                  </a:graphicData>
                </a:graphic>
              </wp:anchor>
            </w:drawing>
          </mc:Choice>
          <mc:Fallback>
            <w:pict>
              <v:rect id="文本框 1" o:spid="_x0000_s1026" o:spt="1" style="position:absolute;left:0pt;margin-left:24.35pt;margin-top:8.05pt;height:139.5pt;width:216pt;z-index:251663360;mso-width-relative:page;mso-height-relative:page;" fillcolor="#FFFFFF" filled="t" stroked="t" coordsize="21600,21600" o:gfxdata="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ZYfc9cAAAAJAQAADwAAAAAAAAABACAAAAAiAAAA&#10;ZHJzL2Rvd25yZXYueG1sUEsBAhQAFAAAAAgAh07iQBSRDoEIAgAALQQAAA4AAAAAAAAAAQAgAAAA&#10;JgEAAGRycy9lMm9Eb2MueG1sUEsFBgAAAAAGAAYAWQEAAKAFAAAAAA==&#10;">
                <v:fill on="t" focussize="0,0"/>
                <v:stroke color="#000000" joinstyle="miter"/>
                <v:imagedata o:title=""/>
                <o:lock v:ext="edit" aspectratio="f"/>
                <v:textbox>
                  <w:txbxContent>
                    <w:p w14:paraId="5343C3CB"/>
                    <w:p w14:paraId="51D45120">
                      <w:pPr>
                        <w:jc w:val="center"/>
                        <w:rPr>
                          <w:rFonts w:hAnsi="宋体"/>
                          <w:color w:val="FF0000"/>
                        </w:rPr>
                      </w:pPr>
                    </w:p>
                    <w:p w14:paraId="5C07DF4C">
                      <w:pPr>
                        <w:jc w:val="center"/>
                        <w:rPr>
                          <w:rFonts w:hAnsi="宋体"/>
                          <w:color w:val="FF0000"/>
                        </w:rPr>
                      </w:pPr>
                    </w:p>
                    <w:p w14:paraId="79C7F01A">
                      <w:pPr>
                        <w:jc w:val="center"/>
                        <w:rPr>
                          <w:rFonts w:hAnsi="宋体"/>
                          <w:color w:val="FF0000"/>
                        </w:rPr>
                      </w:pPr>
                    </w:p>
                    <w:p w14:paraId="3C3B59C5">
                      <w:pPr>
                        <w:jc w:val="center"/>
                      </w:pPr>
                      <w:r>
                        <w:rPr>
                          <w:rFonts w:hint="eastAsia" w:hAnsi="宋体"/>
                        </w:rPr>
                        <w:t>被授权人身份证正面</w:t>
                      </w:r>
                    </w:p>
                    <w:p w14:paraId="6CC84FC8"/>
                    <w:p w14:paraId="4138662E"/>
                  </w:txbxContent>
                </v:textbox>
              </v:rect>
            </w:pict>
          </mc:Fallback>
        </mc:AlternateContent>
      </w:r>
    </w:p>
    <w:p w14:paraId="41B430F6">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7918E555">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51E7BEFB">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3AF2E591">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25A0B4FD">
      <w:pPr>
        <w:keepNext w:val="0"/>
        <w:keepLines w:val="0"/>
        <w:widowControl/>
        <w:kinsoku/>
        <w:wordWrap/>
        <w:overflowPunct/>
        <w:topLinePunct w:val="0"/>
        <w:autoSpaceDE w:val="0"/>
        <w:autoSpaceDN w:val="0"/>
        <w:bidi w:val="0"/>
        <w:snapToGrid/>
        <w:spacing w:before="120" w:after="120" w:line="360" w:lineRule="auto"/>
        <w:ind w:right="781" w:rightChars="372" w:firstLine="420" w:firstLineChars="200"/>
        <w:textAlignment w:val="bottom"/>
        <w:outlineLvl w:val="9"/>
        <w:rPr>
          <w:rFonts w:ascii="宋体" w:hAnsi="宋体" w:eastAsia="宋体" w:cs="宋体"/>
          <w:color w:val="auto"/>
          <w:szCs w:val="24"/>
          <w:highlight w:val="none"/>
        </w:rPr>
      </w:pPr>
    </w:p>
    <w:p w14:paraId="0FE78B60">
      <w:pPr>
        <w:keepNext w:val="0"/>
        <w:keepLines w:val="0"/>
        <w:widowControl/>
        <w:kinsoku/>
        <w:wordWrap/>
        <w:overflowPunct/>
        <w:topLinePunct w:val="0"/>
        <w:autoSpaceDE w:val="0"/>
        <w:autoSpaceDN w:val="0"/>
        <w:bidi w:val="0"/>
        <w:snapToGrid/>
        <w:spacing w:before="120" w:after="120" w:line="360" w:lineRule="auto"/>
        <w:ind w:right="781" w:rightChars="372" w:firstLine="422" w:firstLineChars="200"/>
        <w:textAlignment w:val="bottom"/>
        <w:outlineLvl w:val="9"/>
        <w:rPr>
          <w:rFonts w:ascii="宋体" w:hAnsi="宋体" w:eastAsia="宋体" w:cs="宋体"/>
          <w:b/>
          <w:color w:val="auto"/>
          <w:szCs w:val="24"/>
          <w:highlight w:val="none"/>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44581DC6">
      <w:pPr>
        <w:keepNext w:val="0"/>
        <w:keepLines w:val="0"/>
        <w:pageBreakBefore/>
        <w:kinsoku/>
        <w:wordWrap/>
        <w:overflowPunct/>
        <w:topLinePunct w:val="0"/>
        <w:bidi w:val="0"/>
        <w:snapToGrid/>
        <w:spacing w:line="360" w:lineRule="auto"/>
        <w:outlineLvl w:val="9"/>
        <w:rPr>
          <w:rFonts w:hint="eastAsia" w:hAnsi="宋体" w:cs="宋体"/>
          <w:b/>
          <w:color w:val="auto"/>
          <w:kern w:val="0"/>
          <w:sz w:val="30"/>
          <w:szCs w:val="30"/>
          <w:highlight w:val="none"/>
          <w:lang w:val="en-US" w:eastAsia="zh-CN"/>
        </w:rPr>
      </w:pPr>
      <w:bookmarkStart w:id="718" w:name="_Toc30324"/>
      <w:bookmarkStart w:id="719" w:name="_Toc15489"/>
      <w:bookmarkStart w:id="720" w:name="_Toc32328"/>
      <w:bookmarkStart w:id="721" w:name="_Toc15716"/>
      <w:bookmarkStart w:id="722" w:name="_Toc12400"/>
      <w:bookmarkStart w:id="723" w:name="_Toc142508373"/>
      <w:bookmarkStart w:id="724" w:name="_Toc140596933"/>
      <w:bookmarkStart w:id="725" w:name="_Toc1977730"/>
      <w:bookmarkStart w:id="726" w:name="_Toc104991880"/>
      <w:bookmarkStart w:id="727" w:name="_Toc94107214"/>
      <w:r>
        <w:rPr>
          <w:rFonts w:hint="eastAsia" w:hAnsi="宋体" w:cs="宋体"/>
          <w:b/>
          <w:color w:val="auto"/>
          <w:kern w:val="0"/>
          <w:sz w:val="30"/>
          <w:szCs w:val="30"/>
          <w:highlight w:val="none"/>
          <w:lang w:val="en-US" w:eastAsia="zh-CN"/>
        </w:rPr>
        <w:t xml:space="preserve">5.4 </w:t>
      </w:r>
      <w:bookmarkEnd w:id="718"/>
      <w:r>
        <w:rPr>
          <w:rFonts w:hint="eastAsia" w:hAnsi="宋体" w:eastAsia="宋体" w:cs="宋体"/>
          <w:b/>
          <w:color w:val="auto"/>
          <w:sz w:val="30"/>
          <w:szCs w:val="30"/>
          <w:highlight w:val="none"/>
          <w:lang w:val="zh-CN"/>
        </w:rPr>
        <w:t>投标人须</w:t>
      </w:r>
      <w:r>
        <w:rPr>
          <w:rFonts w:hint="eastAsia" w:hAnsi="宋体" w:cs="宋体"/>
          <w:b/>
          <w:color w:val="auto"/>
          <w:sz w:val="30"/>
          <w:szCs w:val="30"/>
          <w:highlight w:val="none"/>
          <w:lang w:val="zh-CN"/>
        </w:rPr>
        <w:t>同时</w:t>
      </w:r>
      <w:r>
        <w:rPr>
          <w:rFonts w:hint="eastAsia" w:hAnsi="宋体" w:eastAsia="宋体" w:cs="宋体"/>
          <w:b/>
          <w:color w:val="auto"/>
          <w:sz w:val="30"/>
          <w:szCs w:val="30"/>
          <w:highlight w:val="none"/>
          <w:lang w:val="zh-CN"/>
        </w:rPr>
        <w:t>具备由住房和城乡建设部门颁发的并在有效期内的建设工程质量检测机构资质证书（须同时涵盖见证取样检测、地基基础工程检测、主体结构工程现场检测、钢结构工程检测），或者是建设工程质量检测机构综合资质证书，或者是建设工程质量检测机构专项资质证书（须同时取得</w:t>
      </w:r>
      <w:r>
        <w:rPr>
          <w:rFonts w:hint="eastAsia" w:hAnsi="宋体" w:cs="宋体"/>
          <w:b/>
          <w:color w:val="auto"/>
          <w:sz w:val="30"/>
          <w:szCs w:val="30"/>
          <w:highlight w:val="none"/>
          <w:lang w:val="zh-CN"/>
        </w:rPr>
        <w:t>建筑材料及构配件、钢结构、地基基础、市政工程材料、道路工程</w:t>
      </w:r>
      <w:r>
        <w:rPr>
          <w:rFonts w:hint="eastAsia" w:hAnsi="宋体" w:cs="宋体"/>
          <w:b/>
          <w:color w:val="auto"/>
          <w:sz w:val="30"/>
          <w:szCs w:val="30"/>
          <w:highlight w:val="none"/>
          <w:lang w:val="en-US" w:eastAsia="zh-CN"/>
        </w:rPr>
        <w:t>5</w:t>
      </w:r>
      <w:r>
        <w:rPr>
          <w:rFonts w:hint="eastAsia" w:hAnsi="宋体" w:cs="宋体"/>
          <w:b/>
          <w:color w:val="auto"/>
          <w:sz w:val="30"/>
          <w:szCs w:val="30"/>
          <w:highlight w:val="none"/>
          <w:lang w:val="zh-CN"/>
        </w:rPr>
        <w:t>个专项资质</w:t>
      </w:r>
      <w:r>
        <w:rPr>
          <w:rFonts w:hint="eastAsia" w:hAnsi="宋体" w:eastAsia="宋体" w:cs="宋体"/>
          <w:b/>
          <w:color w:val="auto"/>
          <w:sz w:val="30"/>
          <w:szCs w:val="30"/>
          <w:highlight w:val="none"/>
          <w:lang w:val="zh-CN"/>
        </w:rPr>
        <w:t>）</w:t>
      </w:r>
      <w:r>
        <w:rPr>
          <w:rFonts w:hint="eastAsia" w:hAnsi="宋体" w:cs="宋体"/>
          <w:b/>
          <w:color w:val="auto"/>
          <w:sz w:val="30"/>
          <w:szCs w:val="30"/>
          <w:highlight w:val="none"/>
          <w:lang w:val="zh-CN"/>
        </w:rPr>
        <w:t>和计量行政部门颁发的CMA计量认证证书</w:t>
      </w:r>
      <w:r>
        <w:rPr>
          <w:rFonts w:hint="eastAsia" w:hAnsi="宋体" w:eastAsia="宋体" w:cs="宋体"/>
          <w:b/>
          <w:color w:val="auto"/>
          <w:sz w:val="30"/>
          <w:szCs w:val="30"/>
          <w:highlight w:val="none"/>
          <w:lang w:val="zh-CN"/>
        </w:rPr>
        <w:t>；</w:t>
      </w:r>
      <w:bookmarkEnd w:id="719"/>
    </w:p>
    <w:p w14:paraId="4A3DA76C">
      <w:pPr>
        <w:keepNext w:val="0"/>
        <w:keepLines w:val="0"/>
        <w:pageBreakBefore/>
        <w:kinsoku/>
        <w:wordWrap/>
        <w:overflowPunct/>
        <w:topLinePunct w:val="0"/>
        <w:bidi w:val="0"/>
        <w:snapToGrid/>
        <w:spacing w:line="360" w:lineRule="auto"/>
        <w:outlineLvl w:val="9"/>
        <w:rPr>
          <w:rFonts w:hint="default" w:hAnsi="宋体" w:eastAsia="宋体"/>
          <w:b/>
          <w:color w:val="auto"/>
          <w:sz w:val="30"/>
          <w:szCs w:val="30"/>
          <w:highlight w:val="none"/>
          <w:lang w:val="en-US" w:eastAsia="zh-CN"/>
        </w:rPr>
      </w:pPr>
      <w:bookmarkStart w:id="728" w:name="_Toc4530"/>
      <w:bookmarkStart w:id="729" w:name="_Toc23910"/>
      <w:r>
        <w:rPr>
          <w:rFonts w:hint="eastAsia" w:hAnsi="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w:t>
      </w:r>
      <w:r>
        <w:rPr>
          <w:rFonts w:hint="eastAsia" w:hAnsi="宋体" w:cs="宋体"/>
          <w:b/>
          <w:color w:val="auto"/>
          <w:kern w:val="0"/>
          <w:sz w:val="30"/>
          <w:szCs w:val="30"/>
          <w:highlight w:val="none"/>
          <w:lang w:val="en-US" w:eastAsia="zh-CN"/>
        </w:rPr>
        <w:t>5</w:t>
      </w:r>
      <w:r>
        <w:rPr>
          <w:rFonts w:ascii="宋体" w:hAnsi="宋体" w:eastAsia="宋体" w:cs="宋体"/>
          <w:b/>
          <w:color w:val="auto"/>
          <w:kern w:val="0"/>
          <w:sz w:val="30"/>
          <w:szCs w:val="30"/>
          <w:highlight w:val="none"/>
        </w:rPr>
        <w:t xml:space="preserve"> </w:t>
      </w:r>
      <w:r>
        <w:rPr>
          <w:rFonts w:hint="eastAsia" w:hAnsi="宋体"/>
          <w:b/>
          <w:bCs/>
          <w:color w:val="auto"/>
          <w:kern w:val="2"/>
          <w:sz w:val="32"/>
          <w:szCs w:val="32"/>
          <w:highlight w:val="none"/>
        </w:rPr>
        <w:t>资格业绩</w:t>
      </w:r>
      <w:r>
        <w:rPr>
          <w:rFonts w:hint="eastAsia" w:ascii="宋体" w:hAnsi="宋体" w:eastAsia="宋体"/>
          <w:b/>
          <w:bCs/>
          <w:color w:val="auto"/>
          <w:sz w:val="32"/>
          <w:szCs w:val="32"/>
          <w:highlight w:val="none"/>
        </w:rPr>
        <w:t>【</w:t>
      </w:r>
      <w:bookmarkEnd w:id="720"/>
      <w:bookmarkEnd w:id="721"/>
      <w:bookmarkEnd w:id="722"/>
      <w:r>
        <w:rPr>
          <w:rFonts w:hint="eastAsia" w:ascii="宋体" w:hAnsi="宋体" w:eastAsia="宋体"/>
          <w:b/>
          <w:bCs/>
          <w:color w:val="auto"/>
          <w:sz w:val="32"/>
          <w:szCs w:val="32"/>
          <w:highlight w:val="none"/>
        </w:rPr>
        <w:t>投标人</w:t>
      </w:r>
      <w:r>
        <w:rPr>
          <w:rFonts w:hint="eastAsia" w:hAnsi="宋体"/>
          <w:b/>
          <w:bCs/>
          <w:color w:val="auto"/>
          <w:sz w:val="32"/>
          <w:szCs w:val="32"/>
          <w:highlight w:val="none"/>
          <w:lang w:eastAsia="zh-CN"/>
        </w:rPr>
        <w:t>2020年</w:t>
      </w:r>
      <w:r>
        <w:rPr>
          <w:rFonts w:hint="eastAsia" w:ascii="宋体" w:hAnsi="宋体" w:eastAsia="宋体"/>
          <w:b/>
          <w:bCs/>
          <w:color w:val="auto"/>
          <w:sz w:val="32"/>
          <w:szCs w:val="32"/>
          <w:highlight w:val="none"/>
        </w:rPr>
        <w:t>1月1日以来具有一项市政工程检测业绩（合同签订日期为</w:t>
      </w:r>
      <w:r>
        <w:rPr>
          <w:rFonts w:hint="eastAsia" w:hAnsi="宋体"/>
          <w:b/>
          <w:bCs/>
          <w:color w:val="auto"/>
          <w:sz w:val="32"/>
          <w:szCs w:val="32"/>
          <w:highlight w:val="none"/>
          <w:lang w:eastAsia="zh-CN"/>
        </w:rPr>
        <w:t>2020年</w:t>
      </w:r>
      <w:r>
        <w:rPr>
          <w:rFonts w:hint="eastAsia" w:ascii="宋体" w:hAnsi="宋体" w:eastAsia="宋体"/>
          <w:b/>
          <w:bCs/>
          <w:color w:val="auto"/>
          <w:sz w:val="32"/>
          <w:szCs w:val="32"/>
          <w:highlight w:val="none"/>
        </w:rPr>
        <w:t>1月1日或以后</w:t>
      </w:r>
      <w:r>
        <w:rPr>
          <w:rFonts w:hint="eastAsia" w:hAnsi="宋体"/>
          <w:b/>
          <w:bCs/>
          <w:color w:val="auto"/>
          <w:sz w:val="32"/>
          <w:szCs w:val="32"/>
          <w:highlight w:val="none"/>
          <w:lang w:val="en-US" w:eastAsia="zh-CN"/>
        </w:rPr>
        <w:t>)】</w:t>
      </w:r>
      <w:bookmarkEnd w:id="728"/>
      <w:bookmarkEnd w:id="729"/>
    </w:p>
    <w:p w14:paraId="0FC0E1C7">
      <w:pPr>
        <w:keepNext w:val="0"/>
        <w:keepLines w:val="0"/>
        <w:kinsoku/>
        <w:wordWrap/>
        <w:overflowPunct/>
        <w:topLinePunct w:val="0"/>
        <w:bidi w:val="0"/>
        <w:snapToGrid/>
        <w:spacing w:line="360" w:lineRule="auto"/>
        <w:outlineLvl w:val="9"/>
        <w:rPr>
          <w:rFonts w:hint="eastAsia" w:ascii="宋体" w:hAnsi="宋体" w:eastAsia="宋体" w:cs="宋体"/>
          <w:b/>
          <w:color w:val="auto"/>
          <w:szCs w:val="21"/>
          <w:highlight w:val="none"/>
          <w:lang w:val="zh-CN"/>
        </w:rPr>
      </w:pPr>
    </w:p>
    <w:tbl>
      <w:tblPr>
        <w:tblStyle w:val="36"/>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725"/>
        <w:gridCol w:w="1051"/>
        <w:gridCol w:w="1052"/>
        <w:gridCol w:w="1052"/>
        <w:gridCol w:w="1224"/>
        <w:gridCol w:w="1052"/>
        <w:gridCol w:w="1053"/>
        <w:gridCol w:w="1053"/>
        <w:gridCol w:w="865"/>
      </w:tblGrid>
      <w:tr w14:paraId="7C77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725" w:type="dxa"/>
            <w:vAlign w:val="center"/>
          </w:tcPr>
          <w:p w14:paraId="4B633CC5">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051" w:type="dxa"/>
            <w:vAlign w:val="center"/>
          </w:tcPr>
          <w:p w14:paraId="342DD18F">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052" w:type="dxa"/>
            <w:vAlign w:val="center"/>
          </w:tcPr>
          <w:p w14:paraId="416B6E0F">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1052" w:type="dxa"/>
            <w:vAlign w:val="center"/>
          </w:tcPr>
          <w:p w14:paraId="128BECD8">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1224" w:type="dxa"/>
            <w:vAlign w:val="center"/>
          </w:tcPr>
          <w:p w14:paraId="256D3718">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1052" w:type="dxa"/>
            <w:vAlign w:val="center"/>
          </w:tcPr>
          <w:p w14:paraId="033915AB">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1053" w:type="dxa"/>
            <w:vAlign w:val="center"/>
          </w:tcPr>
          <w:p w14:paraId="7D7A4C19">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1053" w:type="dxa"/>
            <w:vAlign w:val="center"/>
          </w:tcPr>
          <w:p w14:paraId="4167E427">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865" w:type="dxa"/>
            <w:vAlign w:val="center"/>
          </w:tcPr>
          <w:p w14:paraId="5F1821DA">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519C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25" w:type="dxa"/>
            <w:vAlign w:val="center"/>
          </w:tcPr>
          <w:p w14:paraId="64423CB6">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051" w:type="dxa"/>
            <w:vAlign w:val="center"/>
          </w:tcPr>
          <w:p w14:paraId="5E2ED7F8">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2" w:type="dxa"/>
            <w:vAlign w:val="center"/>
          </w:tcPr>
          <w:p w14:paraId="246FFCB5">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2" w:type="dxa"/>
            <w:vAlign w:val="center"/>
          </w:tcPr>
          <w:p w14:paraId="34EFDD6B">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224" w:type="dxa"/>
            <w:vAlign w:val="center"/>
          </w:tcPr>
          <w:p w14:paraId="49190316">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2" w:type="dxa"/>
            <w:vAlign w:val="top"/>
          </w:tcPr>
          <w:p w14:paraId="78089E2E">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3" w:type="dxa"/>
            <w:vAlign w:val="center"/>
          </w:tcPr>
          <w:p w14:paraId="1CA3DFE1">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3" w:type="dxa"/>
            <w:vAlign w:val="center"/>
          </w:tcPr>
          <w:p w14:paraId="482508B6">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865" w:type="dxa"/>
            <w:vAlign w:val="center"/>
          </w:tcPr>
          <w:p w14:paraId="44A6E95A">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14:paraId="03449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25" w:type="dxa"/>
            <w:vAlign w:val="center"/>
          </w:tcPr>
          <w:p w14:paraId="797250E6">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051" w:type="dxa"/>
            <w:vAlign w:val="center"/>
          </w:tcPr>
          <w:p w14:paraId="116247D8">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2" w:type="dxa"/>
            <w:vAlign w:val="center"/>
          </w:tcPr>
          <w:p w14:paraId="28CDD6BF">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2" w:type="dxa"/>
            <w:vAlign w:val="center"/>
          </w:tcPr>
          <w:p w14:paraId="48FBF200">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224" w:type="dxa"/>
            <w:vAlign w:val="center"/>
          </w:tcPr>
          <w:p w14:paraId="5E2BFC8F">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2" w:type="dxa"/>
            <w:vAlign w:val="top"/>
          </w:tcPr>
          <w:p w14:paraId="2A85BEB1">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3" w:type="dxa"/>
            <w:vAlign w:val="center"/>
          </w:tcPr>
          <w:p w14:paraId="558D5CC4">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3" w:type="dxa"/>
            <w:vAlign w:val="center"/>
          </w:tcPr>
          <w:p w14:paraId="216210ED">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865" w:type="dxa"/>
            <w:vAlign w:val="center"/>
          </w:tcPr>
          <w:p w14:paraId="1522C4CF">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14:paraId="0D9A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25" w:type="dxa"/>
            <w:vAlign w:val="center"/>
          </w:tcPr>
          <w:p w14:paraId="597CA0B8">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051" w:type="dxa"/>
            <w:vAlign w:val="center"/>
          </w:tcPr>
          <w:p w14:paraId="35C22FE9">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2" w:type="dxa"/>
            <w:vAlign w:val="center"/>
          </w:tcPr>
          <w:p w14:paraId="7CAF025A">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2" w:type="dxa"/>
            <w:vAlign w:val="center"/>
          </w:tcPr>
          <w:p w14:paraId="4DED41AB">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224" w:type="dxa"/>
            <w:vAlign w:val="center"/>
          </w:tcPr>
          <w:p w14:paraId="61206871">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2" w:type="dxa"/>
            <w:vAlign w:val="top"/>
          </w:tcPr>
          <w:p w14:paraId="5A556E61">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3" w:type="dxa"/>
            <w:vAlign w:val="center"/>
          </w:tcPr>
          <w:p w14:paraId="388958EF">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3" w:type="dxa"/>
            <w:vAlign w:val="center"/>
          </w:tcPr>
          <w:p w14:paraId="48F6BC78">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865" w:type="dxa"/>
            <w:vAlign w:val="center"/>
          </w:tcPr>
          <w:p w14:paraId="5B63D378">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r w14:paraId="3B8E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725" w:type="dxa"/>
            <w:vAlign w:val="center"/>
          </w:tcPr>
          <w:p w14:paraId="23315D69">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r>
              <w:rPr>
                <w:rFonts w:hint="default" w:ascii="宋体" w:hAnsi="宋体" w:eastAsia="宋体" w:cs="Courier New"/>
                <w:color w:val="auto"/>
                <w:kern w:val="0"/>
                <w:szCs w:val="21"/>
                <w:highlight w:val="none"/>
              </w:rPr>
              <w:t>…</w:t>
            </w:r>
          </w:p>
        </w:tc>
        <w:tc>
          <w:tcPr>
            <w:tcW w:w="1051" w:type="dxa"/>
            <w:vAlign w:val="center"/>
          </w:tcPr>
          <w:p w14:paraId="31EED1F6">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2" w:type="dxa"/>
            <w:vAlign w:val="center"/>
          </w:tcPr>
          <w:p w14:paraId="495349F5">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2" w:type="dxa"/>
            <w:vAlign w:val="center"/>
          </w:tcPr>
          <w:p w14:paraId="002216E7">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224" w:type="dxa"/>
            <w:vAlign w:val="center"/>
          </w:tcPr>
          <w:p w14:paraId="64255DC6">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2" w:type="dxa"/>
            <w:vAlign w:val="top"/>
          </w:tcPr>
          <w:p w14:paraId="258DCA32">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3" w:type="dxa"/>
            <w:vAlign w:val="center"/>
          </w:tcPr>
          <w:p w14:paraId="7BE5720E">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1053" w:type="dxa"/>
            <w:vAlign w:val="center"/>
          </w:tcPr>
          <w:p w14:paraId="28180ED2">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c>
          <w:tcPr>
            <w:tcW w:w="865" w:type="dxa"/>
            <w:vAlign w:val="center"/>
          </w:tcPr>
          <w:p w14:paraId="52386FAA">
            <w:pPr>
              <w:keepNext w:val="0"/>
              <w:keepLines w:val="0"/>
              <w:suppressLineNumbers w:val="0"/>
              <w:kinsoku/>
              <w:wordWrap/>
              <w:overflowPunct/>
              <w:topLinePunct w:val="0"/>
              <w:bidi w:val="0"/>
              <w:snapToGrid/>
              <w:spacing w:before="0" w:beforeAutospacing="0" w:after="0" w:afterAutospacing="0"/>
              <w:ind w:left="0" w:right="0"/>
              <w:jc w:val="center"/>
              <w:outlineLvl w:val="9"/>
              <w:rPr>
                <w:rFonts w:hint="eastAsia" w:ascii="宋体" w:hAnsi="宋体" w:eastAsia="宋体" w:cs="宋体"/>
                <w:color w:val="auto"/>
                <w:sz w:val="21"/>
                <w:szCs w:val="21"/>
                <w:highlight w:val="none"/>
              </w:rPr>
            </w:pPr>
          </w:p>
        </w:tc>
      </w:tr>
    </w:tbl>
    <w:p w14:paraId="618F5C38">
      <w:pPr>
        <w:keepNext w:val="0"/>
        <w:keepLines w:val="0"/>
        <w:kinsoku/>
        <w:wordWrap/>
        <w:overflowPunct/>
        <w:topLinePunct w:val="0"/>
        <w:bidi w:val="0"/>
        <w:snapToGrid/>
        <w:spacing w:line="360" w:lineRule="auto"/>
        <w:ind w:left="424" w:hanging="424" w:hangingChars="201"/>
        <w:outlineLvl w:val="9"/>
        <w:rPr>
          <w:rFonts w:hint="eastAsia" w:ascii="宋体" w:hAnsi="宋体" w:eastAsia="宋体" w:cs="宋体"/>
          <w:b/>
          <w:color w:val="auto"/>
          <w:szCs w:val="21"/>
          <w:highlight w:val="none"/>
          <w:lang w:val="zh-CN"/>
        </w:rPr>
      </w:pPr>
    </w:p>
    <w:p w14:paraId="2227C9F7">
      <w:pPr>
        <w:keepNext w:val="0"/>
        <w:keepLines w:val="0"/>
        <w:kinsoku/>
        <w:wordWrap/>
        <w:overflowPunct/>
        <w:topLinePunct w:val="0"/>
        <w:bidi w:val="0"/>
        <w:snapToGrid/>
        <w:spacing w:line="360" w:lineRule="auto"/>
        <w:ind w:left="424" w:hanging="424" w:hangingChars="201"/>
        <w:outlineLvl w:val="9"/>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6B1F0338">
      <w:pPr>
        <w:keepNext w:val="0"/>
        <w:keepLines w:val="0"/>
        <w:kinsoku/>
        <w:wordWrap/>
        <w:overflowPunct/>
        <w:topLinePunct w:val="0"/>
        <w:bidi w:val="0"/>
        <w:snapToGrid/>
        <w:spacing w:line="360" w:lineRule="auto"/>
        <w:ind w:left="422" w:hanging="422" w:hangingChars="201"/>
        <w:outlineLvl w:val="9"/>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（1）</w:t>
      </w:r>
      <w:r>
        <w:rPr>
          <w:rFonts w:hint="eastAsia" w:ascii="宋体" w:hAnsi="宋体" w:eastAsia="宋体" w:cs="宋体"/>
          <w:b w:val="0"/>
          <w:bCs w:val="0"/>
          <w:color w:val="auto"/>
          <w:szCs w:val="21"/>
          <w:highlight w:val="none"/>
        </w:rPr>
        <w:t>业绩须附合同复印件</w:t>
      </w:r>
      <w:r>
        <w:rPr>
          <w:rFonts w:hint="eastAsia" w:ascii="宋体" w:hAnsi="宋体" w:eastAsia="宋体" w:cs="宋体"/>
          <w:b w:val="0"/>
          <w:bCs w:val="0"/>
          <w:color w:val="auto"/>
          <w:szCs w:val="21"/>
          <w:highlight w:val="none"/>
          <w:lang w:val="zh-CN"/>
        </w:rPr>
        <w:t>。</w:t>
      </w:r>
    </w:p>
    <w:p w14:paraId="2AA0CD80">
      <w:pPr>
        <w:keepNext w:val="0"/>
        <w:keepLines w:val="0"/>
        <w:kinsoku/>
        <w:wordWrap/>
        <w:overflowPunct/>
        <w:topLinePunct w:val="0"/>
        <w:bidi w:val="0"/>
        <w:snapToGrid/>
        <w:spacing w:line="360" w:lineRule="auto"/>
        <w:ind w:left="422" w:hanging="422" w:hangingChars="201"/>
        <w:outlineLvl w:val="9"/>
        <w:rPr>
          <w:rFonts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lang w:val="zh-CN"/>
        </w:rPr>
        <w:t>（2）</w:t>
      </w:r>
      <w:r>
        <w:rPr>
          <w:rFonts w:hint="eastAsia" w:ascii="宋体" w:hAnsi="宋体" w:eastAsia="宋体" w:cs="宋体"/>
          <w:b w:val="0"/>
          <w:bCs w:val="0"/>
          <w:color w:val="auto"/>
          <w:szCs w:val="21"/>
          <w:highlight w:val="none"/>
        </w:rPr>
        <w:t>合同业绩证明材料必须能反映资格业绩条件</w:t>
      </w:r>
      <w:r>
        <w:rPr>
          <w:rFonts w:hint="eastAsia" w:ascii="宋体" w:hAnsi="宋体" w:eastAsia="宋体" w:cs="宋体"/>
          <w:b w:val="0"/>
          <w:bCs w:val="0"/>
          <w:color w:val="auto"/>
          <w:szCs w:val="21"/>
          <w:highlight w:val="none"/>
          <w:lang w:eastAsia="zh-CN"/>
        </w:rPr>
        <w:t>（</w:t>
      </w:r>
      <w:r>
        <w:rPr>
          <w:rFonts w:hint="eastAsia" w:ascii="宋体" w:hAnsi="宋体" w:eastAsia="宋体" w:cs="宋体"/>
          <w:b w:val="0"/>
          <w:bCs w:val="0"/>
          <w:color w:val="auto"/>
          <w:szCs w:val="21"/>
          <w:highlight w:val="none"/>
        </w:rPr>
        <w:t>合同签订日期为</w:t>
      </w:r>
      <w:r>
        <w:rPr>
          <w:rFonts w:hint="eastAsia" w:ascii="宋体" w:hAnsi="宋体" w:eastAsia="宋体" w:cs="宋体"/>
          <w:b w:val="0"/>
          <w:bCs w:val="0"/>
          <w:color w:val="auto"/>
          <w:szCs w:val="21"/>
          <w:highlight w:val="none"/>
          <w:lang w:val="en-US" w:eastAsia="zh-CN"/>
        </w:rPr>
        <w:t>2020年</w:t>
      </w:r>
      <w:r>
        <w:rPr>
          <w:rFonts w:hint="eastAsia" w:ascii="宋体" w:hAnsi="宋体" w:eastAsia="宋体" w:cs="宋体"/>
          <w:b w:val="0"/>
          <w:bCs w:val="0"/>
          <w:color w:val="auto"/>
          <w:szCs w:val="21"/>
          <w:highlight w:val="none"/>
        </w:rPr>
        <w:t>1月1日或以后，业绩类型为市政工程检测</w:t>
      </w:r>
      <w:r>
        <w:rPr>
          <w:rFonts w:hint="eastAsia" w:ascii="宋体" w:hAnsi="宋体" w:eastAsia="宋体" w:cs="宋体"/>
          <w:b w:val="0"/>
          <w:bCs w:val="0"/>
          <w:color w:val="auto"/>
          <w:szCs w:val="21"/>
          <w:highlight w:val="none"/>
          <w:lang w:eastAsia="zh-CN"/>
        </w:rPr>
        <w:t>），否则需同时提供合同委托方出具的书面补充情况说明文件复印件（需加盖委托方公章，即复印件能显示委托方公章）</w:t>
      </w:r>
      <w:r>
        <w:rPr>
          <w:rFonts w:hint="eastAsia" w:ascii="宋体" w:hAnsi="宋体" w:eastAsia="宋体" w:cs="宋体"/>
          <w:b w:val="0"/>
          <w:bCs w:val="0"/>
          <w:color w:val="auto"/>
          <w:szCs w:val="21"/>
          <w:highlight w:val="none"/>
          <w:lang w:val="zh-CN"/>
        </w:rPr>
        <w:t>。</w:t>
      </w:r>
    </w:p>
    <w:p w14:paraId="7F7485D4">
      <w:pPr>
        <w:keepNext w:val="0"/>
        <w:keepLines w:val="0"/>
        <w:widowControl w:val="0"/>
        <w:tabs>
          <w:tab w:val="left" w:pos="567"/>
        </w:tabs>
        <w:kinsoku/>
        <w:wordWrap/>
        <w:overflowPunct/>
        <w:topLinePunct w:val="0"/>
        <w:autoSpaceDE w:val="0"/>
        <w:autoSpaceDN w:val="0"/>
        <w:bidi w:val="0"/>
        <w:adjustRightInd w:val="0"/>
        <w:snapToGrid/>
        <w:spacing w:line="360" w:lineRule="auto"/>
        <w:ind w:left="0" w:leftChars="0" w:right="0" w:firstLine="0" w:firstLineChars="0"/>
        <w:jc w:val="left"/>
        <w:textAlignment w:val="auto"/>
        <w:outlineLvl w:val="9"/>
        <w:rPr>
          <w:rFonts w:ascii="宋体" w:hAnsi="宋体" w:eastAsia="宋体" w:cs="宋体"/>
          <w:b/>
          <w:color w:val="auto"/>
          <w:kern w:val="0"/>
          <w:sz w:val="30"/>
          <w:szCs w:val="30"/>
          <w:highlight w:val="none"/>
        </w:rPr>
      </w:pPr>
      <w:bookmarkStart w:id="730" w:name="_Toc20010"/>
      <w:bookmarkStart w:id="731" w:name="_Toc24862"/>
      <w:bookmarkStart w:id="732" w:name="_Toc12931"/>
      <w:bookmarkStart w:id="733" w:name="_Toc31060"/>
      <w:r>
        <w:rPr>
          <w:rFonts w:hint="eastAsia" w:ascii="宋体" w:hAnsi="宋体" w:eastAsia="宋体" w:cs="宋体"/>
          <w:b/>
          <w:color w:val="auto"/>
          <w:szCs w:val="21"/>
          <w:highlight w:val="none"/>
          <w:lang w:val="zh-CN"/>
        </w:rPr>
        <w:t>（3）</w:t>
      </w:r>
      <w:bookmarkEnd w:id="730"/>
      <w:bookmarkEnd w:id="731"/>
      <w:bookmarkEnd w:id="732"/>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bookmarkEnd w:id="733"/>
    </w:p>
    <w:p w14:paraId="70D6C2F1">
      <w:pPr>
        <w:keepNext w:val="0"/>
        <w:keepLines w:val="0"/>
        <w:kinsoku/>
        <w:wordWrap/>
        <w:overflowPunct/>
        <w:topLinePunct w:val="0"/>
        <w:bidi w:val="0"/>
        <w:snapToGrid/>
        <w:outlineLvl w:val="9"/>
        <w:rPr>
          <w:rFonts w:ascii="宋体" w:hAnsi="宋体" w:eastAsia="宋体" w:cs="宋体"/>
          <w:b/>
          <w:color w:val="auto"/>
          <w:kern w:val="0"/>
          <w:sz w:val="30"/>
          <w:szCs w:val="30"/>
          <w:highlight w:val="none"/>
        </w:rPr>
      </w:pPr>
      <w:r>
        <w:rPr>
          <w:rFonts w:ascii="宋体" w:hAnsi="宋体" w:eastAsia="宋体" w:cs="宋体"/>
          <w:b/>
          <w:color w:val="auto"/>
          <w:kern w:val="0"/>
          <w:sz w:val="30"/>
          <w:szCs w:val="30"/>
          <w:highlight w:val="none"/>
        </w:rPr>
        <w:br w:type="page"/>
      </w:r>
    </w:p>
    <w:p w14:paraId="761CACA1">
      <w:pPr>
        <w:keepNext w:val="0"/>
        <w:keepLines w:val="0"/>
        <w:tabs>
          <w:tab w:val="left" w:pos="567"/>
        </w:tabs>
        <w:kinsoku/>
        <w:wordWrap/>
        <w:overflowPunct/>
        <w:topLinePunct w:val="0"/>
        <w:autoSpaceDE w:val="0"/>
        <w:autoSpaceDN w:val="0"/>
        <w:bidi w:val="0"/>
        <w:adjustRightInd w:val="0"/>
        <w:snapToGrid/>
        <w:spacing w:line="360" w:lineRule="auto"/>
        <w:jc w:val="left"/>
        <w:outlineLvl w:val="9"/>
        <w:rPr>
          <w:rFonts w:ascii="宋体" w:hAnsi="宋体" w:eastAsia="宋体" w:cs="Times New Roman"/>
          <w:b/>
          <w:bCs/>
          <w:color w:val="auto"/>
          <w:sz w:val="32"/>
          <w:szCs w:val="32"/>
          <w:highlight w:val="none"/>
          <w:lang w:val="zh-CN"/>
        </w:rPr>
      </w:pPr>
      <w:bookmarkStart w:id="734" w:name="_Toc8121"/>
      <w:bookmarkStart w:id="735" w:name="_Toc1613"/>
      <w:bookmarkStart w:id="736" w:name="_Toc21843"/>
      <w:bookmarkStart w:id="737" w:name="_Toc7508"/>
      <w:bookmarkStart w:id="738" w:name="_Toc13389"/>
      <w:r>
        <w:rPr>
          <w:rFonts w:hint="eastAsia" w:ascii="宋体" w:hAnsi="宋体" w:eastAsia="宋体" w:cs="宋体"/>
          <w:b/>
          <w:color w:val="auto"/>
          <w:kern w:val="0"/>
          <w:sz w:val="30"/>
          <w:szCs w:val="30"/>
          <w:highlight w:val="none"/>
          <w:lang w:val="en-US" w:eastAsia="zh-CN"/>
        </w:rPr>
        <w:t xml:space="preserve">5.6 </w:t>
      </w:r>
      <w:r>
        <w:rPr>
          <w:rFonts w:hint="eastAsia" w:ascii="宋体" w:hAnsi="宋体" w:eastAsia="宋体" w:cs="宋体"/>
          <w:b/>
          <w:color w:val="auto"/>
          <w:kern w:val="0"/>
          <w:sz w:val="30"/>
          <w:szCs w:val="30"/>
          <w:highlight w:val="none"/>
        </w:rPr>
        <w:t>最近3年投标人牵涉的其他（失信和违法）处罚说明格式</w:t>
      </w:r>
      <w:bookmarkEnd w:id="723"/>
      <w:bookmarkEnd w:id="724"/>
      <w:bookmarkEnd w:id="725"/>
      <w:bookmarkEnd w:id="726"/>
      <w:bookmarkEnd w:id="727"/>
      <w:bookmarkEnd w:id="734"/>
      <w:bookmarkEnd w:id="735"/>
      <w:bookmarkEnd w:id="736"/>
      <w:bookmarkEnd w:id="737"/>
      <w:bookmarkEnd w:id="738"/>
    </w:p>
    <w:p w14:paraId="46FBB0EF">
      <w:pPr>
        <w:keepNext w:val="0"/>
        <w:keepLines w:val="0"/>
        <w:kinsoku/>
        <w:wordWrap/>
        <w:overflowPunct/>
        <w:topLinePunct w:val="0"/>
        <w:autoSpaceDE w:val="0"/>
        <w:autoSpaceDN w:val="0"/>
        <w:bidi w:val="0"/>
        <w:adjustRightInd w:val="0"/>
        <w:snapToGrid/>
        <w:spacing w:line="360" w:lineRule="auto"/>
        <w:jc w:val="center"/>
        <w:outlineLvl w:val="9"/>
        <w:rPr>
          <w:rFonts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6"/>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7F7B5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47E680E4">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outlineLvl w:val="9"/>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5C75E840">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outlineLvl w:val="9"/>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vAlign w:val="top"/>
          </w:tcPr>
          <w:p w14:paraId="1F154F82">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outlineLvl w:val="9"/>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0F453707">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outlineLvl w:val="9"/>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C43C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6F72D207">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outlineLvl w:val="9"/>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07D82186">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outlineLvl w:val="9"/>
              <w:rPr>
                <w:rFonts w:hint="default" w:ascii="宋体" w:hAnsi="宋体" w:eastAsia="宋体" w:cs="宋体"/>
                <w:color w:val="auto"/>
                <w:kern w:val="0"/>
                <w:szCs w:val="21"/>
                <w:highlight w:val="none"/>
              </w:rPr>
            </w:pPr>
          </w:p>
        </w:tc>
        <w:tc>
          <w:tcPr>
            <w:tcW w:w="2268" w:type="dxa"/>
            <w:vAlign w:val="center"/>
          </w:tcPr>
          <w:p w14:paraId="1AE23D51">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outlineLvl w:val="9"/>
              <w:rPr>
                <w:rFonts w:hint="default" w:ascii="宋体" w:hAnsi="宋体" w:eastAsia="宋体" w:cs="宋体"/>
                <w:color w:val="auto"/>
                <w:kern w:val="0"/>
                <w:szCs w:val="21"/>
                <w:highlight w:val="none"/>
              </w:rPr>
            </w:pPr>
          </w:p>
        </w:tc>
        <w:tc>
          <w:tcPr>
            <w:tcW w:w="1276" w:type="dxa"/>
            <w:vAlign w:val="center"/>
          </w:tcPr>
          <w:p w14:paraId="5AD6960A">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outlineLvl w:val="9"/>
              <w:rPr>
                <w:rFonts w:hint="default" w:ascii="宋体" w:hAnsi="宋体" w:eastAsia="宋体" w:cs="宋体"/>
                <w:color w:val="auto"/>
                <w:kern w:val="0"/>
                <w:szCs w:val="21"/>
                <w:highlight w:val="none"/>
              </w:rPr>
            </w:pPr>
          </w:p>
        </w:tc>
      </w:tr>
      <w:tr w14:paraId="61081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6BBBF25">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outlineLvl w:val="9"/>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6183374B">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outlineLvl w:val="9"/>
              <w:rPr>
                <w:rFonts w:hint="default" w:ascii="宋体" w:hAnsi="宋体" w:eastAsia="宋体" w:cs="宋体"/>
                <w:color w:val="auto"/>
                <w:kern w:val="0"/>
                <w:szCs w:val="21"/>
                <w:highlight w:val="none"/>
              </w:rPr>
            </w:pPr>
          </w:p>
        </w:tc>
        <w:tc>
          <w:tcPr>
            <w:tcW w:w="2268" w:type="dxa"/>
            <w:vAlign w:val="center"/>
          </w:tcPr>
          <w:p w14:paraId="0CBCFBE2">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outlineLvl w:val="9"/>
              <w:rPr>
                <w:rFonts w:hint="default" w:ascii="宋体" w:hAnsi="宋体" w:eastAsia="宋体" w:cs="宋体"/>
                <w:color w:val="auto"/>
                <w:kern w:val="0"/>
                <w:szCs w:val="21"/>
                <w:highlight w:val="none"/>
              </w:rPr>
            </w:pPr>
          </w:p>
        </w:tc>
        <w:tc>
          <w:tcPr>
            <w:tcW w:w="1276" w:type="dxa"/>
            <w:vAlign w:val="center"/>
          </w:tcPr>
          <w:p w14:paraId="498493BD">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outlineLvl w:val="9"/>
              <w:rPr>
                <w:rFonts w:hint="default" w:ascii="宋体" w:hAnsi="宋体" w:eastAsia="宋体" w:cs="宋体"/>
                <w:color w:val="auto"/>
                <w:kern w:val="0"/>
                <w:szCs w:val="21"/>
                <w:highlight w:val="none"/>
              </w:rPr>
            </w:pPr>
          </w:p>
        </w:tc>
      </w:tr>
      <w:tr w14:paraId="2924A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0599BA90">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left"/>
              <w:outlineLvl w:val="9"/>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648BE7AE">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outlineLvl w:val="9"/>
              <w:rPr>
                <w:rFonts w:hint="default" w:ascii="宋体" w:hAnsi="宋体" w:eastAsia="宋体" w:cs="宋体"/>
                <w:color w:val="auto"/>
                <w:kern w:val="0"/>
                <w:szCs w:val="21"/>
                <w:highlight w:val="none"/>
              </w:rPr>
            </w:pPr>
          </w:p>
        </w:tc>
        <w:tc>
          <w:tcPr>
            <w:tcW w:w="2268" w:type="dxa"/>
            <w:vAlign w:val="center"/>
          </w:tcPr>
          <w:p w14:paraId="3CD3B10E">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outlineLvl w:val="9"/>
              <w:rPr>
                <w:rFonts w:hint="default" w:ascii="宋体" w:hAnsi="宋体" w:eastAsia="宋体" w:cs="宋体"/>
                <w:color w:val="auto"/>
                <w:kern w:val="0"/>
                <w:szCs w:val="21"/>
                <w:highlight w:val="none"/>
              </w:rPr>
            </w:pPr>
          </w:p>
        </w:tc>
        <w:tc>
          <w:tcPr>
            <w:tcW w:w="1276" w:type="dxa"/>
            <w:vAlign w:val="center"/>
          </w:tcPr>
          <w:p w14:paraId="6DA286CE">
            <w:pPr>
              <w:keepNext w:val="0"/>
              <w:keepLines w:val="0"/>
              <w:suppressLineNumbers w:val="0"/>
              <w:kinsoku/>
              <w:wordWrap/>
              <w:overflowPunct/>
              <w:topLinePunct w:val="0"/>
              <w:autoSpaceDE w:val="0"/>
              <w:autoSpaceDN w:val="0"/>
              <w:bidi w:val="0"/>
              <w:adjustRightInd w:val="0"/>
              <w:snapToGrid/>
              <w:spacing w:before="0" w:beforeAutospacing="0" w:after="0" w:afterAutospacing="0" w:line="360" w:lineRule="auto"/>
              <w:ind w:left="0" w:right="0"/>
              <w:jc w:val="center"/>
              <w:outlineLvl w:val="9"/>
              <w:rPr>
                <w:rFonts w:hint="default" w:ascii="宋体" w:hAnsi="宋体" w:eastAsia="宋体" w:cs="宋体"/>
                <w:color w:val="auto"/>
                <w:kern w:val="0"/>
                <w:szCs w:val="21"/>
                <w:highlight w:val="none"/>
              </w:rPr>
            </w:pPr>
          </w:p>
        </w:tc>
      </w:tr>
    </w:tbl>
    <w:p w14:paraId="6AD674E3">
      <w:pPr>
        <w:keepNext w:val="0"/>
        <w:keepLines w:val="0"/>
        <w:kinsoku/>
        <w:wordWrap/>
        <w:overflowPunct/>
        <w:topLinePunct w:val="0"/>
        <w:autoSpaceDE w:val="0"/>
        <w:autoSpaceDN w:val="0"/>
        <w:bidi w:val="0"/>
        <w:adjustRightInd w:val="0"/>
        <w:snapToGrid/>
        <w:spacing w:line="360" w:lineRule="auto"/>
        <w:jc w:val="left"/>
        <w:outlineLvl w:val="9"/>
        <w:rPr>
          <w:rFonts w:ascii="宋体" w:hAnsi="宋体" w:eastAsia="宋体" w:cs="宋体"/>
          <w:color w:val="auto"/>
          <w:kern w:val="0"/>
          <w:szCs w:val="21"/>
          <w:highlight w:val="none"/>
        </w:rPr>
      </w:pPr>
    </w:p>
    <w:p w14:paraId="6C3E9668">
      <w:pPr>
        <w:keepNext w:val="0"/>
        <w:keepLines w:val="0"/>
        <w:kinsoku/>
        <w:wordWrap/>
        <w:overflowPunct/>
        <w:topLinePunct w:val="0"/>
        <w:autoSpaceDE w:val="0"/>
        <w:autoSpaceDN w:val="0"/>
        <w:bidi w:val="0"/>
        <w:adjustRightInd w:val="0"/>
        <w:snapToGrid/>
        <w:spacing w:line="360" w:lineRule="auto"/>
        <w:jc w:val="left"/>
        <w:outlineLvl w:val="9"/>
        <w:rPr>
          <w:rFonts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3B2F81E5">
      <w:pPr>
        <w:keepNext w:val="0"/>
        <w:keepLines w:val="0"/>
        <w:kinsoku/>
        <w:wordWrap/>
        <w:overflowPunct/>
        <w:topLinePunct w:val="0"/>
        <w:autoSpaceDE w:val="0"/>
        <w:autoSpaceDN w:val="0"/>
        <w:bidi w:val="0"/>
        <w:adjustRightInd w:val="0"/>
        <w:snapToGrid/>
        <w:ind w:right="-23" w:rightChars="-11"/>
        <w:jc w:val="left"/>
        <w:outlineLvl w:val="9"/>
        <w:rPr>
          <w:rFonts w:ascii="宋体" w:hAnsi="宋体" w:eastAsia="宋体" w:cs="Times New Roman"/>
          <w:b/>
          <w:bCs/>
          <w:color w:val="auto"/>
          <w:kern w:val="0"/>
          <w:szCs w:val="21"/>
          <w:highlight w:val="none"/>
          <w:lang w:val="zh-CN"/>
        </w:rPr>
      </w:pPr>
    </w:p>
    <w:p w14:paraId="376E45F0">
      <w:pPr>
        <w:keepNext w:val="0"/>
        <w:keepLines w:val="0"/>
        <w:kinsoku/>
        <w:wordWrap/>
        <w:overflowPunct/>
        <w:topLinePunct w:val="0"/>
        <w:autoSpaceDE w:val="0"/>
        <w:autoSpaceDN w:val="0"/>
        <w:bidi w:val="0"/>
        <w:adjustRightInd w:val="0"/>
        <w:snapToGrid/>
        <w:spacing w:line="360" w:lineRule="auto"/>
        <w:jc w:val="center"/>
        <w:outlineLvl w:val="9"/>
        <w:rPr>
          <w:rFonts w:ascii="宋体" w:hAnsi="宋体" w:eastAsia="宋体" w:cs="宋体"/>
          <w:color w:val="auto"/>
          <w:kern w:val="0"/>
          <w:sz w:val="24"/>
          <w:szCs w:val="24"/>
          <w:highlight w:val="none"/>
        </w:rPr>
      </w:pPr>
    </w:p>
    <w:p w14:paraId="4E997E98">
      <w:pPr>
        <w:keepNext w:val="0"/>
        <w:keepLines w:val="0"/>
        <w:kinsoku/>
        <w:wordWrap/>
        <w:overflowPunct/>
        <w:topLinePunct w:val="0"/>
        <w:bidi w:val="0"/>
        <w:snapToGrid/>
        <w:spacing w:line="360" w:lineRule="auto"/>
        <w:ind w:firstLine="494" w:firstLineChars="206"/>
        <w:outlineLvl w:val="9"/>
        <w:rPr>
          <w:rFonts w:ascii="宋体" w:hAnsi="宋体" w:eastAsia="宋体" w:cs="宋体"/>
          <w:color w:val="auto"/>
          <w:kern w:val="0"/>
          <w:sz w:val="24"/>
          <w:szCs w:val="24"/>
          <w:highlight w:val="none"/>
        </w:rPr>
      </w:pPr>
    </w:p>
    <w:p w14:paraId="7BE3A415">
      <w:pPr>
        <w:keepNext w:val="0"/>
        <w:keepLines w:val="0"/>
        <w:kinsoku/>
        <w:wordWrap/>
        <w:overflowPunct/>
        <w:topLinePunct w:val="0"/>
        <w:bidi w:val="0"/>
        <w:snapToGrid/>
        <w:spacing w:line="360" w:lineRule="auto"/>
        <w:ind w:firstLine="494" w:firstLineChars="206"/>
        <w:outlineLvl w:val="9"/>
        <w:rPr>
          <w:rFonts w:ascii="宋体" w:hAnsi="宋体" w:eastAsia="宋体" w:cs="宋体"/>
          <w:color w:val="auto"/>
          <w:kern w:val="0"/>
          <w:sz w:val="24"/>
          <w:szCs w:val="24"/>
          <w:highlight w:val="none"/>
        </w:rPr>
      </w:pPr>
    </w:p>
    <w:p w14:paraId="3684A9EB">
      <w:pPr>
        <w:keepNext w:val="0"/>
        <w:keepLines w:val="0"/>
        <w:kinsoku/>
        <w:wordWrap/>
        <w:overflowPunct/>
        <w:topLinePunct w:val="0"/>
        <w:bidi w:val="0"/>
        <w:snapToGrid/>
        <w:spacing w:line="360" w:lineRule="auto"/>
        <w:ind w:firstLine="494" w:firstLineChars="206"/>
        <w:outlineLvl w:val="9"/>
        <w:rPr>
          <w:rFonts w:ascii="宋体" w:hAnsi="宋体" w:eastAsia="宋体" w:cs="宋体"/>
          <w:color w:val="auto"/>
          <w:kern w:val="0"/>
          <w:sz w:val="24"/>
          <w:szCs w:val="24"/>
          <w:highlight w:val="none"/>
        </w:rPr>
      </w:pPr>
    </w:p>
    <w:p w14:paraId="7B4FD986">
      <w:pPr>
        <w:keepNext w:val="0"/>
        <w:keepLines w:val="0"/>
        <w:kinsoku/>
        <w:wordWrap/>
        <w:overflowPunct/>
        <w:topLinePunct w:val="0"/>
        <w:bidi w:val="0"/>
        <w:snapToGrid/>
        <w:spacing w:line="360" w:lineRule="auto"/>
        <w:ind w:right="368" w:rightChars="175" w:firstLine="5460" w:firstLineChars="2600"/>
        <w:jc w:val="left"/>
        <w:outlineLvl w:val="9"/>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97189EE">
      <w:pPr>
        <w:keepNext w:val="0"/>
        <w:keepLines w:val="0"/>
        <w:kinsoku/>
        <w:wordWrap/>
        <w:overflowPunct/>
        <w:topLinePunct w:val="0"/>
        <w:autoSpaceDE w:val="0"/>
        <w:autoSpaceDN w:val="0"/>
        <w:bidi w:val="0"/>
        <w:adjustRightInd w:val="0"/>
        <w:snapToGrid/>
        <w:spacing w:line="360" w:lineRule="auto"/>
        <w:ind w:right="781" w:rightChars="372" w:firstLine="2811" w:firstLineChars="1339"/>
        <w:outlineLvl w:val="9"/>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w:t>
      </w:r>
      <w:r>
        <w:rPr>
          <w:rFonts w:ascii="宋体" w:hAnsi="宋体" w:eastAsia="宋体" w:cs="宋体"/>
          <w:color w:val="auto"/>
          <w:szCs w:val="24"/>
          <w:highlight w:val="none"/>
          <w:lang w:val="zh-CN"/>
        </w:rPr>
        <w:t xml:space="preserve">            </w:t>
      </w:r>
      <w:r>
        <w:rPr>
          <w:rFonts w:hint="eastAsia" w:ascii="宋体" w:hAnsi="宋体" w:eastAsia="宋体" w:cs="宋体"/>
          <w:color w:val="auto"/>
          <w:szCs w:val="24"/>
          <w:highlight w:val="none"/>
          <w:lang w:val="zh-CN"/>
        </w:rPr>
        <w:t>日  期：   年  月  日</w:t>
      </w:r>
    </w:p>
    <w:p w14:paraId="6CB3C7BA">
      <w:pPr>
        <w:rPr>
          <w:rFonts w:ascii="宋体" w:hAnsi="宋体" w:eastAsia="宋体" w:cs="宋体"/>
          <w:color w:val="auto"/>
          <w:szCs w:val="24"/>
          <w:highlight w:val="none"/>
          <w:lang w:val="zh-CN"/>
        </w:rPr>
      </w:pPr>
      <w:bookmarkStart w:id="739" w:name="_Toc486167714"/>
      <w:bookmarkStart w:id="740" w:name="_Toc30939"/>
      <w:bookmarkStart w:id="741" w:name="_Toc104991881"/>
      <w:bookmarkStart w:id="742" w:name="_Toc94107215"/>
      <w:bookmarkStart w:id="743" w:name="_Toc533708126"/>
      <w:bookmarkStart w:id="744" w:name="_Toc102860079"/>
      <w:bookmarkStart w:id="745" w:name="_Toc1977731"/>
      <w:bookmarkStart w:id="746" w:name="_Toc6412"/>
      <w:bookmarkStart w:id="747" w:name="_Toc2031_WPSOffice_Level2"/>
      <w:bookmarkStart w:id="748" w:name="_Toc142508374"/>
      <w:bookmarkStart w:id="749" w:name="_Toc140596934"/>
      <w:bookmarkStart w:id="750" w:name="_Toc102860423"/>
      <w:r>
        <w:rPr>
          <w:rFonts w:ascii="宋体" w:hAnsi="宋体" w:eastAsia="宋体" w:cs="宋体"/>
          <w:color w:val="auto"/>
          <w:szCs w:val="24"/>
          <w:highlight w:val="none"/>
          <w:lang w:val="zh-CN"/>
        </w:rPr>
        <w:br w:type="page"/>
      </w:r>
    </w:p>
    <w:p w14:paraId="3245D6E0">
      <w:pPr>
        <w:tabs>
          <w:tab w:val="left" w:pos="567"/>
        </w:tabs>
        <w:autoSpaceDE w:val="0"/>
        <w:autoSpaceDN w:val="0"/>
        <w:adjustRightInd w:val="0"/>
        <w:spacing w:line="360" w:lineRule="auto"/>
        <w:jc w:val="left"/>
        <w:outlineLvl w:val="2"/>
        <w:rPr>
          <w:rFonts w:ascii="宋体" w:hAnsi="宋体" w:eastAsia="宋体" w:cs="Times New Roman"/>
          <w:color w:val="auto"/>
          <w:kern w:val="0"/>
          <w:szCs w:val="21"/>
          <w:highlight w:val="none"/>
          <w:u w:val="single"/>
        </w:rPr>
      </w:pPr>
      <w:bookmarkStart w:id="751" w:name="_Toc1016"/>
      <w:bookmarkStart w:id="752" w:name="_Toc17508"/>
      <w:bookmarkStart w:id="753" w:name="_Toc5191"/>
      <w:bookmarkStart w:id="754" w:name="_Toc25983"/>
      <w:r>
        <w:rPr>
          <w:rFonts w:hint="eastAsia" w:ascii="宋体" w:hAnsi="宋体" w:eastAsia="宋体" w:cs="宋体"/>
          <w:b/>
          <w:color w:val="auto"/>
          <w:kern w:val="0"/>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p>
    <w:p w14:paraId="48DB64D8">
      <w:pPr>
        <w:autoSpaceDE w:val="0"/>
        <w:autoSpaceDN w:val="0"/>
        <w:adjustRightInd w:val="0"/>
        <w:spacing w:line="360" w:lineRule="auto"/>
        <w:jc w:val="center"/>
        <w:rPr>
          <w:rFonts w:ascii="宋体" w:hAnsi="宋体" w:eastAsia="宋体" w:cs="宋体"/>
          <w:b/>
          <w:bCs/>
          <w:color w:val="auto"/>
          <w:sz w:val="30"/>
          <w:szCs w:val="30"/>
          <w:highlight w:val="none"/>
        </w:rPr>
      </w:pPr>
      <w:bookmarkStart w:id="755" w:name="_Toc2773_WPSOffice_Level3"/>
      <w:r>
        <w:rPr>
          <w:rFonts w:hint="eastAsia" w:ascii="宋体" w:hAnsi="宋体" w:eastAsia="宋体" w:cs="宋体"/>
          <w:b/>
          <w:bCs/>
          <w:color w:val="auto"/>
          <w:sz w:val="30"/>
          <w:szCs w:val="30"/>
          <w:highlight w:val="none"/>
          <w:lang w:val="zh-CN"/>
        </w:rPr>
        <w:t>投标人基本情况一览表</w:t>
      </w:r>
      <w:bookmarkEnd w:id="755"/>
    </w:p>
    <w:p w14:paraId="3EAF7F86">
      <w:pPr>
        <w:autoSpaceDE w:val="0"/>
        <w:autoSpaceDN w:val="0"/>
        <w:adjustRightInd w:val="0"/>
        <w:spacing w:line="360" w:lineRule="auto"/>
        <w:ind w:firstLine="420"/>
        <w:rPr>
          <w:rFonts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17FB433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3DD25F19">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38D63215">
      <w:pPr>
        <w:autoSpaceDE w:val="0"/>
        <w:autoSpaceDN w:val="0"/>
        <w:adjustRightInd w:val="0"/>
        <w:spacing w:line="360" w:lineRule="auto"/>
        <w:ind w:firstLine="66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1CF66FA6">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37D37694">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14492865">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34FC9E3D">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7E85EFF2">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1E18BD4C">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587A5F5B">
      <w:pPr>
        <w:autoSpaceDE w:val="0"/>
        <w:autoSpaceDN w:val="0"/>
        <w:adjustRightInd w:val="0"/>
        <w:spacing w:line="360" w:lineRule="auto"/>
        <w:ind w:firstLine="42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59804F22">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064CA41B">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570531AE">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71A3FE4A">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78E2BAB1">
      <w:pPr>
        <w:autoSpaceDE w:val="0"/>
        <w:autoSpaceDN w:val="0"/>
        <w:adjustRightInd w:val="0"/>
        <w:spacing w:line="360" w:lineRule="auto"/>
        <w:rPr>
          <w:rFonts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1AF855AD">
      <w:pPr>
        <w:autoSpaceDE w:val="0"/>
        <w:autoSpaceDN w:val="0"/>
        <w:adjustRightInd w:val="0"/>
        <w:spacing w:line="360" w:lineRule="auto"/>
        <w:ind w:firstLine="420"/>
        <w:rPr>
          <w:rFonts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6D40F4D3">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746A8D9C">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2830615C">
      <w:pPr>
        <w:autoSpaceDE w:val="0"/>
        <w:autoSpaceDN w:val="0"/>
        <w:adjustRightInd w:val="0"/>
        <w:spacing w:line="360" w:lineRule="auto"/>
        <w:ind w:firstLine="630" w:firstLineChars="3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03B2F593">
      <w:pPr>
        <w:autoSpaceDE w:val="0"/>
        <w:autoSpaceDN w:val="0"/>
        <w:adjustRightInd w:val="0"/>
        <w:spacing w:line="360" w:lineRule="auto"/>
        <w:ind w:firstLine="1155" w:firstLineChars="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38CC45DA">
      <w:pPr>
        <w:autoSpaceDE w:val="0"/>
        <w:autoSpaceDN w:val="0"/>
        <w:adjustRightInd w:val="0"/>
        <w:spacing w:line="360" w:lineRule="auto"/>
        <w:ind w:left="836" w:leftChars="137" w:hanging="548" w:hangingChars="261"/>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33E6618F">
      <w:pPr>
        <w:autoSpaceDE w:val="0"/>
        <w:autoSpaceDN w:val="0"/>
        <w:adjustRightInd w:val="0"/>
        <w:spacing w:line="360" w:lineRule="auto"/>
        <w:ind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1044FA3B">
      <w:pPr>
        <w:autoSpaceDE w:val="0"/>
        <w:autoSpaceDN w:val="0"/>
        <w:adjustRightInd w:val="0"/>
        <w:spacing w:line="360" w:lineRule="auto"/>
        <w:ind w:firstLine="420" w:firstLineChars="200"/>
        <w:rPr>
          <w:rFonts w:ascii="宋体" w:hAnsi="宋体" w:eastAsia="宋体" w:cs="宋体"/>
          <w:color w:val="auto"/>
          <w:szCs w:val="24"/>
          <w:highlight w:val="none"/>
        </w:rPr>
      </w:pPr>
    </w:p>
    <w:p w14:paraId="2B87BECB">
      <w:pPr>
        <w:autoSpaceDE w:val="0"/>
        <w:autoSpaceDN w:val="0"/>
        <w:adjustRightInd w:val="0"/>
        <w:spacing w:line="360" w:lineRule="auto"/>
        <w:ind w:right="368" w:rightChars="175"/>
        <w:jc w:val="right"/>
        <w:rPr>
          <w:rFonts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5B620F06">
      <w:pPr>
        <w:autoSpaceDE w:val="0"/>
        <w:autoSpaceDN w:val="0"/>
        <w:adjustRightInd w:val="0"/>
        <w:spacing w:line="360" w:lineRule="auto"/>
        <w:ind w:right="368" w:rightChars="175" w:firstLine="6237"/>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5BC6F8A7">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756" w:name="_Toc104991882"/>
      <w:bookmarkStart w:id="757" w:name="_Toc3238"/>
      <w:bookmarkStart w:id="758" w:name="_Toc94107216"/>
      <w:bookmarkStart w:id="759" w:name="_Toc4023"/>
      <w:bookmarkStart w:id="760" w:name="_Toc142508375"/>
      <w:bookmarkStart w:id="761" w:name="_Toc102860424"/>
      <w:bookmarkStart w:id="762" w:name="_Toc102860080"/>
      <w:bookmarkStart w:id="763" w:name="_Toc10443"/>
      <w:bookmarkStart w:id="764" w:name="_Toc29014"/>
      <w:bookmarkStart w:id="765" w:name="_Toc140596935"/>
      <w:bookmarkStart w:id="766" w:name="_Toc20988"/>
      <w:bookmarkStart w:id="767" w:name="_Toc9322"/>
      <w:bookmarkStart w:id="768" w:name="_Toc1977733"/>
      <w:bookmarkStart w:id="769" w:name="_Toc533708128"/>
      <w:bookmarkStart w:id="770" w:name="_Toc9051_WPSOffice_Level2"/>
      <w:bookmarkStart w:id="771" w:name="_Toc486167715"/>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756"/>
      <w:bookmarkEnd w:id="757"/>
      <w:bookmarkEnd w:id="758"/>
      <w:bookmarkEnd w:id="759"/>
      <w:bookmarkEnd w:id="760"/>
      <w:bookmarkEnd w:id="761"/>
      <w:bookmarkEnd w:id="762"/>
      <w:bookmarkEnd w:id="763"/>
      <w:bookmarkEnd w:id="764"/>
      <w:bookmarkEnd w:id="765"/>
      <w:bookmarkEnd w:id="766"/>
      <w:bookmarkEnd w:id="767"/>
    </w:p>
    <w:p w14:paraId="3091FF35">
      <w:pPr>
        <w:autoSpaceDE w:val="0"/>
        <w:autoSpaceDN w:val="0"/>
        <w:adjustRightInd w:val="0"/>
        <w:spacing w:line="360" w:lineRule="auto"/>
        <w:jc w:val="center"/>
        <w:rPr>
          <w:rFonts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0428BCA6">
      <w:pPr>
        <w:autoSpaceDE w:val="0"/>
        <w:autoSpaceDN w:val="0"/>
        <w:adjustRightInd w:val="0"/>
        <w:spacing w:line="360" w:lineRule="auto"/>
        <w:jc w:val="righ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6"/>
        <w:tblW w:w="982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342AA9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1D49CD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40F97A7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721FA25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464988E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4375ED1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2D9CC4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4ED32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lang w:val="en-US"/>
              </w:rPr>
            </w:pPr>
            <w:r>
              <w:rPr>
                <w:rFonts w:hint="eastAsia" w:ascii="宋体" w:hAnsi="宋体" w:eastAsia="宋体" w:cs="宋体"/>
                <w:color w:val="auto"/>
                <w:kern w:val="0"/>
                <w:szCs w:val="21"/>
                <w:highlight w:val="none"/>
                <w:lang w:val="en-US" w:eastAsia="zh-CN"/>
              </w:rPr>
              <w:t>2021</w:t>
            </w:r>
          </w:p>
        </w:tc>
        <w:tc>
          <w:tcPr>
            <w:tcW w:w="1944" w:type="dxa"/>
            <w:vAlign w:val="center"/>
          </w:tcPr>
          <w:p w14:paraId="04AA36D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6100CC9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center"/>
          </w:tcPr>
          <w:p w14:paraId="6E00A4D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6B57490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3676CF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DDD37E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7E27FBF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44A485F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top"/>
          </w:tcPr>
          <w:p w14:paraId="777572B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5617C88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71B221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2314FD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026610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946" w:type="dxa"/>
            <w:vAlign w:val="center"/>
          </w:tcPr>
          <w:p w14:paraId="0DCA216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713" w:type="dxa"/>
            <w:vAlign w:val="top"/>
          </w:tcPr>
          <w:p w14:paraId="037056F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36AACE9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r w14:paraId="11AE01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7FE9369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vAlign w:val="top"/>
          </w:tcPr>
          <w:p w14:paraId="45EBD72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2060" w:type="dxa"/>
            <w:vAlign w:val="center"/>
          </w:tcPr>
          <w:p w14:paraId="0038F02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r>
    </w:tbl>
    <w:p w14:paraId="24068D5F">
      <w:pPr>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AA3ECE3">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573D1298">
      <w:pPr>
        <w:autoSpaceDE w:val="0"/>
        <w:autoSpaceDN w:val="0"/>
        <w:adjustRightInd w:val="0"/>
        <w:spacing w:line="360" w:lineRule="auto"/>
        <w:ind w:firstLine="5409" w:firstLineChars="2576"/>
        <w:rPr>
          <w:rFonts w:ascii="宋体" w:hAnsi="宋体" w:eastAsia="宋体" w:cs="宋体"/>
          <w:color w:val="auto"/>
          <w:szCs w:val="24"/>
          <w:highlight w:val="none"/>
          <w:lang w:val="zh-CN"/>
        </w:rPr>
      </w:pPr>
    </w:p>
    <w:p w14:paraId="5AD238B1">
      <w:pPr>
        <w:autoSpaceDE w:val="0"/>
        <w:autoSpaceDN w:val="0"/>
        <w:adjustRightInd w:val="0"/>
        <w:spacing w:line="360" w:lineRule="auto"/>
        <w:ind w:firstLine="5409" w:firstLineChars="2576"/>
        <w:rPr>
          <w:rFonts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4CBFDFA7">
      <w:pPr>
        <w:autoSpaceDE w:val="0"/>
        <w:autoSpaceDN w:val="0"/>
        <w:adjustRightInd w:val="0"/>
        <w:spacing w:line="360" w:lineRule="auto"/>
        <w:ind w:firstLine="6249" w:firstLineChars="2976"/>
        <w:rPr>
          <w:rFonts w:ascii="宋体" w:hAnsi="宋体" w:eastAsia="宋体" w:cs="宋体"/>
          <w:b/>
          <w:bCs/>
          <w:color w:val="auto"/>
          <w:kern w:val="0"/>
          <w:szCs w:val="21"/>
          <w:highlight w:val="none"/>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bookmarkEnd w:id="768"/>
    <w:bookmarkEnd w:id="769"/>
    <w:bookmarkEnd w:id="770"/>
    <w:bookmarkEnd w:id="771"/>
    <w:p w14:paraId="60ECA7E9">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lang w:val="zh-CN"/>
        </w:rPr>
      </w:pPr>
      <w:bookmarkStart w:id="772" w:name="_Toc102860425"/>
      <w:bookmarkStart w:id="773" w:name="_Toc533708130"/>
      <w:bookmarkStart w:id="774" w:name="_Toc24378"/>
      <w:bookmarkStart w:id="775" w:name="_Toc486167716"/>
      <w:bookmarkStart w:id="776" w:name="_Toc104991883"/>
      <w:bookmarkStart w:id="777" w:name="_Toc142508376"/>
      <w:bookmarkStart w:id="778" w:name="_Toc26821"/>
      <w:bookmarkStart w:id="779" w:name="_Toc739_WPSOffice_Level2"/>
      <w:bookmarkStart w:id="780" w:name="_Toc94107217"/>
      <w:bookmarkStart w:id="781" w:name="_Toc102860081"/>
      <w:bookmarkStart w:id="782" w:name="_Toc333"/>
      <w:bookmarkStart w:id="783" w:name="_Toc1977736"/>
      <w:bookmarkStart w:id="784" w:name="_Toc7396"/>
      <w:bookmarkStart w:id="785" w:name="_Toc25842"/>
      <w:bookmarkStart w:id="786" w:name="_Toc17995"/>
      <w:bookmarkStart w:id="787" w:name="_Toc140596936"/>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zh-CN"/>
        </w:rPr>
        <w:t>、合同条款偏离表格式</w:t>
      </w:r>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p>
    <w:p w14:paraId="37602B9B">
      <w:pPr>
        <w:autoSpaceDE w:val="0"/>
        <w:autoSpaceDN w:val="0"/>
        <w:adjustRightInd w:val="0"/>
        <w:spacing w:line="360" w:lineRule="auto"/>
        <w:jc w:val="center"/>
        <w:rPr>
          <w:rFonts w:ascii="宋体" w:hAnsi="宋体" w:eastAsia="宋体" w:cs="宋体"/>
          <w:b/>
          <w:bCs/>
          <w:color w:val="auto"/>
          <w:kern w:val="0"/>
          <w:sz w:val="28"/>
          <w:szCs w:val="30"/>
          <w:highlight w:val="none"/>
          <w:lang w:val="zh-CN"/>
        </w:rPr>
      </w:pPr>
      <w:bookmarkStart w:id="788" w:name="_Toc26412_WPSOffice_Level3"/>
      <w:r>
        <w:rPr>
          <w:rFonts w:hint="eastAsia" w:ascii="宋体" w:hAnsi="宋体" w:eastAsia="宋体" w:cs="宋体"/>
          <w:b/>
          <w:bCs/>
          <w:color w:val="auto"/>
          <w:kern w:val="0"/>
          <w:sz w:val="28"/>
          <w:szCs w:val="30"/>
          <w:highlight w:val="none"/>
          <w:lang w:val="zh-CN"/>
        </w:rPr>
        <w:t>珠三角水资源配置工程东莞配套芦花坑水厂一期配水管线工程-B标段第三方检测服务采购项目合同条款偏离表</w:t>
      </w:r>
      <w:bookmarkEnd w:id="788"/>
    </w:p>
    <w:tbl>
      <w:tblPr>
        <w:tblStyle w:val="36"/>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6A3D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3D83E4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3A98B78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6CCA164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04198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52E9480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1425" w:type="dxa"/>
            <w:vAlign w:val="center"/>
          </w:tcPr>
          <w:p w14:paraId="651D796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6460EAB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0FEB91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534D252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43C20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573F7C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2B1C611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0DB2E34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工程概况</w:t>
            </w:r>
          </w:p>
        </w:tc>
        <w:tc>
          <w:tcPr>
            <w:tcW w:w="1346" w:type="dxa"/>
            <w:vAlign w:val="center"/>
          </w:tcPr>
          <w:p w14:paraId="0DA40F8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82679E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717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7D5B5C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52A5AB1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二</w:t>
            </w:r>
          </w:p>
        </w:tc>
        <w:tc>
          <w:tcPr>
            <w:tcW w:w="3055" w:type="dxa"/>
            <w:vAlign w:val="center"/>
          </w:tcPr>
          <w:p w14:paraId="233BC61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检测内容</w:t>
            </w:r>
          </w:p>
        </w:tc>
        <w:tc>
          <w:tcPr>
            <w:tcW w:w="1346" w:type="dxa"/>
            <w:vAlign w:val="center"/>
          </w:tcPr>
          <w:p w14:paraId="012796A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639DC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FF99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7B4D83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67A5F90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三</w:t>
            </w:r>
          </w:p>
        </w:tc>
        <w:tc>
          <w:tcPr>
            <w:tcW w:w="3055" w:type="dxa"/>
            <w:vAlign w:val="center"/>
          </w:tcPr>
          <w:p w14:paraId="780F8D9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检测数量</w:t>
            </w:r>
          </w:p>
        </w:tc>
        <w:tc>
          <w:tcPr>
            <w:tcW w:w="1346" w:type="dxa"/>
            <w:vAlign w:val="center"/>
          </w:tcPr>
          <w:p w14:paraId="1658BF8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A0C64B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550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5D3B9A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1575BC3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四</w:t>
            </w:r>
          </w:p>
        </w:tc>
        <w:tc>
          <w:tcPr>
            <w:tcW w:w="3055" w:type="dxa"/>
            <w:vAlign w:val="center"/>
          </w:tcPr>
          <w:p w14:paraId="3B47957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检测依据（如有新规范，以新的为准）</w:t>
            </w:r>
          </w:p>
        </w:tc>
        <w:tc>
          <w:tcPr>
            <w:tcW w:w="1346" w:type="dxa"/>
            <w:vAlign w:val="center"/>
          </w:tcPr>
          <w:p w14:paraId="55B8B7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E1FD35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2B0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81CD8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79EEA61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五</w:t>
            </w:r>
          </w:p>
        </w:tc>
        <w:tc>
          <w:tcPr>
            <w:tcW w:w="3055" w:type="dxa"/>
            <w:vAlign w:val="center"/>
          </w:tcPr>
          <w:p w14:paraId="4887BE4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检测费用支付方式</w:t>
            </w:r>
          </w:p>
        </w:tc>
        <w:tc>
          <w:tcPr>
            <w:tcW w:w="1346" w:type="dxa"/>
            <w:vAlign w:val="center"/>
          </w:tcPr>
          <w:p w14:paraId="6C43856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99F9E9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42DA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FA0216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3A771DD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六</w:t>
            </w:r>
          </w:p>
        </w:tc>
        <w:tc>
          <w:tcPr>
            <w:tcW w:w="3055" w:type="dxa"/>
            <w:vAlign w:val="center"/>
          </w:tcPr>
          <w:p w14:paraId="087DAD0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双方权利及义务</w:t>
            </w:r>
          </w:p>
        </w:tc>
        <w:tc>
          <w:tcPr>
            <w:tcW w:w="1346" w:type="dxa"/>
            <w:vAlign w:val="center"/>
          </w:tcPr>
          <w:p w14:paraId="25D520F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1564231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84A5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FC86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54FF9BD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七</w:t>
            </w:r>
          </w:p>
        </w:tc>
        <w:tc>
          <w:tcPr>
            <w:tcW w:w="3055" w:type="dxa"/>
            <w:vAlign w:val="center"/>
          </w:tcPr>
          <w:p w14:paraId="66DB30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成果要求</w:t>
            </w:r>
          </w:p>
        </w:tc>
        <w:tc>
          <w:tcPr>
            <w:tcW w:w="1346" w:type="dxa"/>
            <w:vAlign w:val="center"/>
          </w:tcPr>
          <w:p w14:paraId="7CBC261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3C6E4A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DE29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0D26B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1B0C3DB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八</w:t>
            </w:r>
          </w:p>
        </w:tc>
        <w:tc>
          <w:tcPr>
            <w:tcW w:w="3055" w:type="dxa"/>
            <w:vAlign w:val="center"/>
          </w:tcPr>
          <w:p w14:paraId="1EF0BBF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质量控制标准</w:t>
            </w:r>
          </w:p>
        </w:tc>
        <w:tc>
          <w:tcPr>
            <w:tcW w:w="1346" w:type="dxa"/>
            <w:vAlign w:val="center"/>
          </w:tcPr>
          <w:p w14:paraId="3DF18DD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4EFB9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D40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B883E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717A96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九</w:t>
            </w:r>
          </w:p>
        </w:tc>
        <w:tc>
          <w:tcPr>
            <w:tcW w:w="3055" w:type="dxa"/>
            <w:vAlign w:val="center"/>
          </w:tcPr>
          <w:p w14:paraId="079AAB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人员及设备要求</w:t>
            </w:r>
          </w:p>
        </w:tc>
        <w:tc>
          <w:tcPr>
            <w:tcW w:w="1346" w:type="dxa"/>
            <w:vAlign w:val="center"/>
          </w:tcPr>
          <w:p w14:paraId="1166E67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5CCDCCA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58B1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2DF810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3DE34F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p>
        </w:tc>
        <w:tc>
          <w:tcPr>
            <w:tcW w:w="3055" w:type="dxa"/>
            <w:vAlign w:val="center"/>
          </w:tcPr>
          <w:p w14:paraId="18C62C8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违约责任</w:t>
            </w:r>
          </w:p>
        </w:tc>
        <w:tc>
          <w:tcPr>
            <w:tcW w:w="1346" w:type="dxa"/>
            <w:vAlign w:val="center"/>
          </w:tcPr>
          <w:p w14:paraId="23CBE14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3C4DBB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49C1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8AB6D0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7ECD1E9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十一</w:t>
            </w:r>
          </w:p>
        </w:tc>
        <w:tc>
          <w:tcPr>
            <w:tcW w:w="3055" w:type="dxa"/>
            <w:vAlign w:val="center"/>
          </w:tcPr>
          <w:p w14:paraId="3676BDC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履约担保</w:t>
            </w:r>
          </w:p>
        </w:tc>
        <w:tc>
          <w:tcPr>
            <w:tcW w:w="1346" w:type="dxa"/>
            <w:vAlign w:val="center"/>
          </w:tcPr>
          <w:p w14:paraId="5C66CE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B367A5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25E8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28256C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3F3F77A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十二</w:t>
            </w:r>
          </w:p>
        </w:tc>
        <w:tc>
          <w:tcPr>
            <w:tcW w:w="3055" w:type="dxa"/>
            <w:vAlign w:val="center"/>
          </w:tcPr>
          <w:p w14:paraId="299BC6F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其他约定</w:t>
            </w:r>
          </w:p>
        </w:tc>
        <w:tc>
          <w:tcPr>
            <w:tcW w:w="1346" w:type="dxa"/>
            <w:vAlign w:val="center"/>
          </w:tcPr>
          <w:p w14:paraId="45F069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7B96BC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7D42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C5BE9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1C6AFA8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十三</w:t>
            </w:r>
          </w:p>
        </w:tc>
        <w:tc>
          <w:tcPr>
            <w:tcW w:w="3055" w:type="dxa"/>
            <w:vAlign w:val="center"/>
          </w:tcPr>
          <w:p w14:paraId="485EBCB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highlight w:val="none"/>
              </w:rPr>
            </w:pPr>
            <w:r>
              <w:rPr>
                <w:rFonts w:hint="eastAsia" w:ascii="宋体" w:hAnsi="宋体" w:eastAsia="宋体" w:cs="宋体"/>
                <w:color w:val="auto"/>
                <w:kern w:val="0"/>
                <w:szCs w:val="21"/>
                <w:highlight w:val="none"/>
              </w:rPr>
              <w:t>附则</w:t>
            </w:r>
          </w:p>
        </w:tc>
        <w:tc>
          <w:tcPr>
            <w:tcW w:w="1346" w:type="dxa"/>
            <w:vAlign w:val="center"/>
          </w:tcPr>
          <w:p w14:paraId="0D6C4F0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D949CA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5B0C0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A2E0BD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1DD044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十四</w:t>
            </w:r>
          </w:p>
        </w:tc>
        <w:tc>
          <w:tcPr>
            <w:tcW w:w="3055" w:type="dxa"/>
            <w:vAlign w:val="center"/>
          </w:tcPr>
          <w:p w14:paraId="2D73DEC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合同争议</w:t>
            </w:r>
          </w:p>
        </w:tc>
        <w:tc>
          <w:tcPr>
            <w:tcW w:w="1346" w:type="dxa"/>
            <w:vAlign w:val="center"/>
          </w:tcPr>
          <w:p w14:paraId="31EDD5D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210DE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01C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03F3E5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294A53B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十五</w:t>
            </w:r>
          </w:p>
        </w:tc>
        <w:tc>
          <w:tcPr>
            <w:tcW w:w="3055" w:type="dxa"/>
            <w:vAlign w:val="center"/>
          </w:tcPr>
          <w:p w14:paraId="1F0B74C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合同生效</w:t>
            </w:r>
          </w:p>
        </w:tc>
        <w:tc>
          <w:tcPr>
            <w:tcW w:w="1346" w:type="dxa"/>
            <w:vAlign w:val="center"/>
          </w:tcPr>
          <w:p w14:paraId="7AA73C4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4AF838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1886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2E1120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4560ACA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十六</w:t>
            </w:r>
          </w:p>
        </w:tc>
        <w:tc>
          <w:tcPr>
            <w:tcW w:w="3055" w:type="dxa"/>
            <w:vAlign w:val="center"/>
          </w:tcPr>
          <w:p w14:paraId="5FF28D2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合同份数</w:t>
            </w:r>
          </w:p>
        </w:tc>
        <w:tc>
          <w:tcPr>
            <w:tcW w:w="1346" w:type="dxa"/>
            <w:vAlign w:val="center"/>
          </w:tcPr>
          <w:p w14:paraId="2151C80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382F16B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32713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130E9E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30565C5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附件一</w:t>
            </w:r>
          </w:p>
        </w:tc>
        <w:tc>
          <w:tcPr>
            <w:tcW w:w="3055" w:type="dxa"/>
            <w:vAlign w:val="center"/>
          </w:tcPr>
          <w:p w14:paraId="6C2C40E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《工程量清单计价表》</w:t>
            </w:r>
          </w:p>
        </w:tc>
        <w:tc>
          <w:tcPr>
            <w:tcW w:w="1346" w:type="dxa"/>
            <w:vAlign w:val="center"/>
          </w:tcPr>
          <w:p w14:paraId="7B55E12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0CB026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DEE5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107F64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28D0789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default" w:ascii="宋体" w:hAnsi="宋体" w:eastAsia="宋体" w:cs="宋体"/>
                <w:color w:val="auto"/>
                <w:kern w:val="0"/>
                <w:szCs w:val="21"/>
                <w:highlight w:val="none"/>
              </w:rPr>
              <w:t>附件</w:t>
            </w:r>
            <w:r>
              <w:rPr>
                <w:rFonts w:hint="eastAsia" w:ascii="宋体" w:hAnsi="宋体" w:eastAsia="宋体" w:cs="宋体"/>
                <w:color w:val="auto"/>
                <w:kern w:val="0"/>
                <w:szCs w:val="21"/>
                <w:highlight w:val="none"/>
              </w:rPr>
              <w:t>二</w:t>
            </w:r>
          </w:p>
        </w:tc>
        <w:tc>
          <w:tcPr>
            <w:tcW w:w="3055" w:type="dxa"/>
            <w:vAlign w:val="center"/>
          </w:tcPr>
          <w:p w14:paraId="03C91EE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廉洁协议书</w:t>
            </w:r>
          </w:p>
        </w:tc>
        <w:tc>
          <w:tcPr>
            <w:tcW w:w="1346" w:type="dxa"/>
            <w:vAlign w:val="center"/>
          </w:tcPr>
          <w:p w14:paraId="23252F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E3A385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73E5E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15D99A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19</w:t>
            </w:r>
          </w:p>
        </w:tc>
        <w:tc>
          <w:tcPr>
            <w:tcW w:w="1425" w:type="dxa"/>
            <w:vAlign w:val="center"/>
          </w:tcPr>
          <w:p w14:paraId="64B869C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附件三</w:t>
            </w:r>
          </w:p>
        </w:tc>
        <w:tc>
          <w:tcPr>
            <w:tcW w:w="3055" w:type="dxa"/>
            <w:vAlign w:val="center"/>
          </w:tcPr>
          <w:p w14:paraId="58B6E1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安全生产责任书</w:t>
            </w:r>
          </w:p>
        </w:tc>
        <w:tc>
          <w:tcPr>
            <w:tcW w:w="1346" w:type="dxa"/>
            <w:vAlign w:val="center"/>
          </w:tcPr>
          <w:p w14:paraId="15BB98B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4FE0861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BFDC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D84F86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20</w:t>
            </w:r>
          </w:p>
        </w:tc>
        <w:tc>
          <w:tcPr>
            <w:tcW w:w="1425" w:type="dxa"/>
            <w:vAlign w:val="center"/>
          </w:tcPr>
          <w:p w14:paraId="7A16CDE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附件四</w:t>
            </w:r>
          </w:p>
        </w:tc>
        <w:tc>
          <w:tcPr>
            <w:tcW w:w="3055" w:type="dxa"/>
            <w:vAlign w:val="center"/>
          </w:tcPr>
          <w:p w14:paraId="1330BBC6">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诚信履约承诺书</w:t>
            </w:r>
          </w:p>
        </w:tc>
        <w:tc>
          <w:tcPr>
            <w:tcW w:w="1346" w:type="dxa"/>
            <w:vAlign w:val="center"/>
          </w:tcPr>
          <w:p w14:paraId="221246A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BAF5F8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0F7B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20" w:type="dxa"/>
            <w:vAlign w:val="center"/>
          </w:tcPr>
          <w:p w14:paraId="522362F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21</w:t>
            </w:r>
          </w:p>
        </w:tc>
        <w:tc>
          <w:tcPr>
            <w:tcW w:w="1425" w:type="dxa"/>
            <w:vAlign w:val="center"/>
          </w:tcPr>
          <w:p w14:paraId="62C51F2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附件五</w:t>
            </w:r>
          </w:p>
        </w:tc>
        <w:tc>
          <w:tcPr>
            <w:tcW w:w="3055" w:type="dxa"/>
            <w:vAlign w:val="center"/>
          </w:tcPr>
          <w:p w14:paraId="12544C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检测单位履约考核评分表</w:t>
            </w:r>
          </w:p>
        </w:tc>
        <w:tc>
          <w:tcPr>
            <w:tcW w:w="1346" w:type="dxa"/>
            <w:vAlign w:val="center"/>
          </w:tcPr>
          <w:p w14:paraId="50009909">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642FBF2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1B7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553F47">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22</w:t>
            </w:r>
          </w:p>
        </w:tc>
        <w:tc>
          <w:tcPr>
            <w:tcW w:w="1425" w:type="dxa"/>
            <w:vAlign w:val="center"/>
          </w:tcPr>
          <w:p w14:paraId="0A0E97BC">
            <w:pPr>
              <w:pStyle w:val="46"/>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eastAsia="宋体"/>
                <w:color w:val="auto"/>
                <w:sz w:val="21"/>
                <w:szCs w:val="21"/>
                <w:highlight w:val="none"/>
              </w:rPr>
              <w:t>一</w:t>
            </w:r>
          </w:p>
        </w:tc>
        <w:tc>
          <w:tcPr>
            <w:tcW w:w="3055" w:type="dxa"/>
            <w:vAlign w:val="center"/>
          </w:tcPr>
          <w:p w14:paraId="0E5DC5A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不可撤销银行履约保函</w:t>
            </w:r>
          </w:p>
        </w:tc>
        <w:tc>
          <w:tcPr>
            <w:tcW w:w="1346" w:type="dxa"/>
            <w:vAlign w:val="center"/>
          </w:tcPr>
          <w:p w14:paraId="44FF3EC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0566FD2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28EEB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BD3CDF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23</w:t>
            </w:r>
          </w:p>
        </w:tc>
        <w:tc>
          <w:tcPr>
            <w:tcW w:w="1425" w:type="dxa"/>
            <w:vAlign w:val="center"/>
          </w:tcPr>
          <w:p w14:paraId="6D29A05A">
            <w:pPr>
              <w:pStyle w:val="46"/>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eastAsia="宋体"/>
                <w:color w:val="auto"/>
                <w:sz w:val="21"/>
                <w:szCs w:val="21"/>
                <w:highlight w:val="none"/>
              </w:rPr>
              <w:t>二</w:t>
            </w:r>
          </w:p>
        </w:tc>
        <w:tc>
          <w:tcPr>
            <w:tcW w:w="3055" w:type="dxa"/>
            <w:vAlign w:val="center"/>
          </w:tcPr>
          <w:p w14:paraId="31C0492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履约保证保险凭证</w:t>
            </w:r>
          </w:p>
        </w:tc>
        <w:tc>
          <w:tcPr>
            <w:tcW w:w="1346" w:type="dxa"/>
            <w:vAlign w:val="center"/>
          </w:tcPr>
          <w:p w14:paraId="4862A1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7931C94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r w14:paraId="670AF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F09D5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w:t>
            </w:r>
          </w:p>
        </w:tc>
        <w:tc>
          <w:tcPr>
            <w:tcW w:w="1425" w:type="dxa"/>
            <w:vAlign w:val="center"/>
          </w:tcPr>
          <w:p w14:paraId="3C05FC33">
            <w:pPr>
              <w:pStyle w:val="46"/>
              <w:keepNext w:val="0"/>
              <w:keepLines w:val="0"/>
              <w:suppressLineNumbers w:val="0"/>
              <w:snapToGrid w:val="0"/>
              <w:spacing w:before="0" w:beforeAutospacing="0" w:after="0" w:afterAutospacing="0" w:line="400" w:lineRule="exact"/>
              <w:ind w:left="0" w:right="0" w:firstLine="0" w:firstLineChars="0"/>
              <w:jc w:val="center"/>
              <w:rPr>
                <w:rFonts w:hint="default" w:ascii="宋体" w:hAnsi="宋体" w:eastAsia="宋体" w:cs="宋体"/>
                <w:color w:val="auto"/>
                <w:kern w:val="0"/>
                <w:szCs w:val="21"/>
                <w:highlight w:val="none"/>
              </w:rPr>
            </w:pPr>
            <w:r>
              <w:rPr>
                <w:rFonts w:hint="eastAsia" w:ascii="宋体" w:eastAsia="宋体"/>
                <w:color w:val="auto"/>
                <w:sz w:val="21"/>
                <w:szCs w:val="21"/>
                <w:highlight w:val="none"/>
              </w:rPr>
              <w:t>三</w:t>
            </w:r>
          </w:p>
        </w:tc>
        <w:tc>
          <w:tcPr>
            <w:tcW w:w="3055" w:type="dxa"/>
            <w:vAlign w:val="center"/>
          </w:tcPr>
          <w:p w14:paraId="62AC6BC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担保公司履约担保书</w:t>
            </w:r>
          </w:p>
        </w:tc>
        <w:tc>
          <w:tcPr>
            <w:tcW w:w="1346" w:type="dxa"/>
            <w:vAlign w:val="center"/>
          </w:tcPr>
          <w:p w14:paraId="7F8E81F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c>
          <w:tcPr>
            <w:tcW w:w="3524" w:type="dxa"/>
            <w:vAlign w:val="center"/>
          </w:tcPr>
          <w:p w14:paraId="28DD98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p>
        </w:tc>
      </w:tr>
    </w:tbl>
    <w:p w14:paraId="4B0851ED">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7AB99F06">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690FB15B">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Times New Roman"/>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highlight w:val="none"/>
        </w:rPr>
        <w:t>。</w:t>
      </w:r>
    </w:p>
    <w:p w14:paraId="24D53E4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62BC5C8D">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3）招标文件“第五篇 相关保函格式”作为重要的商务条款，投标人的响应情况列入本合同条款偏离表。</w:t>
      </w:r>
    </w:p>
    <w:p w14:paraId="7246E0D1">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w:t>
      </w:r>
      <w:r>
        <w:rPr>
          <w:rFonts w:ascii="宋体" w:hAnsi="宋体" w:eastAsia="宋体" w:cs="宋体"/>
          <w:color w:val="auto"/>
          <w:szCs w:val="21"/>
          <w:highlight w:val="none"/>
        </w:rPr>
        <w:t>4</w:t>
      </w:r>
      <w:r>
        <w:rPr>
          <w:rFonts w:hint="eastAsia" w:ascii="宋体" w:hAnsi="宋体" w:eastAsia="宋体" w:cs="宋体"/>
          <w:color w:val="auto"/>
          <w:szCs w:val="21"/>
          <w:highlight w:val="none"/>
        </w:rPr>
        <w:t>）如投标人差异内容较多可另附页说明，并在本偏离表“具体偏离内容”项注明其在投标文件中的具体页码。</w:t>
      </w:r>
    </w:p>
    <w:p w14:paraId="75238D61">
      <w:pPr>
        <w:spacing w:line="360" w:lineRule="auto"/>
        <w:ind w:left="357" w:leftChars="-100" w:hanging="567" w:hangingChars="270"/>
        <w:rPr>
          <w:rFonts w:ascii="宋体" w:hAnsi="宋体" w:eastAsia="宋体" w:cs="宋体"/>
          <w:color w:val="auto"/>
          <w:szCs w:val="21"/>
          <w:highlight w:val="none"/>
        </w:rPr>
      </w:pPr>
    </w:p>
    <w:p w14:paraId="249FD37E">
      <w:pPr>
        <w:spacing w:line="360" w:lineRule="auto"/>
        <w:ind w:left="357" w:leftChars="-100" w:hanging="567" w:hangingChars="270"/>
        <w:rPr>
          <w:rFonts w:ascii="宋体" w:hAnsi="宋体" w:eastAsia="宋体" w:cs="宋体"/>
          <w:color w:val="auto"/>
          <w:szCs w:val="21"/>
          <w:highlight w:val="none"/>
        </w:rPr>
      </w:pPr>
    </w:p>
    <w:p w14:paraId="5843C9C3">
      <w:pPr>
        <w:spacing w:line="360" w:lineRule="auto"/>
        <w:ind w:left="357" w:leftChars="-100" w:hanging="567" w:hangingChars="270"/>
        <w:rPr>
          <w:rFonts w:ascii="宋体" w:hAnsi="宋体" w:eastAsia="宋体" w:cs="宋体"/>
          <w:color w:val="auto"/>
          <w:szCs w:val="21"/>
          <w:highlight w:val="none"/>
        </w:rPr>
      </w:pPr>
    </w:p>
    <w:p w14:paraId="27DCB615">
      <w:pPr>
        <w:spacing w:line="360" w:lineRule="auto"/>
        <w:ind w:right="368" w:rightChars="175" w:firstLine="5355" w:firstLineChars="2550"/>
        <w:jc w:val="left"/>
        <w:rPr>
          <w:rFonts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280D5ADE">
      <w:pPr>
        <w:autoSpaceDE w:val="0"/>
        <w:autoSpaceDN w:val="0"/>
        <w:adjustRightInd w:val="0"/>
        <w:spacing w:line="360" w:lineRule="auto"/>
        <w:ind w:firstLine="5355" w:firstLineChars="255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167FBF3B">
      <w:pPr>
        <w:tabs>
          <w:tab w:val="left" w:pos="567"/>
        </w:tabs>
        <w:autoSpaceDE w:val="0"/>
        <w:autoSpaceDN w:val="0"/>
        <w:adjustRightInd w:val="0"/>
        <w:spacing w:line="360" w:lineRule="auto"/>
        <w:jc w:val="left"/>
        <w:outlineLvl w:val="2"/>
        <w:rPr>
          <w:rFonts w:ascii="宋体" w:hAnsi="宋体" w:eastAsia="宋体" w:cs="宋体"/>
          <w:b/>
          <w:color w:val="auto"/>
          <w:kern w:val="0"/>
          <w:sz w:val="32"/>
          <w:szCs w:val="32"/>
          <w:highlight w:val="none"/>
        </w:rPr>
      </w:pPr>
      <w:r>
        <w:rPr>
          <w:rFonts w:hint="eastAsia" w:ascii="宋体" w:hAnsi="宋体" w:eastAsia="宋体" w:cs="宋体"/>
          <w:b/>
          <w:bCs/>
          <w:color w:val="auto"/>
          <w:kern w:val="0"/>
          <w:sz w:val="30"/>
          <w:szCs w:val="30"/>
          <w:highlight w:val="none"/>
          <w:lang w:val="zh-CN"/>
        </w:rPr>
        <w:br w:type="page"/>
      </w:r>
      <w:bookmarkStart w:id="789" w:name="_Toc102860426"/>
      <w:bookmarkStart w:id="790" w:name="_Toc3222"/>
      <w:bookmarkStart w:id="791" w:name="_Toc102860082"/>
      <w:bookmarkStart w:id="792" w:name="_Toc104991884"/>
      <w:bookmarkStart w:id="793" w:name="_Toc5473"/>
      <w:bookmarkStart w:id="794" w:name="_Toc29505"/>
      <w:bookmarkStart w:id="795" w:name="_Toc142508377"/>
      <w:bookmarkStart w:id="796" w:name="_Toc94107218"/>
      <w:bookmarkStart w:id="797" w:name="_Toc140596937"/>
      <w:bookmarkStart w:id="798" w:name="_Toc13179"/>
      <w:bookmarkStart w:id="799" w:name="_Toc6466"/>
      <w:bookmarkStart w:id="800" w:name="_Toc20016"/>
      <w:bookmarkStart w:id="801" w:name="_Toc27980_WPSOffice_Level2"/>
      <w:bookmarkStart w:id="802" w:name="_Toc486167717"/>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rPr>
        <w:t>、业绩表格式</w:t>
      </w:r>
      <w:bookmarkEnd w:id="789"/>
      <w:bookmarkEnd w:id="790"/>
      <w:bookmarkEnd w:id="791"/>
      <w:bookmarkEnd w:id="792"/>
      <w:bookmarkEnd w:id="793"/>
      <w:bookmarkEnd w:id="794"/>
      <w:bookmarkEnd w:id="795"/>
      <w:bookmarkEnd w:id="796"/>
      <w:bookmarkEnd w:id="797"/>
      <w:bookmarkEnd w:id="798"/>
      <w:bookmarkEnd w:id="799"/>
      <w:bookmarkEnd w:id="800"/>
    </w:p>
    <w:p w14:paraId="09C867D5">
      <w:pPr>
        <w:tabs>
          <w:tab w:val="left" w:pos="567"/>
        </w:tabs>
        <w:autoSpaceDE w:val="0"/>
        <w:autoSpaceDN w:val="0"/>
        <w:adjustRightInd w:val="0"/>
        <w:spacing w:line="360" w:lineRule="auto"/>
        <w:jc w:val="center"/>
        <w:outlineLvl w:val="2"/>
        <w:rPr>
          <w:rFonts w:hint="eastAsia" w:ascii="宋体" w:hAnsi="宋体" w:eastAsia="宋体" w:cs="宋体"/>
          <w:b/>
          <w:color w:val="auto"/>
          <w:kern w:val="0"/>
          <w:sz w:val="32"/>
          <w:szCs w:val="32"/>
          <w:highlight w:val="none"/>
          <w:lang w:val="zh-CN"/>
        </w:rPr>
      </w:pPr>
      <w:bookmarkStart w:id="803" w:name="_Toc4438"/>
      <w:bookmarkStart w:id="804" w:name="_Toc5231"/>
      <w:bookmarkStart w:id="805" w:name="_Toc27111"/>
      <w:r>
        <w:rPr>
          <w:rFonts w:hint="eastAsia" w:ascii="宋体" w:hAnsi="宋体" w:eastAsia="宋体" w:cs="宋体"/>
          <w:b/>
          <w:color w:val="auto"/>
          <w:kern w:val="0"/>
          <w:sz w:val="32"/>
          <w:szCs w:val="32"/>
          <w:highlight w:val="none"/>
          <w:lang w:val="zh-CN"/>
        </w:rPr>
        <w:t>投标人2020年1月1日（以合同签订日期为准）至今承接的市政工程检测业绩表</w:t>
      </w:r>
      <w:bookmarkEnd w:id="803"/>
      <w:bookmarkEnd w:id="804"/>
      <w:bookmarkEnd w:id="805"/>
    </w:p>
    <w:tbl>
      <w:tblPr>
        <w:tblStyle w:val="36"/>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14:paraId="6084A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660" w:type="dxa"/>
            <w:vAlign w:val="center"/>
          </w:tcPr>
          <w:p w14:paraId="205B45E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54" w:type="dxa"/>
            <w:vAlign w:val="center"/>
          </w:tcPr>
          <w:p w14:paraId="04974A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954" w:type="dxa"/>
            <w:vAlign w:val="center"/>
          </w:tcPr>
          <w:p w14:paraId="0EF1C25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956" w:type="dxa"/>
            <w:vAlign w:val="center"/>
          </w:tcPr>
          <w:p w14:paraId="359196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956" w:type="dxa"/>
            <w:vAlign w:val="center"/>
          </w:tcPr>
          <w:p w14:paraId="5102B74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956" w:type="dxa"/>
            <w:vAlign w:val="center"/>
          </w:tcPr>
          <w:p w14:paraId="3896495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1114" w:type="dxa"/>
            <w:vAlign w:val="center"/>
          </w:tcPr>
          <w:p w14:paraId="657A0D6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956" w:type="dxa"/>
            <w:vAlign w:val="center"/>
          </w:tcPr>
          <w:p w14:paraId="6B80123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956" w:type="dxa"/>
            <w:vAlign w:val="center"/>
          </w:tcPr>
          <w:p w14:paraId="1B68B0A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956" w:type="dxa"/>
            <w:vAlign w:val="center"/>
          </w:tcPr>
          <w:p w14:paraId="36F24D0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788" w:type="dxa"/>
            <w:vAlign w:val="center"/>
          </w:tcPr>
          <w:p w14:paraId="4E0088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0FD5D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14:paraId="7C8706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14:paraId="0F03464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14:paraId="252B046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34036F7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1D217D5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4245917C">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4" w:type="dxa"/>
            <w:vAlign w:val="center"/>
          </w:tcPr>
          <w:p w14:paraId="31374C3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top"/>
          </w:tcPr>
          <w:p w14:paraId="15A58FC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50A267E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395B5C8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88" w:type="dxa"/>
            <w:vAlign w:val="center"/>
          </w:tcPr>
          <w:p w14:paraId="0E67C2C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0C707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14:paraId="2E08E8E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14:paraId="738F61E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14:paraId="28389B3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3DA0C08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60AA55C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141AABD4">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4" w:type="dxa"/>
            <w:vAlign w:val="center"/>
          </w:tcPr>
          <w:p w14:paraId="5BEFA363">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top"/>
          </w:tcPr>
          <w:p w14:paraId="51FD958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2ED988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733D3DA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88" w:type="dxa"/>
            <w:vAlign w:val="center"/>
          </w:tcPr>
          <w:p w14:paraId="1215323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55E9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14:paraId="64FD8C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14:paraId="452B46A6">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14:paraId="4E80B0B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43679E89">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0CD7A1C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30F2BC4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4" w:type="dxa"/>
            <w:vAlign w:val="center"/>
          </w:tcPr>
          <w:p w14:paraId="6B1C3BDD">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top"/>
          </w:tcPr>
          <w:p w14:paraId="08764227">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7A921C1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0E78B4F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88" w:type="dxa"/>
            <w:vAlign w:val="center"/>
          </w:tcPr>
          <w:p w14:paraId="1CE9ADA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r w14:paraId="6E1A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660" w:type="dxa"/>
            <w:vAlign w:val="center"/>
          </w:tcPr>
          <w:p w14:paraId="1EAA0A7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14:paraId="75B72EB8">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4" w:type="dxa"/>
            <w:vAlign w:val="center"/>
          </w:tcPr>
          <w:p w14:paraId="671EBD7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7C4E8DAF">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50F10DFB">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6AD87275">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1114" w:type="dxa"/>
            <w:vAlign w:val="center"/>
          </w:tcPr>
          <w:p w14:paraId="22BAE340">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top"/>
          </w:tcPr>
          <w:p w14:paraId="4EB6448A">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08EB68CE">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956" w:type="dxa"/>
            <w:vAlign w:val="center"/>
          </w:tcPr>
          <w:p w14:paraId="4690EEB1">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c>
          <w:tcPr>
            <w:tcW w:w="788" w:type="dxa"/>
            <w:vAlign w:val="center"/>
          </w:tcPr>
          <w:p w14:paraId="3E7501A2">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rPr>
            </w:pPr>
          </w:p>
        </w:tc>
      </w:tr>
    </w:tbl>
    <w:p w14:paraId="015EE9DB">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highlight w:val="none"/>
          <w:lang w:val="zh-CN"/>
        </w:rPr>
      </w:pPr>
    </w:p>
    <w:p w14:paraId="49FFE35E">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备注：</w:t>
      </w:r>
    </w:p>
    <w:p w14:paraId="695D8983">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（1）</w:t>
      </w:r>
      <w:r>
        <w:rPr>
          <w:rFonts w:ascii="宋体" w:hAnsi="宋体" w:eastAsia="宋体" w:cs="Times New Roman"/>
          <w:color w:val="auto"/>
          <w:szCs w:val="24"/>
          <w:highlight w:val="none"/>
          <w:lang w:val="zh-CN"/>
        </w:rPr>
        <w:t>业绩按单项合同采购金额从高到低的方式排列</w:t>
      </w:r>
      <w:r>
        <w:rPr>
          <w:rFonts w:hint="eastAsia" w:ascii="宋体" w:hAnsi="宋体" w:eastAsia="宋体" w:cs="Times New Roman"/>
          <w:color w:val="auto"/>
          <w:szCs w:val="24"/>
          <w:highlight w:val="none"/>
          <w:lang w:val="zh-CN"/>
        </w:rPr>
        <w:t>，</w:t>
      </w:r>
      <w:r>
        <w:rPr>
          <w:rFonts w:hint="eastAsia" w:ascii="宋体" w:hAnsi="宋体" w:eastAsia="宋体" w:cs="Times New Roman"/>
          <w:b w:val="0"/>
          <w:bCs/>
          <w:color w:val="auto"/>
          <w:szCs w:val="24"/>
          <w:highlight w:val="none"/>
          <w:lang w:val="zh-CN"/>
        </w:rPr>
        <w:t>同一个单项合同的业绩可以同时在资格业绩和评分业绩重复放置</w:t>
      </w:r>
      <w:r>
        <w:rPr>
          <w:rFonts w:hint="eastAsia" w:ascii="宋体" w:hAnsi="宋体" w:eastAsia="宋体" w:cs="Times New Roman"/>
          <w:color w:val="auto"/>
          <w:szCs w:val="24"/>
          <w:highlight w:val="none"/>
          <w:lang w:val="zh-CN"/>
        </w:rPr>
        <w:t>。</w:t>
      </w:r>
    </w:p>
    <w:p w14:paraId="475B88DC">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）业绩须附合同复印件，否则不得分。</w:t>
      </w:r>
    </w:p>
    <w:p w14:paraId="4C5D64D6">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hint="eastAsia" w:ascii="宋体" w:hAnsi="宋体" w:eastAsia="宋体" w:cs="Times New Roman"/>
          <w:color w:val="auto"/>
          <w:szCs w:val="24"/>
          <w:highlight w:val="none"/>
        </w:rPr>
        <w:t>3</w:t>
      </w:r>
      <w:r>
        <w:rPr>
          <w:rFonts w:hint="eastAsia" w:ascii="宋体" w:hAnsi="宋体" w:eastAsia="宋体" w:cs="Times New Roman"/>
          <w:color w:val="auto"/>
          <w:szCs w:val="24"/>
          <w:highlight w:val="none"/>
          <w:lang w:val="zh-CN"/>
        </w:rPr>
        <w:t>）合同业绩证明材料必须能反映评分条件[合同签订日期为2020年1月1日或以后，业绩类型为市政工程检测，合同金额（若合同内容无法反映合同金额的，需提供可反映合同金额的结算资料复印件）]，否则需同时提供</w:t>
      </w:r>
      <w:r>
        <w:rPr>
          <w:rFonts w:hint="eastAsia" w:ascii="宋体" w:hAnsi="宋体" w:eastAsia="宋体" w:cs="宋体"/>
          <w:b w:val="0"/>
          <w:bCs w:val="0"/>
          <w:color w:val="auto"/>
          <w:szCs w:val="21"/>
          <w:highlight w:val="none"/>
          <w:lang w:val="en-US" w:eastAsia="zh-CN"/>
        </w:rPr>
        <w:t>合同委托方</w:t>
      </w:r>
      <w:r>
        <w:rPr>
          <w:rFonts w:hint="eastAsia" w:ascii="宋体" w:hAnsi="宋体" w:eastAsia="宋体" w:cs="Times New Roman"/>
          <w:color w:val="auto"/>
          <w:szCs w:val="24"/>
          <w:highlight w:val="none"/>
          <w:lang w:val="zh-CN"/>
        </w:rPr>
        <w:t>出具的书面补充情况说明文件复印件（</w:t>
      </w:r>
      <w:r>
        <w:rPr>
          <w:rFonts w:hint="eastAsia" w:ascii="宋体" w:hAnsi="宋体" w:eastAsia="宋体" w:cs="Times New Roman"/>
          <w:color w:val="auto"/>
          <w:szCs w:val="24"/>
          <w:highlight w:val="none"/>
          <w:lang w:val="en-US" w:eastAsia="zh-CN"/>
        </w:rPr>
        <w:t>需加盖委托方公章，即复印件能显示委托方公章</w:t>
      </w:r>
      <w:r>
        <w:rPr>
          <w:rFonts w:hint="eastAsia" w:ascii="宋体" w:hAnsi="宋体" w:eastAsia="宋体" w:cs="Times New Roman"/>
          <w:color w:val="auto"/>
          <w:szCs w:val="24"/>
          <w:highlight w:val="none"/>
          <w:lang w:val="zh-CN"/>
        </w:rPr>
        <w:t>）。</w:t>
      </w:r>
    </w:p>
    <w:p w14:paraId="637C90A0">
      <w:pPr>
        <w:autoSpaceDE w:val="0"/>
        <w:autoSpaceDN w:val="0"/>
        <w:adjustRightInd w:val="0"/>
        <w:snapToGrid w:val="0"/>
        <w:spacing w:line="360" w:lineRule="auto"/>
        <w:ind w:left="481" w:leftChars="-41" w:hanging="567" w:hangingChars="270"/>
        <w:jc w:val="left"/>
        <w:rPr>
          <w:rFonts w:ascii="宋体" w:hAnsi="宋体" w:eastAsia="宋体" w:cs="宋体"/>
          <w:color w:val="auto"/>
          <w:kern w:val="0"/>
          <w:szCs w:val="21"/>
          <w:highlight w:val="none"/>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4</w:t>
      </w:r>
      <w:r>
        <w:rPr>
          <w:rFonts w:hint="eastAsia" w:ascii="宋体" w:hAnsi="宋体" w:eastAsia="宋体" w:cs="Times New Roman"/>
          <w:color w:val="auto"/>
          <w:szCs w:val="24"/>
          <w:highlight w:val="none"/>
          <w:lang w:val="zh-CN"/>
        </w:rPr>
        <w:t>）</w:t>
      </w:r>
      <w:r>
        <w:rPr>
          <w:rFonts w:hint="eastAsia" w:ascii="宋体" w:hAnsi="宋体" w:eastAsia="宋体" w:cs="Times New Roman"/>
          <w:b w:val="0"/>
          <w:bCs/>
          <w:color w:val="auto"/>
          <w:szCs w:val="24"/>
          <w:highlight w:val="none"/>
          <w:lang w:val="zh-CN"/>
        </w:rPr>
        <w:t>未按上述要求在此格式下提供证明材料的业绩，或在此格式下</w:t>
      </w:r>
      <w:r>
        <w:rPr>
          <w:rFonts w:hint="eastAsia" w:ascii="宋体" w:hAnsi="宋体" w:eastAsia="宋体" w:cs="Times New Roman"/>
          <w:color w:val="auto"/>
          <w:szCs w:val="24"/>
          <w:highlight w:val="none"/>
          <w:lang w:val="zh-CN"/>
        </w:rPr>
        <w:t>所附材料无法证明填报项目符合本项评分要求的业绩，在评标时将不予考虑</w:t>
      </w:r>
      <w:r>
        <w:rPr>
          <w:rFonts w:hint="eastAsia" w:ascii="宋体" w:hAnsi="宋体" w:eastAsia="宋体" w:cs="Times New Roman"/>
          <w:color w:val="auto"/>
          <w:kern w:val="0"/>
          <w:szCs w:val="21"/>
          <w:highlight w:val="none"/>
        </w:rPr>
        <w:t>。</w:t>
      </w:r>
    </w:p>
    <w:p w14:paraId="60045771">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p>
    <w:p w14:paraId="5F3DE179">
      <w:pPr>
        <w:autoSpaceDE w:val="0"/>
        <w:autoSpaceDN w:val="0"/>
        <w:adjustRightInd w:val="0"/>
        <w:spacing w:line="360" w:lineRule="auto"/>
        <w:ind w:firstLine="5040" w:firstLineChars="2400"/>
        <w:jc w:val="left"/>
        <w:rPr>
          <w:rFonts w:ascii="宋体" w:hAnsi="宋体" w:eastAsia="宋体" w:cs="Times New Roman"/>
          <w:color w:val="auto"/>
          <w:kern w:val="0"/>
          <w:szCs w:val="21"/>
          <w:highlight w:val="none"/>
        </w:rPr>
      </w:pPr>
      <w:r>
        <w:rPr>
          <w:rFonts w:hint="eastAsia" w:ascii="宋体" w:hAnsi="宋体" w:eastAsia="宋体" w:cs="Times New Roman"/>
          <w:color w:val="auto"/>
          <w:szCs w:val="24"/>
          <w:highlight w:val="none"/>
          <w:lang w:val="zh-CN"/>
        </w:rPr>
        <w:t>投标人：（加盖投标人法人公章）</w:t>
      </w:r>
    </w:p>
    <w:p w14:paraId="1E4B1BF7">
      <w:pPr>
        <w:autoSpaceDE w:val="0"/>
        <w:autoSpaceDN w:val="0"/>
        <w:adjustRightInd w:val="0"/>
        <w:spacing w:line="360" w:lineRule="auto"/>
        <w:ind w:firstLine="5040" w:firstLineChars="2400"/>
        <w:jc w:val="left"/>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日期：   年   月   日</w:t>
      </w:r>
    </w:p>
    <w:p w14:paraId="161235B2">
      <w:pPr>
        <w:autoSpaceDE w:val="0"/>
        <w:autoSpaceDN w:val="0"/>
        <w:adjustRightInd w:val="0"/>
        <w:spacing w:line="360" w:lineRule="auto"/>
        <w:rPr>
          <w:rFonts w:ascii="宋体" w:hAnsi="宋体" w:eastAsia="宋体" w:cs="Times New Roman"/>
          <w:b/>
          <w:bCs/>
          <w:color w:val="auto"/>
          <w:sz w:val="30"/>
          <w:szCs w:val="30"/>
          <w:highlight w:val="none"/>
          <w:lang w:val="zh-CN"/>
        </w:rPr>
      </w:pPr>
    </w:p>
    <w:p w14:paraId="12DA2ABA">
      <w:pPr>
        <w:autoSpaceDE w:val="0"/>
        <w:autoSpaceDN w:val="0"/>
        <w:adjustRightInd w:val="0"/>
        <w:spacing w:line="360" w:lineRule="auto"/>
        <w:ind w:firstLine="602"/>
        <w:rPr>
          <w:rFonts w:ascii="宋体" w:hAnsi="宋体" w:eastAsia="宋体" w:cs="Times New Roman"/>
          <w:b/>
          <w:bCs/>
          <w:color w:val="auto"/>
          <w:sz w:val="30"/>
          <w:szCs w:val="30"/>
          <w:highlight w:val="none"/>
          <w:lang w:val="zh-CN"/>
        </w:rPr>
      </w:pPr>
    </w:p>
    <w:bookmarkEnd w:id="801"/>
    <w:bookmarkEnd w:id="802"/>
    <w:p w14:paraId="0B63B606">
      <w:pPr>
        <w:rPr>
          <w:rFonts w:hint="eastAsia" w:ascii="宋体" w:hAnsi="宋体" w:eastAsia="宋体" w:cs="宋体"/>
          <w:b/>
          <w:bCs/>
          <w:color w:val="auto"/>
          <w:kern w:val="0"/>
          <w:sz w:val="32"/>
          <w:szCs w:val="32"/>
          <w:highlight w:val="none"/>
          <w:lang w:val="zh-CN"/>
        </w:rPr>
      </w:pPr>
      <w:bookmarkStart w:id="806" w:name="_Toc533708132"/>
      <w:bookmarkStart w:id="807" w:name="_Toc104991885"/>
      <w:bookmarkStart w:id="808" w:name="_Toc486167719"/>
      <w:bookmarkStart w:id="809" w:name="_Toc19890"/>
      <w:bookmarkStart w:id="810" w:name="_Toc1977737"/>
      <w:bookmarkStart w:id="811" w:name="_Toc18175_WPSOffice_Level2"/>
      <w:bookmarkStart w:id="812" w:name="_Toc94107220"/>
      <w:bookmarkStart w:id="813" w:name="_Toc140596938"/>
      <w:bookmarkStart w:id="814" w:name="_Toc18413"/>
      <w:bookmarkStart w:id="815" w:name="_Toc102860083"/>
      <w:bookmarkStart w:id="816" w:name="_Toc142508378"/>
      <w:bookmarkStart w:id="817" w:name="_Toc31965"/>
      <w:bookmarkStart w:id="818" w:name="_Toc102860427"/>
      <w:r>
        <w:rPr>
          <w:rFonts w:hint="eastAsia" w:ascii="宋体" w:hAnsi="宋体" w:eastAsia="宋体" w:cs="宋体"/>
          <w:b/>
          <w:bCs/>
          <w:color w:val="auto"/>
          <w:kern w:val="0"/>
          <w:sz w:val="32"/>
          <w:szCs w:val="32"/>
          <w:highlight w:val="none"/>
          <w:lang w:val="zh-CN"/>
        </w:rPr>
        <w:br w:type="page"/>
      </w:r>
    </w:p>
    <w:p w14:paraId="15B27A29">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2"/>
          <w:szCs w:val="32"/>
          <w:highlight w:val="none"/>
          <w:lang w:val="en-US" w:eastAsia="zh-CN"/>
        </w:rPr>
      </w:pPr>
      <w:bookmarkStart w:id="819" w:name="_Toc5187"/>
      <w:bookmarkStart w:id="820" w:name="_Toc18592"/>
      <w:r>
        <w:rPr>
          <w:rFonts w:hint="eastAsia" w:ascii="宋体" w:hAnsi="宋体" w:eastAsia="宋体" w:cs="宋体"/>
          <w:b/>
          <w:color w:val="auto"/>
          <w:kern w:val="0"/>
          <w:sz w:val="32"/>
          <w:szCs w:val="32"/>
          <w:highlight w:val="none"/>
          <w:lang w:val="en-US" w:eastAsia="zh-CN"/>
        </w:rPr>
        <w:t>十、拟投入人员情况格式</w:t>
      </w:r>
      <w:bookmarkEnd w:id="819"/>
      <w:bookmarkEnd w:id="820"/>
    </w:p>
    <w:p w14:paraId="6AB47C1C">
      <w:pPr>
        <w:spacing w:before="120" w:beforeLines="50"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（1）拟投入人员情况一览表</w:t>
      </w:r>
    </w:p>
    <w:tbl>
      <w:tblPr>
        <w:tblStyle w:val="36"/>
        <w:tblW w:w="10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274"/>
        <w:gridCol w:w="737"/>
        <w:gridCol w:w="737"/>
        <w:gridCol w:w="737"/>
        <w:gridCol w:w="1795"/>
        <w:gridCol w:w="1544"/>
        <w:gridCol w:w="1805"/>
        <w:gridCol w:w="1031"/>
      </w:tblGrid>
      <w:tr w14:paraId="53114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704" w:type="dxa"/>
            <w:vAlign w:val="center"/>
          </w:tcPr>
          <w:p w14:paraId="6E861F9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274" w:type="dxa"/>
            <w:vAlign w:val="center"/>
          </w:tcPr>
          <w:p w14:paraId="56C20E7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737" w:type="dxa"/>
            <w:vAlign w:val="center"/>
          </w:tcPr>
          <w:p w14:paraId="60B9FB9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37" w:type="dxa"/>
            <w:vAlign w:val="center"/>
          </w:tcPr>
          <w:p w14:paraId="21F9D7A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37" w:type="dxa"/>
            <w:vAlign w:val="center"/>
          </w:tcPr>
          <w:p w14:paraId="06D3692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795" w:type="dxa"/>
            <w:vAlign w:val="center"/>
          </w:tcPr>
          <w:p w14:paraId="244A3E9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职称证书</w:t>
            </w:r>
          </w:p>
        </w:tc>
        <w:tc>
          <w:tcPr>
            <w:tcW w:w="1544" w:type="dxa"/>
            <w:vAlign w:val="center"/>
          </w:tcPr>
          <w:p w14:paraId="2B1E956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拟任职务</w:t>
            </w:r>
          </w:p>
        </w:tc>
        <w:tc>
          <w:tcPr>
            <w:tcW w:w="1805" w:type="dxa"/>
            <w:vAlign w:val="center"/>
          </w:tcPr>
          <w:p w14:paraId="5A35614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从事本行业年限</w:t>
            </w:r>
          </w:p>
        </w:tc>
        <w:tc>
          <w:tcPr>
            <w:tcW w:w="1031" w:type="dxa"/>
            <w:vAlign w:val="center"/>
          </w:tcPr>
          <w:p w14:paraId="6CE7EDC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41A15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04" w:type="dxa"/>
            <w:vAlign w:val="center"/>
          </w:tcPr>
          <w:p w14:paraId="761B7C0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74" w:type="dxa"/>
            <w:vAlign w:val="center"/>
          </w:tcPr>
          <w:p w14:paraId="5627C7E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0BCD46F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1CD86C0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08A8C43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795" w:type="dxa"/>
            <w:vAlign w:val="center"/>
          </w:tcPr>
          <w:p w14:paraId="6A4B45E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44" w:type="dxa"/>
            <w:vAlign w:val="center"/>
          </w:tcPr>
          <w:p w14:paraId="335C496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805" w:type="dxa"/>
            <w:vAlign w:val="center"/>
          </w:tcPr>
          <w:p w14:paraId="234BA7B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31" w:type="dxa"/>
            <w:vAlign w:val="center"/>
          </w:tcPr>
          <w:p w14:paraId="1614617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1B1D8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704" w:type="dxa"/>
            <w:vAlign w:val="center"/>
          </w:tcPr>
          <w:p w14:paraId="1B01AC7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74" w:type="dxa"/>
            <w:vAlign w:val="center"/>
          </w:tcPr>
          <w:p w14:paraId="5A0B389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568C87D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117C087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1F56BB8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795" w:type="dxa"/>
            <w:vAlign w:val="center"/>
          </w:tcPr>
          <w:p w14:paraId="68F9445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44" w:type="dxa"/>
            <w:vAlign w:val="center"/>
          </w:tcPr>
          <w:p w14:paraId="198DF50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805" w:type="dxa"/>
            <w:vAlign w:val="center"/>
          </w:tcPr>
          <w:p w14:paraId="543E316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31" w:type="dxa"/>
            <w:vAlign w:val="center"/>
          </w:tcPr>
          <w:p w14:paraId="23BA13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7BA86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1B7AB45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74" w:type="dxa"/>
            <w:vAlign w:val="center"/>
          </w:tcPr>
          <w:p w14:paraId="1B47286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303F487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3D1723B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441CDEC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795" w:type="dxa"/>
            <w:vAlign w:val="center"/>
          </w:tcPr>
          <w:p w14:paraId="1F17635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44" w:type="dxa"/>
            <w:vAlign w:val="center"/>
          </w:tcPr>
          <w:p w14:paraId="60A9FF6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805" w:type="dxa"/>
            <w:vAlign w:val="center"/>
          </w:tcPr>
          <w:p w14:paraId="47504A1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31" w:type="dxa"/>
            <w:vAlign w:val="center"/>
          </w:tcPr>
          <w:p w14:paraId="3700654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1ACCA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5204467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74" w:type="dxa"/>
            <w:vAlign w:val="center"/>
          </w:tcPr>
          <w:p w14:paraId="13B0B92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4F5B521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4F8B121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61615FD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795" w:type="dxa"/>
            <w:vAlign w:val="center"/>
          </w:tcPr>
          <w:p w14:paraId="2AD8A2E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44" w:type="dxa"/>
            <w:vAlign w:val="center"/>
          </w:tcPr>
          <w:p w14:paraId="20C8DF7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805" w:type="dxa"/>
            <w:vAlign w:val="center"/>
          </w:tcPr>
          <w:p w14:paraId="7E1E970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31" w:type="dxa"/>
            <w:vAlign w:val="center"/>
          </w:tcPr>
          <w:p w14:paraId="6CBC746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40D7C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22CEE75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74" w:type="dxa"/>
            <w:vAlign w:val="center"/>
          </w:tcPr>
          <w:p w14:paraId="4AC63CD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1ACFE8E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1C7B7B3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25DEEBD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795" w:type="dxa"/>
            <w:vAlign w:val="center"/>
          </w:tcPr>
          <w:p w14:paraId="24691D8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44" w:type="dxa"/>
            <w:vAlign w:val="center"/>
          </w:tcPr>
          <w:p w14:paraId="5FC0A61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805" w:type="dxa"/>
            <w:vAlign w:val="center"/>
          </w:tcPr>
          <w:p w14:paraId="7B5DC18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31" w:type="dxa"/>
            <w:vAlign w:val="center"/>
          </w:tcPr>
          <w:p w14:paraId="05D0F47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314B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472DC3A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74" w:type="dxa"/>
            <w:vAlign w:val="center"/>
          </w:tcPr>
          <w:p w14:paraId="6241FDA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50F68F3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48204C9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0CA50C6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795" w:type="dxa"/>
            <w:vAlign w:val="center"/>
          </w:tcPr>
          <w:p w14:paraId="0B1D5E7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44" w:type="dxa"/>
            <w:vAlign w:val="center"/>
          </w:tcPr>
          <w:p w14:paraId="7D811AA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805" w:type="dxa"/>
            <w:vAlign w:val="center"/>
          </w:tcPr>
          <w:p w14:paraId="46E4E0F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31" w:type="dxa"/>
            <w:vAlign w:val="center"/>
          </w:tcPr>
          <w:p w14:paraId="1AEF474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57CC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4" w:type="dxa"/>
            <w:vAlign w:val="center"/>
          </w:tcPr>
          <w:p w14:paraId="11E2786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74" w:type="dxa"/>
            <w:vAlign w:val="center"/>
          </w:tcPr>
          <w:p w14:paraId="1FD09ED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6EE7A82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1AEA3E3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2763090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795" w:type="dxa"/>
            <w:vAlign w:val="center"/>
          </w:tcPr>
          <w:p w14:paraId="5DE12D9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44" w:type="dxa"/>
            <w:vAlign w:val="center"/>
          </w:tcPr>
          <w:p w14:paraId="4E7446F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805" w:type="dxa"/>
            <w:vAlign w:val="center"/>
          </w:tcPr>
          <w:p w14:paraId="16F7034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31" w:type="dxa"/>
            <w:vAlign w:val="center"/>
          </w:tcPr>
          <w:p w14:paraId="74A1736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3B58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704" w:type="dxa"/>
            <w:vAlign w:val="center"/>
          </w:tcPr>
          <w:p w14:paraId="62116A4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74" w:type="dxa"/>
            <w:vAlign w:val="center"/>
          </w:tcPr>
          <w:p w14:paraId="3109366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2C0231C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26029A2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56B7417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795" w:type="dxa"/>
            <w:vAlign w:val="center"/>
          </w:tcPr>
          <w:p w14:paraId="410AB85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44" w:type="dxa"/>
            <w:vAlign w:val="center"/>
          </w:tcPr>
          <w:p w14:paraId="318D6F9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805" w:type="dxa"/>
            <w:vAlign w:val="center"/>
          </w:tcPr>
          <w:p w14:paraId="2354E68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31" w:type="dxa"/>
            <w:vAlign w:val="center"/>
          </w:tcPr>
          <w:p w14:paraId="3C4FE44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744F4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704" w:type="dxa"/>
            <w:vAlign w:val="center"/>
          </w:tcPr>
          <w:p w14:paraId="17420AF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74" w:type="dxa"/>
            <w:vAlign w:val="center"/>
          </w:tcPr>
          <w:p w14:paraId="487F129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1387104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780439D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291092C3">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795" w:type="dxa"/>
            <w:vAlign w:val="center"/>
          </w:tcPr>
          <w:p w14:paraId="5FC83455">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44" w:type="dxa"/>
            <w:vAlign w:val="center"/>
          </w:tcPr>
          <w:p w14:paraId="6855289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805" w:type="dxa"/>
            <w:vAlign w:val="center"/>
          </w:tcPr>
          <w:p w14:paraId="447ABED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31" w:type="dxa"/>
            <w:vAlign w:val="center"/>
          </w:tcPr>
          <w:p w14:paraId="2E62E542">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r w14:paraId="25B12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704" w:type="dxa"/>
            <w:vAlign w:val="center"/>
          </w:tcPr>
          <w:p w14:paraId="3964C73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274" w:type="dxa"/>
            <w:vAlign w:val="center"/>
          </w:tcPr>
          <w:p w14:paraId="6DD4043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134A0518">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4ADBDB7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737" w:type="dxa"/>
            <w:vAlign w:val="center"/>
          </w:tcPr>
          <w:p w14:paraId="7DFACD7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795" w:type="dxa"/>
            <w:vAlign w:val="center"/>
          </w:tcPr>
          <w:p w14:paraId="378CDF5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544" w:type="dxa"/>
            <w:vAlign w:val="center"/>
          </w:tcPr>
          <w:p w14:paraId="59555B9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805" w:type="dxa"/>
            <w:vAlign w:val="center"/>
          </w:tcPr>
          <w:p w14:paraId="30DB323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c>
          <w:tcPr>
            <w:tcW w:w="1031" w:type="dxa"/>
            <w:vAlign w:val="center"/>
          </w:tcPr>
          <w:p w14:paraId="1756193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1"/>
                <w:highlight w:val="none"/>
              </w:rPr>
            </w:pPr>
          </w:p>
        </w:tc>
      </w:tr>
    </w:tbl>
    <w:p w14:paraId="5E35F385">
      <w:pPr>
        <w:overflowPunct w:val="0"/>
        <w:spacing w:before="120" w:line="360" w:lineRule="auto"/>
        <w:ind w:left="267" w:leftChars="-73" w:hanging="420" w:hangingChars="200"/>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7D4DDC38">
      <w:p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（1）此表格式供参照，投标人可以根据本表格式内容自行划表填写</w:t>
      </w:r>
      <w:r>
        <w:rPr>
          <w:rFonts w:hint="eastAsia" w:ascii="宋体" w:hAnsi="宋体" w:eastAsia="宋体" w:cs="宋体"/>
          <w:color w:val="auto"/>
          <w:szCs w:val="21"/>
          <w:highlight w:val="none"/>
          <w:lang w:eastAsia="zh-CN"/>
        </w:rPr>
        <w:t>；</w:t>
      </w:r>
    </w:p>
    <w:p w14:paraId="6F990730">
      <w:pPr>
        <w:spacing w:line="360" w:lineRule="auto"/>
        <w:ind w:right="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（2）以上人员须提供身份证、职称证书、社会保障部门出具的最近1年（</w:t>
      </w:r>
      <w:r>
        <w:rPr>
          <w:rFonts w:hint="eastAsia" w:ascii="宋体" w:hAnsi="宋体" w:eastAsia="宋体" w:cs="宋体"/>
          <w:b/>
          <w:bCs/>
          <w:color w:val="auto"/>
          <w:szCs w:val="21"/>
          <w:highlight w:val="none"/>
        </w:rPr>
        <w:t>即</w:t>
      </w:r>
      <w:r>
        <w:rPr>
          <w:rFonts w:hint="eastAsia" w:ascii="宋体" w:hAnsi="宋体" w:eastAsia="宋体" w:cs="宋体"/>
          <w:b/>
          <w:bCs/>
          <w:color w:val="auto"/>
          <w:szCs w:val="21"/>
          <w:highlight w:val="none"/>
          <w:lang w:eastAsia="zh-CN"/>
        </w:rPr>
        <w:t>2024年2月至2025年1月</w:t>
      </w:r>
      <w:r>
        <w:rPr>
          <w:rFonts w:hint="eastAsia" w:ascii="宋体" w:hAnsi="宋体" w:eastAsia="宋体" w:cs="宋体"/>
          <w:color w:val="auto"/>
          <w:szCs w:val="21"/>
          <w:highlight w:val="none"/>
        </w:rPr>
        <w:t>）在投标人单位缴纳</w:t>
      </w:r>
      <w:r>
        <w:rPr>
          <w:rFonts w:hint="eastAsia" w:ascii="宋体" w:hAnsi="宋体" w:eastAsia="宋体" w:cs="宋体"/>
          <w:color w:val="auto"/>
          <w:szCs w:val="21"/>
          <w:highlight w:val="none"/>
          <w:lang w:eastAsia="zh-CN"/>
        </w:rPr>
        <w:t>社保</w:t>
      </w:r>
      <w:r>
        <w:rPr>
          <w:rFonts w:hint="eastAsia" w:ascii="宋体" w:hAnsi="宋体" w:eastAsia="宋体" w:cs="宋体"/>
          <w:color w:val="auto"/>
          <w:szCs w:val="21"/>
          <w:highlight w:val="none"/>
        </w:rPr>
        <w:t>有效凭证等证明材料复印件加盖投标人公章</w:t>
      </w:r>
      <w:r>
        <w:rPr>
          <w:rFonts w:hint="eastAsia" w:ascii="宋体" w:hAnsi="宋体" w:eastAsia="宋体" w:cs="宋体"/>
          <w:color w:val="auto"/>
          <w:szCs w:val="21"/>
          <w:highlight w:val="none"/>
          <w:lang w:eastAsia="zh-CN"/>
        </w:rPr>
        <w:t>；</w:t>
      </w:r>
    </w:p>
    <w:p w14:paraId="7E22DC80">
      <w:pPr>
        <w:spacing w:line="360" w:lineRule="auto"/>
        <w:ind w:right="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（3）同一人员具备多个种类证书不重复得分</w:t>
      </w:r>
      <w:r>
        <w:rPr>
          <w:rFonts w:hint="eastAsia" w:ascii="宋体" w:hAnsi="宋体" w:eastAsia="宋体" w:cs="宋体"/>
          <w:color w:val="auto"/>
          <w:szCs w:val="21"/>
          <w:highlight w:val="none"/>
          <w:lang w:eastAsia="zh-CN"/>
        </w:rPr>
        <w:t>；</w:t>
      </w:r>
    </w:p>
    <w:p w14:paraId="5830C4E6">
      <w:pPr>
        <w:spacing w:line="360" w:lineRule="auto"/>
        <w:ind w:right="420"/>
        <w:rPr>
          <w:rFonts w:ascii="宋体" w:hAnsi="宋体" w:eastAsia="宋体" w:cs="宋体"/>
          <w:color w:val="auto"/>
          <w:szCs w:val="21"/>
          <w:highlight w:val="none"/>
        </w:rPr>
      </w:pPr>
      <w:r>
        <w:rPr>
          <w:rFonts w:hint="eastAsia" w:ascii="宋体" w:hAnsi="宋体" w:eastAsia="宋体" w:cs="宋体"/>
          <w:color w:val="auto"/>
          <w:szCs w:val="21"/>
          <w:highlight w:val="none"/>
        </w:rPr>
        <w:t>（4）同一人员具备同一种类证书或同一个专业含有多个等级的仅按最高等级证书计算一次得分。</w:t>
      </w:r>
    </w:p>
    <w:p w14:paraId="149C58C5">
      <w:pPr>
        <w:spacing w:line="360" w:lineRule="auto"/>
        <w:ind w:right="420"/>
        <w:rPr>
          <w:rFonts w:ascii="宋体" w:hAnsi="宋体" w:eastAsia="宋体" w:cs="宋体"/>
          <w:color w:val="auto"/>
          <w:szCs w:val="21"/>
          <w:highlight w:val="none"/>
          <w:lang w:val="zh-CN"/>
        </w:rPr>
      </w:pPr>
    </w:p>
    <w:p w14:paraId="0FBBAEEB">
      <w:pPr>
        <w:spacing w:line="360" w:lineRule="auto"/>
        <w:ind w:left="685" w:leftChars="176" w:hanging="315" w:hangingChars="150"/>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投标人：（加盖投标人法人公章）</w:t>
      </w:r>
    </w:p>
    <w:p w14:paraId="304392FA">
      <w:pPr>
        <w:spacing w:line="360" w:lineRule="auto"/>
        <w:ind w:left="685" w:leftChars="176" w:hanging="315" w:hangingChars="15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日期：   年    月     日</w:t>
      </w:r>
    </w:p>
    <w:p w14:paraId="2C59335A">
      <w:pPr>
        <w:spacing w:line="360" w:lineRule="auto"/>
        <w:ind w:firstLine="5040" w:firstLineChars="2400"/>
        <w:rPr>
          <w:rFonts w:ascii="宋体" w:hAnsi="宋体" w:eastAsia="宋体" w:cs="宋体"/>
          <w:color w:val="auto"/>
          <w:szCs w:val="21"/>
          <w:highlight w:val="none"/>
          <w:lang w:val="zh-CN"/>
        </w:rPr>
      </w:pPr>
    </w:p>
    <w:p w14:paraId="601E9EB9">
      <w:pPr>
        <w:spacing w:line="360" w:lineRule="auto"/>
        <w:ind w:firstLine="5040" w:firstLineChars="2400"/>
        <w:rPr>
          <w:rFonts w:ascii="宋体" w:hAnsi="宋体" w:eastAsia="宋体" w:cs="宋体"/>
          <w:color w:val="auto"/>
          <w:szCs w:val="21"/>
          <w:highlight w:val="none"/>
          <w:lang w:val="zh-CN"/>
        </w:rPr>
      </w:pPr>
    </w:p>
    <w:p w14:paraId="2D9D5C62">
      <w:pPr>
        <w:pageBreakBefore/>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（2）拟投入项目负责人简历表</w:t>
      </w:r>
    </w:p>
    <w:tbl>
      <w:tblPr>
        <w:tblStyle w:val="36"/>
        <w:tblW w:w="10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3"/>
        <w:gridCol w:w="406"/>
        <w:gridCol w:w="577"/>
        <w:gridCol w:w="975"/>
        <w:gridCol w:w="531"/>
        <w:gridCol w:w="1037"/>
        <w:gridCol w:w="637"/>
        <w:gridCol w:w="473"/>
        <w:gridCol w:w="506"/>
        <w:gridCol w:w="944"/>
        <w:gridCol w:w="508"/>
        <w:gridCol w:w="1473"/>
      </w:tblGrid>
      <w:tr w14:paraId="6EBEB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303" w:type="dxa"/>
            <w:tcBorders>
              <w:top w:val="single" w:color="auto" w:sz="8" w:space="0"/>
              <w:left w:val="single" w:color="auto" w:sz="8" w:space="0"/>
              <w:bottom w:val="single" w:color="auto" w:sz="8" w:space="0"/>
              <w:right w:val="single" w:color="auto" w:sz="8" w:space="0"/>
            </w:tcBorders>
            <w:vAlign w:val="center"/>
          </w:tcPr>
          <w:p w14:paraId="444BE92A">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489" w:type="dxa"/>
            <w:gridSpan w:val="4"/>
            <w:tcBorders>
              <w:top w:val="single" w:color="auto" w:sz="8" w:space="0"/>
              <w:left w:val="nil"/>
              <w:bottom w:val="single" w:color="auto" w:sz="8" w:space="0"/>
              <w:right w:val="single" w:color="000000" w:sz="8" w:space="0"/>
            </w:tcBorders>
            <w:vAlign w:val="center"/>
          </w:tcPr>
          <w:p w14:paraId="2D7DD75D">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37" w:type="dxa"/>
            <w:tcBorders>
              <w:top w:val="single" w:color="auto" w:sz="8" w:space="0"/>
              <w:left w:val="nil"/>
              <w:bottom w:val="single" w:color="auto" w:sz="8" w:space="0"/>
              <w:right w:val="single" w:color="auto" w:sz="8" w:space="0"/>
            </w:tcBorders>
            <w:vAlign w:val="center"/>
          </w:tcPr>
          <w:p w14:paraId="12FDA78A">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616" w:type="dxa"/>
            <w:gridSpan w:val="3"/>
            <w:tcBorders>
              <w:top w:val="single" w:color="auto" w:sz="8" w:space="0"/>
              <w:left w:val="nil"/>
              <w:bottom w:val="single" w:color="auto" w:sz="8" w:space="0"/>
              <w:right w:val="single" w:color="000000" w:sz="8" w:space="0"/>
            </w:tcBorders>
            <w:vAlign w:val="center"/>
          </w:tcPr>
          <w:p w14:paraId="4D61C38C">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14:paraId="26FB7B2D">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473" w:type="dxa"/>
            <w:tcBorders>
              <w:top w:val="single" w:color="auto" w:sz="8" w:space="0"/>
              <w:left w:val="nil"/>
              <w:bottom w:val="single" w:color="auto" w:sz="8" w:space="0"/>
              <w:right w:val="single" w:color="000000" w:sz="8" w:space="0"/>
            </w:tcBorders>
            <w:vAlign w:val="center"/>
          </w:tcPr>
          <w:p w14:paraId="31AA0411">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49D8B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303" w:type="dxa"/>
            <w:tcBorders>
              <w:top w:val="nil"/>
              <w:left w:val="single" w:color="auto" w:sz="8" w:space="0"/>
              <w:bottom w:val="single" w:color="auto" w:sz="8" w:space="0"/>
              <w:right w:val="single" w:color="auto" w:sz="8" w:space="0"/>
            </w:tcBorders>
            <w:vAlign w:val="center"/>
          </w:tcPr>
          <w:p w14:paraId="7D94B818">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489" w:type="dxa"/>
            <w:gridSpan w:val="4"/>
            <w:tcBorders>
              <w:top w:val="single" w:color="auto" w:sz="8" w:space="0"/>
              <w:left w:val="nil"/>
              <w:bottom w:val="single" w:color="auto" w:sz="8" w:space="0"/>
              <w:right w:val="single" w:color="000000" w:sz="8" w:space="0"/>
            </w:tcBorders>
            <w:vAlign w:val="center"/>
          </w:tcPr>
          <w:p w14:paraId="47762299">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37" w:type="dxa"/>
            <w:tcBorders>
              <w:top w:val="nil"/>
              <w:left w:val="nil"/>
              <w:bottom w:val="single" w:color="auto" w:sz="8" w:space="0"/>
              <w:right w:val="single" w:color="auto" w:sz="8" w:space="0"/>
            </w:tcBorders>
            <w:vAlign w:val="center"/>
          </w:tcPr>
          <w:p w14:paraId="5C90C6CC">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616" w:type="dxa"/>
            <w:gridSpan w:val="3"/>
            <w:tcBorders>
              <w:top w:val="single" w:color="auto" w:sz="8" w:space="0"/>
              <w:left w:val="nil"/>
              <w:bottom w:val="single" w:color="auto" w:sz="8" w:space="0"/>
              <w:right w:val="single" w:color="000000" w:sz="8" w:space="0"/>
            </w:tcBorders>
            <w:vAlign w:val="center"/>
          </w:tcPr>
          <w:p w14:paraId="7D626170">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14:paraId="12796426">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473" w:type="dxa"/>
            <w:tcBorders>
              <w:top w:val="single" w:color="auto" w:sz="8" w:space="0"/>
              <w:left w:val="nil"/>
              <w:bottom w:val="single" w:color="auto" w:sz="8" w:space="0"/>
              <w:right w:val="single" w:color="000000" w:sz="8" w:space="0"/>
            </w:tcBorders>
            <w:vAlign w:val="center"/>
          </w:tcPr>
          <w:p w14:paraId="3147FC43">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532F5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286" w:type="dxa"/>
            <w:gridSpan w:val="3"/>
            <w:tcBorders>
              <w:top w:val="single" w:color="auto" w:sz="8" w:space="0"/>
              <w:left w:val="single" w:color="auto" w:sz="8" w:space="0"/>
              <w:bottom w:val="single" w:color="auto" w:sz="8" w:space="0"/>
              <w:right w:val="single" w:color="000000" w:sz="8" w:space="0"/>
            </w:tcBorders>
            <w:vAlign w:val="center"/>
          </w:tcPr>
          <w:p w14:paraId="1B3987F4">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3653" w:type="dxa"/>
            <w:gridSpan w:val="5"/>
            <w:tcBorders>
              <w:top w:val="single" w:color="auto" w:sz="8" w:space="0"/>
              <w:left w:val="nil"/>
              <w:bottom w:val="single" w:color="auto" w:sz="8" w:space="0"/>
              <w:right w:val="single" w:color="000000" w:sz="8" w:space="0"/>
            </w:tcBorders>
            <w:vAlign w:val="center"/>
          </w:tcPr>
          <w:p w14:paraId="0BC1C3DF">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14:paraId="4B305710">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担任</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（职位名称）</w:t>
            </w:r>
            <w:r>
              <w:rPr>
                <w:rFonts w:hint="eastAsia" w:ascii="宋体" w:hAnsi="宋体" w:eastAsia="宋体" w:cs="宋体"/>
                <w:color w:val="auto"/>
                <w:szCs w:val="21"/>
                <w:highlight w:val="none"/>
              </w:rPr>
              <w:t>年限</w:t>
            </w:r>
          </w:p>
        </w:tc>
        <w:tc>
          <w:tcPr>
            <w:tcW w:w="1473" w:type="dxa"/>
            <w:tcBorders>
              <w:top w:val="nil"/>
              <w:left w:val="nil"/>
              <w:bottom w:val="single" w:color="auto" w:sz="8" w:space="0"/>
              <w:right w:val="single" w:color="auto" w:sz="8" w:space="0"/>
            </w:tcBorders>
            <w:vAlign w:val="center"/>
          </w:tcPr>
          <w:p w14:paraId="5205829D">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55EB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286" w:type="dxa"/>
            <w:gridSpan w:val="3"/>
            <w:tcBorders>
              <w:top w:val="single" w:color="auto" w:sz="8" w:space="0"/>
              <w:left w:val="single" w:color="auto" w:sz="8" w:space="0"/>
              <w:bottom w:val="single" w:color="auto" w:sz="8" w:space="0"/>
              <w:right w:val="single" w:color="000000" w:sz="8" w:space="0"/>
            </w:tcBorders>
            <w:vAlign w:val="center"/>
          </w:tcPr>
          <w:p w14:paraId="024B4E6D">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资格证书编号</w:t>
            </w:r>
          </w:p>
        </w:tc>
        <w:tc>
          <w:tcPr>
            <w:tcW w:w="3653" w:type="dxa"/>
            <w:gridSpan w:val="5"/>
            <w:tcBorders>
              <w:top w:val="single" w:color="auto" w:sz="8" w:space="0"/>
              <w:left w:val="nil"/>
              <w:bottom w:val="single" w:color="auto" w:sz="8" w:space="0"/>
              <w:right w:val="single" w:color="000000" w:sz="8" w:space="0"/>
            </w:tcBorders>
            <w:vAlign w:val="center"/>
          </w:tcPr>
          <w:p w14:paraId="4F164DD7">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14:paraId="5FA04F7A">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473" w:type="dxa"/>
            <w:tcBorders>
              <w:top w:val="nil"/>
              <w:left w:val="nil"/>
              <w:bottom w:val="single" w:color="auto" w:sz="8" w:space="0"/>
              <w:right w:val="single" w:color="auto" w:sz="8" w:space="0"/>
            </w:tcBorders>
            <w:vAlign w:val="center"/>
          </w:tcPr>
          <w:p w14:paraId="2B453110">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6B837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0370" w:type="dxa"/>
            <w:gridSpan w:val="12"/>
            <w:tcBorders>
              <w:top w:val="single" w:color="auto" w:sz="8" w:space="0"/>
              <w:left w:val="single" w:color="auto" w:sz="8" w:space="0"/>
              <w:bottom w:val="single" w:color="auto" w:sz="8" w:space="0"/>
              <w:right w:val="single" w:color="000000" w:sz="8" w:space="0"/>
            </w:tcBorders>
            <w:vAlign w:val="center"/>
          </w:tcPr>
          <w:p w14:paraId="48C61FDA">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主要类似项目业绩</w:t>
            </w:r>
          </w:p>
        </w:tc>
      </w:tr>
      <w:tr w14:paraId="7D8F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222D536E">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552" w:type="dxa"/>
            <w:gridSpan w:val="2"/>
            <w:tcBorders>
              <w:top w:val="single" w:color="auto" w:sz="8" w:space="0"/>
              <w:left w:val="nil"/>
              <w:bottom w:val="single" w:color="auto" w:sz="8" w:space="0"/>
              <w:right w:val="single" w:color="000000" w:sz="8" w:space="0"/>
            </w:tcBorders>
            <w:vAlign w:val="center"/>
          </w:tcPr>
          <w:p w14:paraId="31F9104A">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发包单位</w:t>
            </w:r>
          </w:p>
        </w:tc>
        <w:tc>
          <w:tcPr>
            <w:tcW w:w="2205" w:type="dxa"/>
            <w:gridSpan w:val="3"/>
            <w:tcBorders>
              <w:top w:val="single" w:color="auto" w:sz="8" w:space="0"/>
              <w:left w:val="nil"/>
              <w:bottom w:val="single" w:color="auto" w:sz="8" w:space="0"/>
              <w:right w:val="single" w:color="000000" w:sz="8" w:space="0"/>
            </w:tcBorders>
            <w:vAlign w:val="center"/>
          </w:tcPr>
          <w:p w14:paraId="0977D885">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1923" w:type="dxa"/>
            <w:gridSpan w:val="3"/>
            <w:tcBorders>
              <w:top w:val="single" w:color="auto" w:sz="8" w:space="0"/>
              <w:left w:val="nil"/>
              <w:bottom w:val="single" w:color="auto" w:sz="8" w:space="0"/>
              <w:right w:val="single" w:color="000000" w:sz="8" w:space="0"/>
            </w:tcBorders>
            <w:vAlign w:val="center"/>
          </w:tcPr>
          <w:p w14:paraId="3E96CB03">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本人在该项目中所任职务</w:t>
            </w:r>
          </w:p>
        </w:tc>
        <w:tc>
          <w:tcPr>
            <w:tcW w:w="1981" w:type="dxa"/>
            <w:gridSpan w:val="2"/>
            <w:tcBorders>
              <w:top w:val="single" w:color="auto" w:sz="8" w:space="0"/>
              <w:left w:val="nil"/>
              <w:bottom w:val="single" w:color="auto" w:sz="8" w:space="0"/>
              <w:right w:val="single" w:color="000000" w:sz="8" w:space="0"/>
            </w:tcBorders>
            <w:vAlign w:val="center"/>
          </w:tcPr>
          <w:p w14:paraId="3A89A870">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起止时间</w:t>
            </w:r>
          </w:p>
        </w:tc>
      </w:tr>
      <w:tr w14:paraId="7BDD6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3DDAC6B7">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5608B6EF">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7D922E0E">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3B5A02B5">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7CCDF9BC">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F358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771BFE48">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2EDCD36C">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49E7FA2C">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6A1FAB68">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4478E37F">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697B2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1933E35B">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2B848BE1">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165A9923">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60C8D77B">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5DADA5A4">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bl>
    <w:p w14:paraId="00B2C390">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07A91F22">
      <w:p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（1）拟投入本项目的项目负责人需提供本简历表</w:t>
      </w:r>
      <w:r>
        <w:rPr>
          <w:rFonts w:hint="eastAsia" w:ascii="宋体" w:hAnsi="宋体" w:eastAsia="宋体" w:cs="宋体"/>
          <w:color w:val="auto"/>
          <w:szCs w:val="21"/>
          <w:highlight w:val="none"/>
          <w:lang w:eastAsia="zh-CN"/>
        </w:rPr>
        <w:t>；</w:t>
      </w:r>
    </w:p>
    <w:p w14:paraId="0C72356D">
      <w:p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（2）须提供身份证、职称证书、社会保障部门出具的最近1年（</w:t>
      </w:r>
      <w:r>
        <w:rPr>
          <w:rFonts w:hint="eastAsia" w:ascii="宋体" w:hAnsi="宋体" w:eastAsia="宋体" w:cs="宋体"/>
          <w:b/>
          <w:bCs/>
          <w:color w:val="auto"/>
          <w:szCs w:val="21"/>
          <w:highlight w:val="none"/>
        </w:rPr>
        <w:t>即</w:t>
      </w:r>
      <w:r>
        <w:rPr>
          <w:rFonts w:hint="eastAsia" w:ascii="宋体" w:hAnsi="宋体" w:eastAsia="宋体" w:cs="宋体"/>
          <w:b/>
          <w:bCs/>
          <w:color w:val="auto"/>
          <w:szCs w:val="21"/>
          <w:highlight w:val="none"/>
          <w:lang w:eastAsia="zh-CN"/>
        </w:rPr>
        <w:t>2024年2月至2025年1月</w:t>
      </w:r>
      <w:r>
        <w:rPr>
          <w:rFonts w:hint="eastAsia" w:ascii="宋体" w:hAnsi="宋体" w:eastAsia="宋体" w:cs="宋体"/>
          <w:color w:val="auto"/>
          <w:szCs w:val="21"/>
          <w:highlight w:val="none"/>
        </w:rPr>
        <w:t>）在投标人单位缴纳</w:t>
      </w:r>
      <w:r>
        <w:rPr>
          <w:rFonts w:hint="eastAsia" w:ascii="宋体" w:hAnsi="宋体" w:eastAsia="宋体" w:cs="宋体"/>
          <w:color w:val="auto"/>
          <w:szCs w:val="21"/>
          <w:highlight w:val="none"/>
          <w:lang w:eastAsia="zh-CN"/>
        </w:rPr>
        <w:t>社保</w:t>
      </w:r>
      <w:r>
        <w:rPr>
          <w:rFonts w:hint="eastAsia" w:ascii="宋体" w:hAnsi="宋体" w:eastAsia="宋体" w:cs="宋体"/>
          <w:color w:val="auto"/>
          <w:szCs w:val="21"/>
          <w:highlight w:val="none"/>
        </w:rPr>
        <w:t>有效凭证等证明材料复印件加盖投标人公章</w:t>
      </w:r>
      <w:r>
        <w:rPr>
          <w:rFonts w:hint="eastAsia" w:ascii="宋体" w:hAnsi="宋体" w:eastAsia="宋体" w:cs="宋体"/>
          <w:color w:val="auto"/>
          <w:szCs w:val="21"/>
          <w:highlight w:val="none"/>
          <w:lang w:eastAsia="zh-CN"/>
        </w:rPr>
        <w:t>；</w:t>
      </w:r>
    </w:p>
    <w:p w14:paraId="72143134">
      <w:pPr>
        <w:overflowPunct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（3）项目负责人业绩须附合同复印件，合同业绩证明材料必须能反映评审条件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合同签订日期为</w:t>
      </w:r>
      <w:r>
        <w:rPr>
          <w:rFonts w:hint="eastAsia" w:ascii="宋体" w:hAnsi="宋体" w:eastAsia="宋体" w:cs="宋体"/>
          <w:color w:val="auto"/>
          <w:szCs w:val="21"/>
          <w:highlight w:val="none"/>
          <w:lang w:eastAsia="zh-CN"/>
        </w:rPr>
        <w:t>2020年1月1日</w:t>
      </w:r>
      <w:r>
        <w:rPr>
          <w:rFonts w:hint="eastAsia" w:ascii="宋体" w:hAnsi="宋体" w:eastAsia="宋体" w:cs="宋体"/>
          <w:color w:val="auto"/>
          <w:szCs w:val="21"/>
          <w:highlight w:val="none"/>
        </w:rPr>
        <w:t>或以后，业绩类型为市政工程检测，项目负责人信息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，否则需同时提供</w:t>
      </w:r>
      <w:r>
        <w:rPr>
          <w:rFonts w:hint="eastAsia" w:ascii="宋体" w:hAnsi="宋体" w:eastAsia="宋体" w:cs="宋体"/>
          <w:color w:val="auto"/>
          <w:szCs w:val="21"/>
          <w:highlight w:val="none"/>
          <w:lang w:val="en-US" w:eastAsia="zh-CN"/>
        </w:rPr>
        <w:t>合同委托方</w:t>
      </w:r>
      <w:r>
        <w:rPr>
          <w:rFonts w:hint="eastAsia" w:ascii="宋体" w:hAnsi="宋体" w:eastAsia="宋体" w:cs="宋体"/>
          <w:color w:val="auto"/>
          <w:szCs w:val="21"/>
          <w:highlight w:val="none"/>
        </w:rPr>
        <w:t>出具的书面补充情况说明文件复印件</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4"/>
          <w:highlight w:val="none"/>
          <w:lang w:val="en-US" w:eastAsia="zh-CN"/>
        </w:rPr>
        <w:t>需加盖委托方公章，即复印件能显示委托方公章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1ADB1C8C">
      <w:pPr>
        <w:spacing w:line="360" w:lineRule="auto"/>
        <w:ind w:left="685" w:leftChars="176" w:hanging="315" w:hangingChars="150"/>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投标人：（加盖投标人法人公章）</w:t>
      </w:r>
    </w:p>
    <w:p w14:paraId="2E82FA57">
      <w:pPr>
        <w:spacing w:line="360" w:lineRule="auto"/>
        <w:ind w:left="685" w:leftChars="176" w:hanging="315" w:hangingChars="15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日期：   年    月     日</w:t>
      </w:r>
    </w:p>
    <w:p w14:paraId="799772AB">
      <w:pPr>
        <w:spacing w:before="120" w:after="120" w:line="360" w:lineRule="auto"/>
        <w:ind w:left="629" w:firstLine="5040"/>
        <w:rPr>
          <w:rFonts w:ascii="宋体" w:hAnsi="宋体" w:eastAsia="宋体" w:cs="宋体"/>
          <w:color w:val="auto"/>
          <w:szCs w:val="21"/>
          <w:highlight w:val="none"/>
          <w:lang w:val="zh-CN"/>
        </w:rPr>
      </w:pPr>
    </w:p>
    <w:p w14:paraId="5AB60D6B">
      <w:pPr>
        <w:rPr>
          <w:rFonts w:ascii="宋体" w:hAnsi="宋体" w:eastAsia="宋体" w:cs="宋体"/>
          <w:color w:val="auto"/>
          <w:szCs w:val="21"/>
          <w:highlight w:val="none"/>
          <w:lang w:val="zh-CN"/>
        </w:rPr>
      </w:pPr>
      <w:r>
        <w:rPr>
          <w:rFonts w:hint="eastAsia" w:ascii="宋体" w:hAnsi="宋体" w:eastAsia="宋体" w:cs="宋体"/>
          <w:color w:val="auto"/>
          <w:szCs w:val="21"/>
          <w:highlight w:val="none"/>
          <w:lang w:val="zh-CN"/>
        </w:rPr>
        <w:br w:type="page"/>
      </w:r>
    </w:p>
    <w:p w14:paraId="05F43848">
      <w:pPr>
        <w:pageBreakBefore/>
        <w:spacing w:line="360" w:lineRule="auto"/>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（3）拟投入技术负责人简历表</w:t>
      </w:r>
    </w:p>
    <w:tbl>
      <w:tblPr>
        <w:tblStyle w:val="36"/>
        <w:tblW w:w="103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03"/>
        <w:gridCol w:w="406"/>
        <w:gridCol w:w="577"/>
        <w:gridCol w:w="975"/>
        <w:gridCol w:w="531"/>
        <w:gridCol w:w="1037"/>
        <w:gridCol w:w="637"/>
        <w:gridCol w:w="473"/>
        <w:gridCol w:w="506"/>
        <w:gridCol w:w="944"/>
        <w:gridCol w:w="508"/>
        <w:gridCol w:w="1473"/>
      </w:tblGrid>
      <w:tr w14:paraId="5C5AB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303" w:type="dxa"/>
            <w:tcBorders>
              <w:top w:val="single" w:color="auto" w:sz="8" w:space="0"/>
              <w:left w:val="single" w:color="auto" w:sz="8" w:space="0"/>
              <w:bottom w:val="single" w:color="auto" w:sz="8" w:space="0"/>
              <w:right w:val="single" w:color="auto" w:sz="8" w:space="0"/>
            </w:tcBorders>
            <w:vAlign w:val="center"/>
          </w:tcPr>
          <w:p w14:paraId="6BB4236C">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2489" w:type="dxa"/>
            <w:gridSpan w:val="4"/>
            <w:tcBorders>
              <w:top w:val="single" w:color="auto" w:sz="8" w:space="0"/>
              <w:left w:val="nil"/>
              <w:bottom w:val="single" w:color="auto" w:sz="8" w:space="0"/>
              <w:right w:val="single" w:color="000000" w:sz="8" w:space="0"/>
            </w:tcBorders>
            <w:vAlign w:val="center"/>
          </w:tcPr>
          <w:p w14:paraId="14E6899E">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37" w:type="dxa"/>
            <w:tcBorders>
              <w:top w:val="single" w:color="auto" w:sz="8" w:space="0"/>
              <w:left w:val="nil"/>
              <w:bottom w:val="single" w:color="auto" w:sz="8" w:space="0"/>
              <w:right w:val="single" w:color="auto" w:sz="8" w:space="0"/>
            </w:tcBorders>
            <w:vAlign w:val="center"/>
          </w:tcPr>
          <w:p w14:paraId="644796A4">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1616" w:type="dxa"/>
            <w:gridSpan w:val="3"/>
            <w:tcBorders>
              <w:top w:val="single" w:color="auto" w:sz="8" w:space="0"/>
              <w:left w:val="nil"/>
              <w:bottom w:val="single" w:color="auto" w:sz="8" w:space="0"/>
              <w:right w:val="single" w:color="000000" w:sz="8" w:space="0"/>
            </w:tcBorders>
            <w:vAlign w:val="center"/>
          </w:tcPr>
          <w:p w14:paraId="321A8F43">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14:paraId="0213EE9F">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1473" w:type="dxa"/>
            <w:tcBorders>
              <w:top w:val="single" w:color="auto" w:sz="8" w:space="0"/>
              <w:left w:val="nil"/>
              <w:bottom w:val="single" w:color="auto" w:sz="8" w:space="0"/>
              <w:right w:val="single" w:color="000000" w:sz="8" w:space="0"/>
            </w:tcBorders>
            <w:vAlign w:val="center"/>
          </w:tcPr>
          <w:p w14:paraId="00C64BE9">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E0F8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303" w:type="dxa"/>
            <w:tcBorders>
              <w:top w:val="nil"/>
              <w:left w:val="single" w:color="auto" w:sz="8" w:space="0"/>
              <w:bottom w:val="single" w:color="auto" w:sz="8" w:space="0"/>
              <w:right w:val="single" w:color="auto" w:sz="8" w:space="0"/>
            </w:tcBorders>
            <w:vAlign w:val="center"/>
          </w:tcPr>
          <w:p w14:paraId="574D3C40">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2489" w:type="dxa"/>
            <w:gridSpan w:val="4"/>
            <w:tcBorders>
              <w:top w:val="single" w:color="auto" w:sz="8" w:space="0"/>
              <w:left w:val="nil"/>
              <w:bottom w:val="single" w:color="auto" w:sz="8" w:space="0"/>
              <w:right w:val="single" w:color="000000" w:sz="8" w:space="0"/>
            </w:tcBorders>
            <w:vAlign w:val="center"/>
          </w:tcPr>
          <w:p w14:paraId="0BDF46EA">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37" w:type="dxa"/>
            <w:tcBorders>
              <w:top w:val="nil"/>
              <w:left w:val="nil"/>
              <w:bottom w:val="single" w:color="auto" w:sz="8" w:space="0"/>
              <w:right w:val="single" w:color="auto" w:sz="8" w:space="0"/>
            </w:tcBorders>
            <w:vAlign w:val="center"/>
          </w:tcPr>
          <w:p w14:paraId="3B2CBF62">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1616" w:type="dxa"/>
            <w:gridSpan w:val="3"/>
            <w:tcBorders>
              <w:top w:val="single" w:color="auto" w:sz="8" w:space="0"/>
              <w:left w:val="nil"/>
              <w:bottom w:val="single" w:color="auto" w:sz="8" w:space="0"/>
              <w:right w:val="single" w:color="000000" w:sz="8" w:space="0"/>
            </w:tcBorders>
            <w:vAlign w:val="center"/>
          </w:tcPr>
          <w:p w14:paraId="51E6CDED">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452" w:type="dxa"/>
            <w:gridSpan w:val="2"/>
            <w:tcBorders>
              <w:top w:val="single" w:color="auto" w:sz="8" w:space="0"/>
              <w:left w:val="nil"/>
              <w:bottom w:val="single" w:color="auto" w:sz="8" w:space="0"/>
              <w:right w:val="single" w:color="000000" w:sz="8" w:space="0"/>
            </w:tcBorders>
            <w:vAlign w:val="center"/>
          </w:tcPr>
          <w:p w14:paraId="49E2A9D8">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473" w:type="dxa"/>
            <w:tcBorders>
              <w:top w:val="single" w:color="auto" w:sz="8" w:space="0"/>
              <w:left w:val="nil"/>
              <w:bottom w:val="single" w:color="auto" w:sz="8" w:space="0"/>
              <w:right w:val="single" w:color="000000" w:sz="8" w:space="0"/>
            </w:tcBorders>
            <w:vAlign w:val="center"/>
          </w:tcPr>
          <w:p w14:paraId="66CEBD5A">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472BA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286" w:type="dxa"/>
            <w:gridSpan w:val="3"/>
            <w:tcBorders>
              <w:top w:val="single" w:color="auto" w:sz="8" w:space="0"/>
              <w:left w:val="single" w:color="auto" w:sz="8" w:space="0"/>
              <w:bottom w:val="single" w:color="auto" w:sz="8" w:space="0"/>
              <w:right w:val="single" w:color="000000" w:sz="8" w:space="0"/>
            </w:tcBorders>
            <w:vAlign w:val="center"/>
          </w:tcPr>
          <w:p w14:paraId="1AB74A6B">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3653" w:type="dxa"/>
            <w:gridSpan w:val="5"/>
            <w:tcBorders>
              <w:top w:val="single" w:color="auto" w:sz="8" w:space="0"/>
              <w:left w:val="nil"/>
              <w:bottom w:val="single" w:color="auto" w:sz="8" w:space="0"/>
              <w:right w:val="single" w:color="000000" w:sz="8" w:space="0"/>
            </w:tcBorders>
            <w:vAlign w:val="center"/>
          </w:tcPr>
          <w:p w14:paraId="1CB5A14B">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14:paraId="54FF6879">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担任</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（职位名称）</w:t>
            </w:r>
            <w:r>
              <w:rPr>
                <w:rFonts w:hint="eastAsia" w:ascii="宋体" w:hAnsi="宋体" w:eastAsia="宋体" w:cs="宋体"/>
                <w:color w:val="auto"/>
                <w:szCs w:val="21"/>
                <w:highlight w:val="none"/>
              </w:rPr>
              <w:t>年限</w:t>
            </w:r>
          </w:p>
        </w:tc>
        <w:tc>
          <w:tcPr>
            <w:tcW w:w="1473" w:type="dxa"/>
            <w:tcBorders>
              <w:top w:val="nil"/>
              <w:left w:val="nil"/>
              <w:bottom w:val="single" w:color="auto" w:sz="8" w:space="0"/>
              <w:right w:val="single" w:color="auto" w:sz="8" w:space="0"/>
            </w:tcBorders>
            <w:vAlign w:val="center"/>
          </w:tcPr>
          <w:p w14:paraId="500F46D8">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82DE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3286" w:type="dxa"/>
            <w:gridSpan w:val="3"/>
            <w:tcBorders>
              <w:top w:val="single" w:color="auto" w:sz="8" w:space="0"/>
              <w:left w:val="single" w:color="auto" w:sz="8" w:space="0"/>
              <w:bottom w:val="single" w:color="auto" w:sz="8" w:space="0"/>
              <w:right w:val="single" w:color="000000" w:sz="8" w:space="0"/>
            </w:tcBorders>
            <w:vAlign w:val="center"/>
          </w:tcPr>
          <w:p w14:paraId="45F6F3BC">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资格证书编号</w:t>
            </w:r>
          </w:p>
        </w:tc>
        <w:tc>
          <w:tcPr>
            <w:tcW w:w="3653" w:type="dxa"/>
            <w:gridSpan w:val="5"/>
            <w:tcBorders>
              <w:top w:val="single" w:color="auto" w:sz="8" w:space="0"/>
              <w:left w:val="nil"/>
              <w:bottom w:val="single" w:color="auto" w:sz="8" w:space="0"/>
              <w:right w:val="single" w:color="000000" w:sz="8" w:space="0"/>
            </w:tcBorders>
            <w:vAlign w:val="center"/>
          </w:tcPr>
          <w:p w14:paraId="7EA5A0AB">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58" w:type="dxa"/>
            <w:gridSpan w:val="3"/>
            <w:tcBorders>
              <w:top w:val="single" w:color="auto" w:sz="8" w:space="0"/>
              <w:left w:val="nil"/>
              <w:bottom w:val="single" w:color="auto" w:sz="8" w:space="0"/>
              <w:right w:val="single" w:color="000000" w:sz="8" w:space="0"/>
            </w:tcBorders>
            <w:vAlign w:val="center"/>
          </w:tcPr>
          <w:p w14:paraId="5046A696">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1473" w:type="dxa"/>
            <w:tcBorders>
              <w:top w:val="nil"/>
              <w:left w:val="nil"/>
              <w:bottom w:val="single" w:color="auto" w:sz="8" w:space="0"/>
              <w:right w:val="single" w:color="auto" w:sz="8" w:space="0"/>
            </w:tcBorders>
            <w:vAlign w:val="center"/>
          </w:tcPr>
          <w:p w14:paraId="765D01C4">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149C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10370" w:type="dxa"/>
            <w:gridSpan w:val="12"/>
            <w:tcBorders>
              <w:top w:val="single" w:color="auto" w:sz="8" w:space="0"/>
              <w:left w:val="single" w:color="auto" w:sz="8" w:space="0"/>
              <w:bottom w:val="single" w:color="auto" w:sz="8" w:space="0"/>
              <w:right w:val="single" w:color="000000" w:sz="8" w:space="0"/>
            </w:tcBorders>
            <w:vAlign w:val="center"/>
          </w:tcPr>
          <w:p w14:paraId="3F0CEB1B">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主要类似项目业绩</w:t>
            </w:r>
          </w:p>
        </w:tc>
      </w:tr>
      <w:tr w14:paraId="112D7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7AFD1997">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1552" w:type="dxa"/>
            <w:gridSpan w:val="2"/>
            <w:tcBorders>
              <w:top w:val="single" w:color="auto" w:sz="8" w:space="0"/>
              <w:left w:val="nil"/>
              <w:bottom w:val="single" w:color="auto" w:sz="8" w:space="0"/>
              <w:right w:val="single" w:color="000000" w:sz="8" w:space="0"/>
            </w:tcBorders>
            <w:vAlign w:val="center"/>
          </w:tcPr>
          <w:p w14:paraId="6628C805">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发包单位</w:t>
            </w:r>
          </w:p>
        </w:tc>
        <w:tc>
          <w:tcPr>
            <w:tcW w:w="2205" w:type="dxa"/>
            <w:gridSpan w:val="3"/>
            <w:tcBorders>
              <w:top w:val="single" w:color="auto" w:sz="8" w:space="0"/>
              <w:left w:val="nil"/>
              <w:bottom w:val="single" w:color="auto" w:sz="8" w:space="0"/>
              <w:right w:val="single" w:color="000000" w:sz="8" w:space="0"/>
            </w:tcBorders>
            <w:vAlign w:val="center"/>
          </w:tcPr>
          <w:p w14:paraId="021817E2">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1923" w:type="dxa"/>
            <w:gridSpan w:val="3"/>
            <w:tcBorders>
              <w:top w:val="single" w:color="auto" w:sz="8" w:space="0"/>
              <w:left w:val="nil"/>
              <w:bottom w:val="single" w:color="auto" w:sz="8" w:space="0"/>
              <w:right w:val="single" w:color="000000" w:sz="8" w:space="0"/>
            </w:tcBorders>
            <w:vAlign w:val="center"/>
          </w:tcPr>
          <w:p w14:paraId="31FD5310">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本人在该项目中所任职务</w:t>
            </w:r>
          </w:p>
        </w:tc>
        <w:tc>
          <w:tcPr>
            <w:tcW w:w="1981" w:type="dxa"/>
            <w:gridSpan w:val="2"/>
            <w:tcBorders>
              <w:top w:val="single" w:color="auto" w:sz="8" w:space="0"/>
              <w:left w:val="nil"/>
              <w:bottom w:val="single" w:color="auto" w:sz="8" w:space="0"/>
              <w:right w:val="single" w:color="000000" w:sz="8" w:space="0"/>
            </w:tcBorders>
            <w:vAlign w:val="center"/>
          </w:tcPr>
          <w:p w14:paraId="33F47DCD">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起止时间</w:t>
            </w:r>
          </w:p>
        </w:tc>
      </w:tr>
      <w:tr w14:paraId="2C030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0B4F56E5">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4F772DC6">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635ECAF6">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62F3215A">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57515042">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6B06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0D3DD32E">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1FACB7D9">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4C5270E4">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26E1B666">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2908F404">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7A543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2709" w:type="dxa"/>
            <w:gridSpan w:val="2"/>
            <w:tcBorders>
              <w:top w:val="single" w:color="auto" w:sz="8" w:space="0"/>
              <w:left w:val="single" w:color="auto" w:sz="8" w:space="0"/>
              <w:bottom w:val="single" w:color="auto" w:sz="8" w:space="0"/>
              <w:right w:val="single" w:color="000000" w:sz="8" w:space="0"/>
            </w:tcBorders>
            <w:vAlign w:val="center"/>
          </w:tcPr>
          <w:p w14:paraId="0309C43D">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552" w:type="dxa"/>
            <w:gridSpan w:val="2"/>
            <w:tcBorders>
              <w:top w:val="single" w:color="auto" w:sz="8" w:space="0"/>
              <w:left w:val="nil"/>
              <w:bottom w:val="single" w:color="auto" w:sz="8" w:space="0"/>
              <w:right w:val="single" w:color="000000" w:sz="8" w:space="0"/>
            </w:tcBorders>
            <w:vAlign w:val="center"/>
          </w:tcPr>
          <w:p w14:paraId="2B1336EA">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2205" w:type="dxa"/>
            <w:gridSpan w:val="3"/>
            <w:tcBorders>
              <w:top w:val="single" w:color="auto" w:sz="8" w:space="0"/>
              <w:left w:val="nil"/>
              <w:bottom w:val="single" w:color="auto" w:sz="8" w:space="0"/>
              <w:right w:val="single" w:color="000000" w:sz="8" w:space="0"/>
            </w:tcBorders>
            <w:vAlign w:val="center"/>
          </w:tcPr>
          <w:p w14:paraId="236E96A4">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23" w:type="dxa"/>
            <w:gridSpan w:val="3"/>
            <w:tcBorders>
              <w:top w:val="single" w:color="auto" w:sz="8" w:space="0"/>
              <w:left w:val="nil"/>
              <w:bottom w:val="single" w:color="auto" w:sz="8" w:space="0"/>
              <w:right w:val="single" w:color="000000" w:sz="8" w:space="0"/>
            </w:tcBorders>
            <w:vAlign w:val="center"/>
          </w:tcPr>
          <w:p w14:paraId="7024A4F7">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981" w:type="dxa"/>
            <w:gridSpan w:val="2"/>
            <w:tcBorders>
              <w:top w:val="single" w:color="auto" w:sz="8" w:space="0"/>
              <w:left w:val="nil"/>
              <w:bottom w:val="single" w:color="auto" w:sz="8" w:space="0"/>
              <w:right w:val="single" w:color="000000" w:sz="8" w:space="0"/>
            </w:tcBorders>
            <w:vAlign w:val="center"/>
          </w:tcPr>
          <w:p w14:paraId="7319D2AD">
            <w:pPr>
              <w:keepNext w:val="0"/>
              <w:keepLines w:val="0"/>
              <w:widowControl/>
              <w:suppressLineNumbers w:val="0"/>
              <w:snapToGrid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rPr>
              <w:t>　</w:t>
            </w:r>
          </w:p>
        </w:tc>
      </w:tr>
    </w:tbl>
    <w:p w14:paraId="675E5917">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722A408C">
      <w:pPr>
        <w:numPr>
          <w:ilvl w:val="0"/>
          <w:numId w:val="0"/>
        </w:num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（1）拟投入本项目的技术负责人需提供本简历表</w:t>
      </w:r>
      <w:r>
        <w:rPr>
          <w:rFonts w:hint="eastAsia" w:ascii="宋体" w:hAnsi="宋体" w:eastAsia="宋体" w:cs="宋体"/>
          <w:color w:val="auto"/>
          <w:szCs w:val="21"/>
          <w:highlight w:val="none"/>
          <w:lang w:eastAsia="zh-CN"/>
        </w:rPr>
        <w:t>；</w:t>
      </w:r>
    </w:p>
    <w:p w14:paraId="2E80A93D">
      <w:pPr>
        <w:numPr>
          <w:ilvl w:val="0"/>
          <w:numId w:val="0"/>
        </w:numPr>
        <w:overflowPunct w:val="0"/>
        <w:spacing w:line="360" w:lineRule="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（2）须提供身份证、职称证书、社会保障部门出具的最近1年（</w:t>
      </w:r>
      <w:r>
        <w:rPr>
          <w:rFonts w:hint="eastAsia" w:ascii="宋体" w:hAnsi="宋体" w:eastAsia="宋体" w:cs="宋体"/>
          <w:b/>
          <w:bCs/>
          <w:color w:val="auto"/>
          <w:szCs w:val="21"/>
          <w:highlight w:val="none"/>
        </w:rPr>
        <w:t>即</w:t>
      </w:r>
      <w:r>
        <w:rPr>
          <w:rFonts w:hint="eastAsia" w:ascii="宋体" w:hAnsi="宋体" w:eastAsia="宋体" w:cs="宋体"/>
          <w:b/>
          <w:bCs/>
          <w:color w:val="auto"/>
          <w:szCs w:val="21"/>
          <w:highlight w:val="none"/>
          <w:lang w:eastAsia="zh-CN"/>
        </w:rPr>
        <w:t>2024年2月至2025年1月</w:t>
      </w:r>
      <w:r>
        <w:rPr>
          <w:rFonts w:hint="eastAsia" w:ascii="宋体" w:hAnsi="宋体" w:eastAsia="宋体" w:cs="宋体"/>
          <w:color w:val="auto"/>
          <w:szCs w:val="21"/>
          <w:highlight w:val="none"/>
        </w:rPr>
        <w:t>）在投标人单位缴纳</w:t>
      </w:r>
      <w:r>
        <w:rPr>
          <w:rFonts w:hint="eastAsia" w:ascii="宋体" w:hAnsi="宋体" w:eastAsia="宋体" w:cs="宋体"/>
          <w:color w:val="auto"/>
          <w:szCs w:val="21"/>
          <w:highlight w:val="none"/>
          <w:lang w:eastAsia="zh-CN"/>
        </w:rPr>
        <w:t>社保</w:t>
      </w:r>
      <w:r>
        <w:rPr>
          <w:rFonts w:hint="eastAsia" w:ascii="宋体" w:hAnsi="宋体" w:eastAsia="宋体" w:cs="宋体"/>
          <w:color w:val="auto"/>
          <w:szCs w:val="21"/>
          <w:highlight w:val="none"/>
        </w:rPr>
        <w:t>有效凭证等证明材料复印件加盖投标人公章</w:t>
      </w:r>
      <w:r>
        <w:rPr>
          <w:rFonts w:hint="eastAsia" w:ascii="宋体" w:hAnsi="宋体" w:eastAsia="宋体" w:cs="宋体"/>
          <w:color w:val="auto"/>
          <w:szCs w:val="21"/>
          <w:highlight w:val="none"/>
          <w:lang w:eastAsia="zh-CN"/>
        </w:rPr>
        <w:t>；</w:t>
      </w:r>
    </w:p>
    <w:p w14:paraId="2B8E1048">
      <w:pPr>
        <w:numPr>
          <w:ilvl w:val="0"/>
          <w:numId w:val="0"/>
        </w:numPr>
        <w:overflowPunct w:val="0"/>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（3）技术负责人业绩须附合同复印件，合同业绩证明材料必须能反映评审条件</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合同签订日期为</w:t>
      </w:r>
      <w:r>
        <w:rPr>
          <w:rFonts w:hint="eastAsia" w:ascii="宋体" w:hAnsi="宋体" w:eastAsia="宋体" w:cs="宋体"/>
          <w:color w:val="auto"/>
          <w:szCs w:val="21"/>
          <w:highlight w:val="none"/>
          <w:lang w:eastAsia="zh-CN"/>
        </w:rPr>
        <w:t>2020年1月1日</w:t>
      </w:r>
      <w:r>
        <w:rPr>
          <w:rFonts w:hint="eastAsia" w:ascii="宋体" w:hAnsi="宋体" w:eastAsia="宋体" w:cs="宋体"/>
          <w:color w:val="auto"/>
          <w:szCs w:val="21"/>
          <w:highlight w:val="none"/>
        </w:rPr>
        <w:t>或以后，业绩类型为市政工程检测，技术负责人信息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，否则需同时提供</w:t>
      </w:r>
      <w:r>
        <w:rPr>
          <w:rFonts w:hint="eastAsia" w:ascii="宋体" w:hAnsi="宋体" w:eastAsia="宋体" w:cs="宋体"/>
          <w:color w:val="auto"/>
          <w:szCs w:val="21"/>
          <w:highlight w:val="none"/>
          <w:lang w:val="en-US" w:eastAsia="zh-CN"/>
        </w:rPr>
        <w:t>合同委托方</w:t>
      </w:r>
      <w:r>
        <w:rPr>
          <w:rFonts w:hint="eastAsia" w:ascii="宋体" w:hAnsi="宋体" w:eastAsia="宋体" w:cs="宋体"/>
          <w:color w:val="auto"/>
          <w:szCs w:val="21"/>
          <w:highlight w:val="none"/>
        </w:rPr>
        <w:t>出具的书面补充情况说明文件复印件</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4"/>
          <w:highlight w:val="none"/>
          <w:lang w:val="en-US" w:eastAsia="zh-CN"/>
        </w:rPr>
        <w:t>需加盖委托方公章，即复印件能显示委托方公章</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2E04E5E5">
      <w:pPr>
        <w:spacing w:line="360" w:lineRule="auto"/>
        <w:ind w:left="685" w:leftChars="176" w:hanging="315" w:hangingChars="150"/>
        <w:jc w:val="right"/>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投标人：（加盖投标人法人公章）</w:t>
      </w:r>
    </w:p>
    <w:p w14:paraId="7CAF45D2">
      <w:pPr>
        <w:spacing w:line="360" w:lineRule="auto"/>
        <w:ind w:left="685" w:leftChars="176" w:hanging="315" w:hangingChars="150"/>
        <w:jc w:val="cente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rPr>
        <w:t>日期：   年    月     日</w:t>
      </w:r>
    </w:p>
    <w:p w14:paraId="4B07F62D">
      <w:pPr>
        <w:numPr>
          <w:ilvl w:val="0"/>
          <w:numId w:val="5"/>
        </w:numPr>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zh-CN"/>
        </w:rPr>
        <w:br w:type="page"/>
      </w:r>
    </w:p>
    <w:p w14:paraId="3E31DBDD">
      <w:pPr>
        <w:pageBreakBefore/>
        <w:spacing w:before="120" w:after="120" w:line="360" w:lineRule="auto"/>
        <w:jc w:val="left"/>
        <w:outlineLvl w:val="2"/>
        <w:rPr>
          <w:rFonts w:ascii="宋体" w:hAnsi="宋体" w:eastAsia="宋体" w:cs="宋体"/>
          <w:b/>
          <w:bCs/>
          <w:color w:val="auto"/>
          <w:kern w:val="0"/>
          <w:sz w:val="32"/>
          <w:szCs w:val="32"/>
          <w:highlight w:val="none"/>
          <w:lang w:val="zh-CN"/>
        </w:rPr>
      </w:pPr>
      <w:bookmarkStart w:id="821" w:name="_Toc3977"/>
      <w:bookmarkStart w:id="822" w:name="_Toc29167"/>
      <w:bookmarkStart w:id="823" w:name="_Toc11847"/>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、投标保证金汇入情况说明</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21"/>
      <w:bookmarkEnd w:id="822"/>
      <w:bookmarkEnd w:id="823"/>
    </w:p>
    <w:p w14:paraId="3FF743D0">
      <w:pPr>
        <w:autoSpaceDE w:val="0"/>
        <w:autoSpaceDN w:val="0"/>
        <w:adjustRightInd w:val="0"/>
        <w:spacing w:line="360" w:lineRule="auto"/>
        <w:jc w:val="left"/>
        <w:rPr>
          <w:rFonts w:ascii="宋体" w:hAnsi="宋体" w:eastAsia="宋体" w:cs="宋体"/>
          <w:color w:val="auto"/>
          <w:szCs w:val="24"/>
          <w:highlight w:val="none"/>
        </w:rPr>
      </w:pPr>
    </w:p>
    <w:p w14:paraId="1CCF1178">
      <w:pPr>
        <w:autoSpaceDE w:val="0"/>
        <w:autoSpaceDN w:val="0"/>
        <w:adjustRightInd w:val="0"/>
        <w:spacing w:line="360" w:lineRule="auto"/>
        <w:jc w:val="center"/>
        <w:rPr>
          <w:rFonts w:ascii="宋体" w:hAnsi="宋体" w:eastAsia="宋体" w:cs="宋体"/>
          <w:b/>
          <w:bCs/>
          <w:color w:val="auto"/>
          <w:kern w:val="0"/>
          <w:sz w:val="24"/>
          <w:szCs w:val="24"/>
          <w:highlight w:val="none"/>
        </w:rPr>
      </w:pPr>
      <w:bookmarkStart w:id="824" w:name="_Toc31832_WPSOffice_Level3"/>
      <w:r>
        <w:rPr>
          <w:rFonts w:hint="eastAsia" w:ascii="宋体" w:hAnsi="宋体" w:eastAsia="宋体" w:cs="宋体"/>
          <w:b/>
          <w:bCs/>
          <w:color w:val="auto"/>
          <w:kern w:val="0"/>
          <w:sz w:val="24"/>
          <w:szCs w:val="24"/>
          <w:highlight w:val="none"/>
        </w:rPr>
        <w:t>投标保证金汇入情况说明</w:t>
      </w:r>
      <w:bookmarkEnd w:id="824"/>
    </w:p>
    <w:p w14:paraId="355D6488">
      <w:pPr>
        <w:autoSpaceDE w:val="0"/>
        <w:autoSpaceDN w:val="0"/>
        <w:adjustRightInd w:val="0"/>
        <w:spacing w:line="360" w:lineRule="auto"/>
        <w:jc w:val="center"/>
        <w:rPr>
          <w:rFonts w:ascii="宋体" w:hAnsi="宋体" w:eastAsia="宋体" w:cs="宋体"/>
          <w:b/>
          <w:bCs/>
          <w:color w:val="auto"/>
          <w:kern w:val="0"/>
          <w:szCs w:val="24"/>
          <w:highlight w:val="none"/>
        </w:rPr>
      </w:pPr>
    </w:p>
    <w:p w14:paraId="0B02B25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eastAsia="zh-CN"/>
        </w:rPr>
        <w:t>东莞市水务集团建设管理有限公司</w:t>
      </w:r>
      <w:r>
        <w:rPr>
          <w:rFonts w:hint="eastAsia" w:ascii="宋体" w:hAnsi="宋体" w:eastAsia="宋体" w:cs="宋体"/>
          <w:color w:val="auto"/>
          <w:szCs w:val="21"/>
          <w:highlight w:val="none"/>
        </w:rPr>
        <w:t>：</w:t>
      </w:r>
    </w:p>
    <w:p w14:paraId="23D0BE79">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本单位已按</w:t>
      </w:r>
      <w:r>
        <w:rPr>
          <w:rFonts w:hint="eastAsia" w:ascii="宋体" w:hAnsi="宋体" w:eastAsia="宋体" w:cs="宋体"/>
          <w:color w:val="auto"/>
          <w:kern w:val="0"/>
          <w:szCs w:val="21"/>
          <w:highlight w:val="none"/>
          <w:u w:val="single"/>
          <w:lang w:eastAsia="zh-CN"/>
        </w:rPr>
        <w:t>珠三角水资源配置工程东莞配套芦花坑水厂一期配水管线工程-B标段第三方检测服务采购项目</w:t>
      </w:r>
      <w:r>
        <w:rPr>
          <w:rFonts w:hint="eastAsia" w:ascii="宋体" w:hAnsi="宋体" w:eastAsia="宋体" w:cs="宋体"/>
          <w:color w:val="auto"/>
          <w:szCs w:val="21"/>
          <w:highlight w:val="none"/>
        </w:rPr>
        <w:t>（招标编号：</w:t>
      </w:r>
      <w:r>
        <w:rPr>
          <w:rFonts w:hint="eastAsia" w:ascii="宋体" w:hAnsi="宋体" w:eastAsia="宋体" w:cs="宋体"/>
          <w:color w:val="auto"/>
          <w:szCs w:val="21"/>
          <w:highlight w:val="none"/>
          <w:u w:val="single"/>
          <w:lang w:eastAsia="zh-CN"/>
        </w:rPr>
        <w:t>DGDS2025-002</w:t>
      </w:r>
      <w:r>
        <w:rPr>
          <w:rFonts w:hint="eastAsia" w:ascii="宋体" w:hAnsi="宋体" w:eastAsia="宋体" w:cs="宋体"/>
          <w:color w:val="auto"/>
          <w:szCs w:val="21"/>
          <w:highlight w:val="none"/>
        </w:rPr>
        <w:t>）的招标文件要求，于</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7360AB51">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0C956A5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128CAEBD">
      <w:pPr>
        <w:spacing w:line="360" w:lineRule="auto"/>
        <w:ind w:firstLine="424" w:firstLineChars="202"/>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12DD5667">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0777B4AB">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73252C2">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省    </w:t>
      </w:r>
      <w:r>
        <w:rPr>
          <w:rFonts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rPr>
        <w:t xml:space="preserve">市         </w:t>
      </w:r>
    </w:p>
    <w:p w14:paraId="5088FA58">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4DBE4B56">
      <w:pPr>
        <w:spacing w:line="360" w:lineRule="auto"/>
        <w:ind w:firstLine="424" w:firstLineChars="202"/>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0C5BC988">
      <w:pPr>
        <w:spacing w:line="360" w:lineRule="auto"/>
        <w:ind w:right="844" w:rightChars="402" w:firstLine="424" w:firstLineChars="202"/>
        <w:jc w:val="right"/>
        <w:rPr>
          <w:rFonts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09F5C4FB">
      <w:pPr>
        <w:spacing w:line="360" w:lineRule="auto"/>
        <w:ind w:right="628" w:rightChars="299" w:firstLine="7774" w:firstLineChars="3702"/>
        <w:jc w:val="left"/>
        <w:rPr>
          <w:rFonts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266CAF4D">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2DF746AF">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154FA5E9">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35C79548">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5AB1893E">
      <w:pPr>
        <w:spacing w:line="360" w:lineRule="auto"/>
        <w:ind w:firstLine="424" w:firstLineChars="202"/>
        <w:rPr>
          <w:rFonts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63A92252">
      <w:pPr>
        <w:spacing w:line="360" w:lineRule="auto"/>
        <w:ind w:left="340" w:leftChars="162" w:firstLine="425"/>
        <w:rPr>
          <w:rFonts w:ascii="宋体" w:hAnsi="宋体" w:eastAsia="宋体" w:cs="宋体"/>
          <w:b/>
          <w:bCs/>
          <w:color w:val="auto"/>
          <w:szCs w:val="21"/>
          <w:highlight w:val="none"/>
        </w:rPr>
      </w:pPr>
      <w:bookmarkStart w:id="825" w:name="_Toc26208_WPSOffice_Level3"/>
      <w:r>
        <w:rPr>
          <w:rFonts w:hint="eastAsia" w:ascii="宋体" w:hAnsi="宋体" w:eastAsia="宋体" w:cs="宋体"/>
          <w:b/>
          <w:bCs/>
          <w:color w:val="auto"/>
          <w:szCs w:val="21"/>
          <w:highlight w:val="none"/>
        </w:rPr>
        <w:t>附：1、我方投标保证金汇款凭证（复印件）</w:t>
      </w:r>
      <w:bookmarkEnd w:id="825"/>
    </w:p>
    <w:p w14:paraId="06397622">
      <w:pPr>
        <w:spacing w:line="360" w:lineRule="auto"/>
        <w:ind w:left="340" w:leftChars="162" w:firstLine="839" w:firstLineChars="398"/>
        <w:rPr>
          <w:rFonts w:ascii="宋体" w:hAnsi="宋体" w:eastAsia="宋体" w:cs="宋体"/>
          <w:b/>
          <w:bCs/>
          <w:color w:val="auto"/>
          <w:szCs w:val="21"/>
          <w:highlight w:val="none"/>
        </w:rPr>
      </w:pPr>
      <w:bookmarkStart w:id="826" w:name="_Toc12992_WPSOffice_Level3"/>
      <w:r>
        <w:rPr>
          <w:rFonts w:hint="eastAsia" w:ascii="宋体" w:hAnsi="宋体" w:eastAsia="宋体" w:cs="宋体"/>
          <w:b/>
          <w:bCs/>
          <w:color w:val="auto"/>
          <w:szCs w:val="21"/>
          <w:highlight w:val="none"/>
        </w:rPr>
        <w:t>2、我方基本账户开户许可证（复印件）</w:t>
      </w:r>
      <w:bookmarkEnd w:id="826"/>
    </w:p>
    <w:p w14:paraId="263C3024">
      <w:pPr>
        <w:spacing w:line="360" w:lineRule="auto"/>
        <w:ind w:left="340" w:leftChars="162" w:firstLine="736" w:firstLineChars="349"/>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612A4470">
      <w:pPr>
        <w:autoSpaceDE w:val="0"/>
        <w:autoSpaceDN w:val="0"/>
        <w:adjustRightInd w:val="0"/>
        <w:spacing w:line="360" w:lineRule="auto"/>
        <w:ind w:firstLine="5145" w:firstLineChars="2450"/>
        <w:rPr>
          <w:rFonts w:ascii="宋体" w:hAnsi="宋体" w:eastAsia="宋体" w:cs="宋体"/>
          <w:color w:val="auto"/>
          <w:szCs w:val="24"/>
          <w:highlight w:val="none"/>
          <w:lang w:val="zh-CN"/>
        </w:rPr>
      </w:pPr>
    </w:p>
    <w:p w14:paraId="427DFD87">
      <w:pPr>
        <w:spacing w:line="360" w:lineRule="auto"/>
        <w:rPr>
          <w:rFonts w:ascii="宋体" w:hAnsi="宋体" w:eastAsia="宋体" w:cs="宋体"/>
          <w:b/>
          <w:color w:val="auto"/>
          <w:kern w:val="0"/>
          <w:szCs w:val="21"/>
          <w:highlight w:val="none"/>
        </w:rPr>
      </w:pPr>
      <w:bookmarkStart w:id="827" w:name="_Toc533708134"/>
      <w:bookmarkStart w:id="828" w:name="_Toc486167721"/>
    </w:p>
    <w:p w14:paraId="0690A0DE">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829" w:name="_Toc94107221"/>
      <w:bookmarkStart w:id="830" w:name="_Toc102860428"/>
      <w:bookmarkStart w:id="831" w:name="_Toc102860084"/>
      <w:bookmarkStart w:id="832" w:name="_Toc142508379"/>
      <w:bookmarkStart w:id="833" w:name="_Toc1977738"/>
      <w:bookmarkStart w:id="834" w:name="_Toc104991886"/>
      <w:bookmarkStart w:id="835" w:name="_Toc24616"/>
      <w:bookmarkStart w:id="836" w:name="_Toc140596939"/>
    </w:p>
    <w:p w14:paraId="0B9CF654">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7136FBD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bCs/>
          <w:color w:val="auto"/>
          <w:kern w:val="0"/>
          <w:sz w:val="32"/>
          <w:szCs w:val="32"/>
          <w:highlight w:val="none"/>
          <w:lang w:val="zh-CN"/>
        </w:rPr>
      </w:pPr>
      <w:bookmarkStart w:id="837" w:name="_Toc28095"/>
      <w:bookmarkStart w:id="838" w:name="_Toc29065"/>
      <w:bookmarkStart w:id="839" w:name="_Toc29652"/>
      <w:bookmarkStart w:id="840" w:name="_Toc2007"/>
      <w:bookmarkStart w:id="841" w:name="_Toc24314"/>
      <w:r>
        <w:rPr>
          <w:rFonts w:hint="eastAsia" w:ascii="宋体" w:hAnsi="宋体" w:eastAsia="宋体" w:cs="宋体"/>
          <w:b/>
          <w:bCs/>
          <w:color w:val="auto"/>
          <w:kern w:val="0"/>
          <w:sz w:val="32"/>
          <w:szCs w:val="32"/>
          <w:highlight w:val="none"/>
          <w:lang w:val="zh-CN" w:eastAsia="zh-CN"/>
        </w:rPr>
        <w:t>十二、投标人“东莞市工程质量检测监管平台”完成注册备案相关网页截图或中标后在7个工作日内完成备案的承诺函（投标人自行拟定）</w:t>
      </w:r>
      <w:r>
        <w:rPr>
          <w:rFonts w:hint="eastAsia" w:ascii="宋体" w:hAnsi="宋体" w:eastAsia="宋体" w:cs="宋体"/>
          <w:b/>
          <w:bCs/>
          <w:color w:val="auto"/>
          <w:kern w:val="0"/>
          <w:sz w:val="32"/>
          <w:szCs w:val="32"/>
          <w:highlight w:val="none"/>
          <w:lang w:val="zh-CN"/>
        </w:rPr>
        <w:br w:type="page"/>
      </w:r>
      <w:bookmarkEnd w:id="837"/>
      <w:bookmarkEnd w:id="838"/>
    </w:p>
    <w:p w14:paraId="313A3B9B">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842" w:name="_Toc9028"/>
      <w:bookmarkStart w:id="843" w:name="_Toc7692"/>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三</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829"/>
      <w:bookmarkEnd w:id="830"/>
      <w:bookmarkEnd w:id="831"/>
      <w:bookmarkEnd w:id="832"/>
      <w:bookmarkEnd w:id="833"/>
      <w:bookmarkEnd w:id="834"/>
      <w:bookmarkEnd w:id="835"/>
      <w:bookmarkEnd w:id="836"/>
      <w:bookmarkEnd w:id="839"/>
      <w:bookmarkEnd w:id="840"/>
      <w:bookmarkEnd w:id="841"/>
      <w:bookmarkEnd w:id="842"/>
      <w:bookmarkEnd w:id="843"/>
    </w:p>
    <w:p w14:paraId="63478BBD">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highlight w:val="none"/>
        </w:rPr>
      </w:pPr>
      <w:bookmarkStart w:id="844" w:name="_Toc102860429"/>
      <w:bookmarkStart w:id="845" w:name="_Toc31916"/>
      <w:bookmarkStart w:id="846" w:name="_Toc104991887"/>
      <w:bookmarkStart w:id="847" w:name="_Toc27482"/>
      <w:bookmarkStart w:id="848" w:name="_Toc140596940"/>
      <w:bookmarkStart w:id="849" w:name="_Toc102860085"/>
      <w:bookmarkStart w:id="850" w:name="_Toc1120"/>
      <w:bookmarkStart w:id="851" w:name="_Toc1977739"/>
      <w:bookmarkStart w:id="852" w:name="_Toc18038"/>
      <w:bookmarkStart w:id="853" w:name="_Toc142508380"/>
      <w:bookmarkStart w:id="854" w:name="_Toc94107222"/>
      <w:bookmarkStart w:id="855" w:name="_Toc4482"/>
      <w:bookmarkStart w:id="856" w:name="_Toc7633"/>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、技术响应文件格式</w:t>
      </w:r>
      <w:bookmarkEnd w:id="827"/>
      <w:bookmarkEnd w:id="844"/>
      <w:bookmarkEnd w:id="845"/>
      <w:bookmarkEnd w:id="846"/>
      <w:bookmarkEnd w:id="847"/>
      <w:bookmarkEnd w:id="848"/>
      <w:bookmarkEnd w:id="849"/>
      <w:bookmarkEnd w:id="850"/>
      <w:bookmarkEnd w:id="851"/>
      <w:bookmarkEnd w:id="852"/>
      <w:bookmarkEnd w:id="853"/>
      <w:bookmarkEnd w:id="854"/>
      <w:bookmarkEnd w:id="855"/>
      <w:bookmarkEnd w:id="856"/>
    </w:p>
    <w:p w14:paraId="6C1A5799">
      <w:pPr>
        <w:tabs>
          <w:tab w:val="left" w:pos="8640"/>
        </w:tabs>
        <w:spacing w:line="360" w:lineRule="auto"/>
        <w:ind w:firstLine="420" w:firstLineChars="2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1750432B">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1、用户需求响应程度（即1</w:t>
      </w:r>
      <w:r>
        <w:rPr>
          <w:rFonts w:hint="eastAsia" w:ascii="宋体" w:hAnsi="宋体" w:eastAsia="宋体" w:cs="宋体"/>
          <w:color w:val="auto"/>
          <w:kern w:val="0"/>
          <w:szCs w:val="21"/>
          <w:highlight w:val="none"/>
          <w:lang w:val="en-US" w:eastAsia="zh-CN"/>
        </w:rPr>
        <w:t>4</w:t>
      </w:r>
      <w:r>
        <w:rPr>
          <w:rFonts w:ascii="宋体" w:hAnsi="宋体" w:eastAsia="宋体" w:cs="宋体"/>
          <w:color w:val="auto"/>
          <w:kern w:val="0"/>
          <w:szCs w:val="21"/>
          <w:highlight w:val="none"/>
        </w:rPr>
        <w:t>.1</w:t>
      </w:r>
      <w:r>
        <w:rPr>
          <w:rFonts w:hint="eastAsia" w:ascii="宋体" w:hAnsi="宋体" w:eastAsia="宋体" w:cs="宋体"/>
          <w:color w:val="auto"/>
          <w:kern w:val="0"/>
          <w:szCs w:val="21"/>
          <w:highlight w:val="none"/>
        </w:rPr>
        <w:t>用户需求偏离表格式）；</w:t>
      </w:r>
    </w:p>
    <w:p w14:paraId="04A21515">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2、检测方案（投标人自行编写</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w:t>
      </w:r>
    </w:p>
    <w:p w14:paraId="146040BC">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3、检测设备（投标人自行编写）；</w:t>
      </w:r>
    </w:p>
    <w:p w14:paraId="72AC96F7">
      <w:pPr>
        <w:spacing w:line="360" w:lineRule="auto"/>
        <w:ind w:left="443" w:leftChars="77" w:hanging="281" w:hangingChars="134"/>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4、检测场所及环境（投标人自行编写）；</w:t>
      </w:r>
    </w:p>
    <w:p w14:paraId="0C917680">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、检测成果准确性承诺书（</w:t>
      </w:r>
      <w:r>
        <w:rPr>
          <w:rFonts w:hint="default" w:ascii="宋体" w:hAnsi="宋体" w:eastAsia="宋体" w:cs="Times New Roman"/>
          <w:color w:val="auto"/>
          <w:szCs w:val="21"/>
          <w:highlight w:val="none"/>
          <w:lang w:val="zh-CN"/>
        </w:rPr>
        <w:t>详</w:t>
      </w:r>
      <w:r>
        <w:rPr>
          <w:rFonts w:hint="eastAsia" w:ascii="宋体" w:hAnsi="宋体" w:eastAsia="宋体" w:cs="宋体"/>
          <w:color w:val="auto"/>
          <w:kern w:val="0"/>
          <w:szCs w:val="21"/>
          <w:highlight w:val="none"/>
          <w:lang w:val="zh-CN"/>
        </w:rPr>
        <w:t>见1</w:t>
      </w:r>
      <w:r>
        <w:rPr>
          <w:rFonts w:hint="eastAsia" w:ascii="宋体" w:hAnsi="宋体" w:eastAsia="宋体" w:cs="宋体"/>
          <w:color w:val="auto"/>
          <w:kern w:val="0"/>
          <w:szCs w:val="21"/>
          <w:highlight w:val="none"/>
          <w:lang w:val="en-US" w:eastAsia="zh-CN"/>
        </w:rPr>
        <w:t>4.5</w:t>
      </w:r>
      <w:r>
        <w:rPr>
          <w:rFonts w:hint="eastAsia" w:ascii="宋体" w:hAnsi="宋体" w:eastAsia="宋体" w:cs="宋体"/>
          <w:color w:val="auto"/>
          <w:kern w:val="0"/>
          <w:szCs w:val="21"/>
          <w:highlight w:val="none"/>
        </w:rPr>
        <w:t>检测成果准确性承诺书格式）；</w:t>
      </w:r>
    </w:p>
    <w:p w14:paraId="18A7D15B">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、服务响应时间承诺书（</w:t>
      </w:r>
      <w:r>
        <w:rPr>
          <w:rFonts w:hint="default" w:ascii="宋体" w:hAnsi="宋体" w:eastAsia="宋体" w:cs="Times New Roman"/>
          <w:color w:val="auto"/>
          <w:szCs w:val="21"/>
          <w:highlight w:val="none"/>
          <w:lang w:val="zh-CN"/>
        </w:rPr>
        <w:t>详</w:t>
      </w:r>
      <w:r>
        <w:rPr>
          <w:rFonts w:hint="eastAsia" w:ascii="宋体" w:hAnsi="宋体" w:eastAsia="宋体" w:cs="宋体"/>
          <w:color w:val="auto"/>
          <w:kern w:val="0"/>
          <w:szCs w:val="21"/>
          <w:highlight w:val="none"/>
          <w:lang w:val="zh-CN"/>
        </w:rPr>
        <w:t>见1</w:t>
      </w:r>
      <w:r>
        <w:rPr>
          <w:rFonts w:hint="eastAsia" w:ascii="宋体" w:hAnsi="宋体" w:eastAsia="宋体" w:cs="宋体"/>
          <w:color w:val="auto"/>
          <w:kern w:val="0"/>
          <w:szCs w:val="21"/>
          <w:highlight w:val="none"/>
          <w:lang w:val="en-US" w:eastAsia="zh-CN"/>
        </w:rPr>
        <w:t>4.6</w:t>
      </w:r>
      <w:r>
        <w:rPr>
          <w:rFonts w:hint="eastAsia" w:ascii="宋体" w:hAnsi="宋体" w:eastAsia="宋体" w:cs="宋体"/>
          <w:color w:val="auto"/>
          <w:kern w:val="0"/>
          <w:szCs w:val="21"/>
          <w:highlight w:val="none"/>
        </w:rPr>
        <w:t>服务响应时间承诺书格式）；</w:t>
      </w:r>
    </w:p>
    <w:p w14:paraId="798E746B">
      <w:pPr>
        <w:spacing w:line="360" w:lineRule="auto"/>
        <w:ind w:left="443" w:leftChars="77" w:hanging="281" w:hangingChars="134"/>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、投标人认为有必要提供的其它材料（不做强制要求）。</w:t>
      </w:r>
    </w:p>
    <w:p w14:paraId="272FBCDD">
      <w:pPr>
        <w:pStyle w:val="19"/>
        <w:spacing w:line="360" w:lineRule="auto"/>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828"/>
      <w:bookmarkStart w:id="857" w:name="_Toc102860086"/>
      <w:bookmarkStart w:id="858" w:name="_Toc533708135"/>
      <w:bookmarkStart w:id="859" w:name="_Toc104991888"/>
      <w:bookmarkStart w:id="860" w:name="_Toc142508381"/>
      <w:bookmarkStart w:id="861" w:name="_Toc102860430"/>
      <w:bookmarkStart w:id="862" w:name="_Toc140596941"/>
      <w:bookmarkStart w:id="863" w:name="_Toc94107223"/>
      <w:bookmarkStart w:id="864" w:name="_Toc1977740"/>
    </w:p>
    <w:p w14:paraId="335B9FB9">
      <w:pPr>
        <w:pStyle w:val="19"/>
        <w:spacing w:line="360" w:lineRule="auto"/>
        <w:jc w:val="center"/>
        <w:rPr>
          <w:rFonts w:hint="eastAsia" w:ascii="宋体" w:hAnsi="宋体" w:eastAsia="宋体" w:cs="宋体"/>
          <w:b/>
          <w:color w:val="auto"/>
          <w:kern w:val="0"/>
          <w:szCs w:val="21"/>
          <w:highlight w:val="none"/>
        </w:rPr>
      </w:pPr>
    </w:p>
    <w:p w14:paraId="5549ED81">
      <w:pPr>
        <w:pStyle w:val="19"/>
        <w:spacing w:line="360" w:lineRule="auto"/>
        <w:jc w:val="center"/>
        <w:rPr>
          <w:rFonts w:hint="eastAsia" w:ascii="宋体" w:hAnsi="宋体" w:eastAsia="宋体" w:cs="宋体"/>
          <w:b/>
          <w:color w:val="auto"/>
          <w:kern w:val="0"/>
          <w:szCs w:val="21"/>
          <w:highlight w:val="none"/>
        </w:rPr>
      </w:pPr>
    </w:p>
    <w:p w14:paraId="6CADD855">
      <w:pPr>
        <w:pStyle w:val="19"/>
        <w:spacing w:line="360" w:lineRule="auto"/>
        <w:jc w:val="center"/>
        <w:rPr>
          <w:rFonts w:hint="eastAsia" w:ascii="宋体" w:hAnsi="宋体" w:eastAsia="宋体" w:cs="宋体"/>
          <w:b/>
          <w:color w:val="auto"/>
          <w:kern w:val="0"/>
          <w:szCs w:val="21"/>
          <w:highlight w:val="none"/>
        </w:rPr>
      </w:pPr>
    </w:p>
    <w:p w14:paraId="2850B24E">
      <w:pPr>
        <w:pStyle w:val="19"/>
        <w:spacing w:line="360" w:lineRule="auto"/>
        <w:jc w:val="center"/>
        <w:rPr>
          <w:rFonts w:hint="eastAsia" w:ascii="宋体" w:hAnsi="宋体" w:eastAsia="宋体" w:cs="宋体"/>
          <w:b/>
          <w:color w:val="auto"/>
          <w:kern w:val="0"/>
          <w:szCs w:val="21"/>
          <w:highlight w:val="none"/>
        </w:rPr>
      </w:pPr>
    </w:p>
    <w:p w14:paraId="4DC4E72F">
      <w:pPr>
        <w:pStyle w:val="19"/>
        <w:spacing w:line="360" w:lineRule="auto"/>
        <w:jc w:val="center"/>
        <w:rPr>
          <w:rFonts w:hint="eastAsia" w:ascii="宋体" w:hAnsi="宋体" w:eastAsia="宋体" w:cs="宋体"/>
          <w:b/>
          <w:color w:val="auto"/>
          <w:kern w:val="0"/>
          <w:szCs w:val="21"/>
          <w:highlight w:val="none"/>
        </w:rPr>
      </w:pPr>
    </w:p>
    <w:p w14:paraId="78EA603B">
      <w:pPr>
        <w:pStyle w:val="19"/>
        <w:spacing w:line="360" w:lineRule="auto"/>
        <w:jc w:val="center"/>
        <w:rPr>
          <w:rFonts w:hint="eastAsia" w:ascii="宋体" w:hAnsi="宋体" w:eastAsia="宋体" w:cs="宋体"/>
          <w:b/>
          <w:color w:val="auto"/>
          <w:kern w:val="0"/>
          <w:szCs w:val="21"/>
          <w:highlight w:val="none"/>
        </w:rPr>
      </w:pPr>
    </w:p>
    <w:p w14:paraId="77E4E642">
      <w:pPr>
        <w:pStyle w:val="19"/>
        <w:spacing w:line="360" w:lineRule="auto"/>
        <w:jc w:val="center"/>
        <w:rPr>
          <w:rFonts w:hint="eastAsia" w:ascii="宋体" w:hAnsi="宋体" w:eastAsia="宋体" w:cs="宋体"/>
          <w:b/>
          <w:color w:val="auto"/>
          <w:kern w:val="0"/>
          <w:szCs w:val="21"/>
          <w:highlight w:val="none"/>
        </w:rPr>
      </w:pPr>
    </w:p>
    <w:p w14:paraId="441DDF06">
      <w:pPr>
        <w:pStyle w:val="19"/>
        <w:spacing w:line="360" w:lineRule="auto"/>
        <w:jc w:val="center"/>
        <w:rPr>
          <w:rFonts w:hint="eastAsia" w:ascii="宋体" w:hAnsi="宋体" w:eastAsia="宋体" w:cs="宋体"/>
          <w:b/>
          <w:color w:val="auto"/>
          <w:kern w:val="0"/>
          <w:szCs w:val="21"/>
          <w:highlight w:val="none"/>
        </w:rPr>
      </w:pPr>
    </w:p>
    <w:p w14:paraId="7AA0E577">
      <w:pPr>
        <w:pStyle w:val="19"/>
        <w:spacing w:line="360" w:lineRule="auto"/>
        <w:jc w:val="center"/>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486FA751">
      <w:pPr>
        <w:pStyle w:val="19"/>
        <w:spacing w:line="360" w:lineRule="auto"/>
        <w:rPr>
          <w:rFonts w:hint="eastAsia" w:ascii="宋体" w:hAnsi="宋体" w:eastAsia="宋体" w:cs="宋体"/>
          <w:color w:val="auto"/>
          <w:highlight w:val="none"/>
        </w:rPr>
      </w:pPr>
    </w:p>
    <w:p w14:paraId="4E6BA3FA">
      <w:pPr>
        <w:pStyle w:val="19"/>
        <w:spacing w:line="360" w:lineRule="auto"/>
        <w:rPr>
          <w:rFonts w:hint="eastAsia" w:ascii="宋体" w:hAnsi="宋体" w:eastAsia="宋体" w:cs="宋体"/>
          <w:color w:val="auto"/>
          <w:highlight w:val="none"/>
        </w:rPr>
      </w:pPr>
    </w:p>
    <w:p w14:paraId="0C692965">
      <w:pPr>
        <w:pStyle w:val="19"/>
        <w:spacing w:line="360" w:lineRule="auto"/>
        <w:rPr>
          <w:rFonts w:hint="eastAsia" w:ascii="宋体" w:hAnsi="宋体" w:eastAsia="宋体" w:cs="宋体"/>
          <w:color w:val="auto"/>
          <w:highlight w:val="none"/>
        </w:rPr>
      </w:pPr>
    </w:p>
    <w:p w14:paraId="5502A4E2">
      <w:pPr>
        <w:pStyle w:val="19"/>
        <w:spacing w:line="360" w:lineRule="auto"/>
        <w:rPr>
          <w:rFonts w:hint="eastAsia" w:ascii="宋体" w:hAnsi="宋体" w:eastAsia="宋体" w:cs="宋体"/>
          <w:color w:val="auto"/>
          <w:highlight w:val="none"/>
        </w:rPr>
      </w:pPr>
    </w:p>
    <w:p w14:paraId="2D9DF169">
      <w:pPr>
        <w:pStyle w:val="19"/>
        <w:spacing w:line="360" w:lineRule="auto"/>
        <w:rPr>
          <w:rFonts w:hint="eastAsia" w:ascii="宋体" w:hAnsi="宋体" w:eastAsia="宋体" w:cs="宋体"/>
          <w:color w:val="auto"/>
          <w:highlight w:val="none"/>
        </w:rPr>
      </w:pPr>
    </w:p>
    <w:p w14:paraId="534A587E">
      <w:pPr>
        <w:pStyle w:val="19"/>
        <w:spacing w:line="360" w:lineRule="auto"/>
        <w:rPr>
          <w:rFonts w:hint="eastAsia" w:ascii="宋体" w:hAnsi="宋体" w:eastAsia="宋体" w:cs="宋体"/>
          <w:color w:val="auto"/>
          <w:highlight w:val="none"/>
        </w:rPr>
      </w:pPr>
    </w:p>
    <w:p w14:paraId="14F30186">
      <w:pPr>
        <w:pStyle w:val="19"/>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招标编号：</w:t>
      </w:r>
      <w:r>
        <w:rPr>
          <w:rFonts w:hint="eastAsia" w:ascii="宋体" w:hAnsi="宋体" w:cs="宋体"/>
          <w:color w:val="auto"/>
          <w:sz w:val="30"/>
          <w:highlight w:val="none"/>
          <w:u w:val="single"/>
          <w:lang w:eastAsia="zh-CN"/>
        </w:rPr>
        <w:t>DGDS2025-002</w:t>
      </w:r>
    </w:p>
    <w:p w14:paraId="51828A03">
      <w:pPr>
        <w:pStyle w:val="19"/>
        <w:spacing w:line="360" w:lineRule="auto"/>
        <w:rPr>
          <w:rFonts w:hint="eastAsia" w:ascii="宋体" w:hAnsi="宋体" w:eastAsia="宋体" w:cs="宋体"/>
          <w:color w:val="auto"/>
          <w:sz w:val="30"/>
          <w:highlight w:val="none"/>
          <w:u w:val="single"/>
          <w:lang w:eastAsia="zh-CN"/>
        </w:rPr>
      </w:pPr>
      <w:r>
        <w:rPr>
          <w:rFonts w:hint="eastAsia" w:ascii="宋体" w:hAnsi="宋体" w:eastAsia="宋体" w:cs="宋体"/>
          <w:color w:val="auto"/>
          <w:sz w:val="30"/>
          <w:highlight w:val="none"/>
        </w:rPr>
        <w:t>项目名称：</w:t>
      </w:r>
      <w:r>
        <w:rPr>
          <w:rFonts w:hint="eastAsia" w:ascii="宋体" w:hAnsi="宋体" w:cs="宋体"/>
          <w:color w:val="auto"/>
          <w:sz w:val="30"/>
          <w:highlight w:val="none"/>
          <w:u w:val="single"/>
          <w:lang w:eastAsia="zh-CN"/>
        </w:rPr>
        <w:t>珠三角水资源配置工程东莞配套芦花坑水厂一期配水管线工程-B标段第三方检测服务采购项目</w:t>
      </w:r>
    </w:p>
    <w:p w14:paraId="536B84D9">
      <w:pPr>
        <w:pStyle w:val="19"/>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3C74FB88">
      <w:pPr>
        <w:pStyle w:val="19"/>
        <w:spacing w:line="360" w:lineRule="auto"/>
        <w:rPr>
          <w:rFonts w:hint="eastAsia" w:ascii="宋体" w:hAnsi="宋体" w:eastAsia="宋体" w:cs="宋体"/>
          <w:color w:val="auto"/>
          <w:sz w:val="30"/>
          <w:highlight w:val="none"/>
          <w:lang w:eastAsia="zh-CN"/>
        </w:rPr>
      </w:pPr>
      <w:r>
        <w:rPr>
          <w:rFonts w:hint="eastAsia" w:ascii="宋体" w:hAnsi="宋体" w:eastAsia="宋体" w:cs="宋体"/>
          <w:color w:val="auto"/>
          <w:sz w:val="30"/>
          <w:highlight w:val="none"/>
        </w:rPr>
        <w:t>招标人：</w:t>
      </w:r>
      <w:r>
        <w:rPr>
          <w:rFonts w:hint="eastAsia" w:ascii="宋体" w:hAnsi="宋体" w:cs="宋体"/>
          <w:color w:val="auto"/>
          <w:sz w:val="30"/>
          <w:highlight w:val="none"/>
          <w:u w:val="single"/>
          <w:lang w:eastAsia="zh-CN"/>
        </w:rPr>
        <w:t>东莞市水务集团建设管理有限公司</w:t>
      </w:r>
    </w:p>
    <w:p w14:paraId="03CFBEDE">
      <w:pPr>
        <w:pStyle w:val="19"/>
        <w:spacing w:line="360" w:lineRule="auto"/>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4F2C1AA9">
      <w:pPr>
        <w:pStyle w:val="19"/>
        <w:spacing w:line="360" w:lineRule="auto"/>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1D357522">
      <w:pPr>
        <w:pStyle w:val="19"/>
        <w:spacing w:line="360" w:lineRule="auto"/>
        <w:rPr>
          <w:rFonts w:hint="eastAsia" w:ascii="宋体" w:hAnsi="宋体" w:eastAsia="宋体" w:cs="宋体"/>
          <w:color w:val="auto"/>
          <w:highlight w:val="none"/>
        </w:rPr>
      </w:pPr>
    </w:p>
    <w:p w14:paraId="46961512">
      <w:pPr>
        <w:pStyle w:val="1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6B94F09">
      <w:pPr>
        <w:pStyle w:val="19"/>
        <w:spacing w:line="360" w:lineRule="auto"/>
        <w:rPr>
          <w:rFonts w:hint="eastAsia" w:ascii="宋体" w:hAnsi="宋体" w:eastAsia="宋体" w:cs="宋体"/>
          <w:color w:val="auto"/>
          <w:highlight w:val="none"/>
        </w:rPr>
      </w:pPr>
    </w:p>
    <w:p w14:paraId="43586D0A">
      <w:pPr>
        <w:pBdr>
          <w:bottom w:val="single" w:color="auto" w:sz="6" w:space="0"/>
        </w:pBdr>
        <w:spacing w:line="480" w:lineRule="auto"/>
        <w:ind w:firstLine="472" w:firstLineChars="224"/>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6"/>
        <w:tblW w:w="1036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108" w:type="dxa"/>
          <w:bottom w:w="0" w:type="dxa"/>
          <w:right w:w="108" w:type="dxa"/>
        </w:tblCellMar>
      </w:tblPr>
      <w:tblGrid>
        <w:gridCol w:w="1379"/>
        <w:gridCol w:w="2773"/>
        <w:gridCol w:w="2171"/>
        <w:gridCol w:w="4045"/>
      </w:tblGrid>
      <w:tr w14:paraId="17EDEC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1379" w:type="dxa"/>
            <w:vAlign w:val="center"/>
          </w:tcPr>
          <w:p w14:paraId="2B0F51E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2773" w:type="dxa"/>
            <w:vAlign w:val="center"/>
          </w:tcPr>
          <w:p w14:paraId="3ECB9B4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2171" w:type="dxa"/>
            <w:vAlign w:val="center"/>
          </w:tcPr>
          <w:p w14:paraId="5C50E92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4045" w:type="dxa"/>
            <w:tcBorders>
              <w:left w:val="single" w:color="auto" w:sz="4" w:space="0"/>
            </w:tcBorders>
            <w:vAlign w:val="center"/>
          </w:tcPr>
          <w:p w14:paraId="4AF10FE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60D64DE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1379" w:type="dxa"/>
            <w:vAlign w:val="center"/>
          </w:tcPr>
          <w:p w14:paraId="5AA5ADD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vAlign w:val="center"/>
          </w:tcPr>
          <w:p w14:paraId="4C8E1EB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171" w:type="dxa"/>
            <w:vAlign w:val="center"/>
          </w:tcPr>
          <w:p w14:paraId="743F4D9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1C0B8D6B">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4FD88FB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1379" w:type="dxa"/>
            <w:vAlign w:val="center"/>
          </w:tcPr>
          <w:p w14:paraId="7FB75844">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773" w:type="dxa"/>
            <w:vAlign w:val="center"/>
          </w:tcPr>
          <w:p w14:paraId="02DD7CF8">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2171" w:type="dxa"/>
            <w:vAlign w:val="center"/>
          </w:tcPr>
          <w:p w14:paraId="07D2F116">
            <w:pPr>
              <w:keepNext w:val="0"/>
              <w:keepLines w:val="0"/>
              <w:suppressLineNumbers w:val="0"/>
              <w:spacing w:before="0" w:beforeAutospacing="0" w:after="0" w:afterAutospacing="0"/>
              <w:ind w:left="0" w:right="0"/>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750BBB67">
            <w:pPr>
              <w:keepNext w:val="0"/>
              <w:keepLines w:val="0"/>
              <w:suppressLineNumbers w:val="0"/>
              <w:adjustRightInd w:val="0"/>
              <w:snapToGrid w:val="0"/>
              <w:spacing w:before="0" w:beforeAutospacing="0" w:after="0" w:afterAutospacing="0" w:line="360" w:lineRule="auto"/>
              <w:ind w:left="0" w:right="0" w:firstLine="105" w:firstLineChars="50"/>
              <w:rPr>
                <w:rFonts w:hint="eastAsia" w:ascii="宋体" w:hAnsi="宋体" w:eastAsia="宋体" w:cs="宋体"/>
                <w:bCs/>
                <w:color w:val="auto"/>
                <w:szCs w:val="21"/>
                <w:highlight w:val="none"/>
              </w:rPr>
            </w:pPr>
          </w:p>
        </w:tc>
      </w:tr>
      <w:tr w14:paraId="3ED581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1379" w:type="dxa"/>
            <w:vAlign w:val="center"/>
          </w:tcPr>
          <w:p w14:paraId="72B7318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vAlign w:val="center"/>
          </w:tcPr>
          <w:p w14:paraId="4A68674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2171" w:type="dxa"/>
            <w:vAlign w:val="center"/>
          </w:tcPr>
          <w:p w14:paraId="4DD4000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45" w:type="dxa"/>
            <w:tcBorders>
              <w:left w:val="single" w:color="auto" w:sz="4" w:space="0"/>
            </w:tcBorders>
            <w:vAlign w:val="center"/>
          </w:tcPr>
          <w:p w14:paraId="2D0AC42B">
            <w:pPr>
              <w:keepNext w:val="0"/>
              <w:keepLines w:val="0"/>
              <w:suppressLineNumbers w:val="0"/>
              <w:spacing w:before="0" w:beforeAutospacing="0" w:after="0" w:afterAutospacing="0" w:line="360" w:lineRule="auto"/>
              <w:ind w:left="0" w:right="0" w:firstLine="8" w:firstLineChars="4"/>
              <w:rPr>
                <w:rFonts w:hint="eastAsia" w:ascii="宋体" w:hAnsi="宋体" w:eastAsia="宋体" w:cs="宋体"/>
                <w:bCs/>
                <w:color w:val="auto"/>
                <w:szCs w:val="21"/>
                <w:highlight w:val="none"/>
              </w:rPr>
            </w:pPr>
          </w:p>
        </w:tc>
      </w:tr>
      <w:tr w14:paraId="70A3AC2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1379" w:type="dxa"/>
            <w:tcBorders>
              <w:top w:val="single" w:color="auto" w:sz="6" w:space="0"/>
              <w:left w:val="single" w:color="auto" w:sz="4" w:space="0"/>
              <w:bottom w:val="outset" w:color="808080" w:sz="6" w:space="0"/>
              <w:right w:val="single" w:color="auto" w:sz="6" w:space="0"/>
            </w:tcBorders>
            <w:vAlign w:val="center"/>
          </w:tcPr>
          <w:p w14:paraId="58DBDB9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2773" w:type="dxa"/>
            <w:tcBorders>
              <w:top w:val="single" w:color="auto" w:sz="6" w:space="0"/>
              <w:left w:val="single" w:color="auto" w:sz="6" w:space="0"/>
              <w:bottom w:val="outset" w:color="808080" w:sz="6" w:space="0"/>
              <w:right w:val="single" w:color="auto" w:sz="6" w:space="0"/>
            </w:tcBorders>
            <w:vAlign w:val="center"/>
          </w:tcPr>
          <w:p w14:paraId="00850FFF">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c>
          <w:tcPr>
            <w:tcW w:w="2171" w:type="dxa"/>
            <w:tcBorders>
              <w:top w:val="single" w:color="auto" w:sz="6" w:space="0"/>
              <w:left w:val="single" w:color="auto" w:sz="6" w:space="0"/>
              <w:bottom w:val="outset" w:color="808080" w:sz="6" w:space="0"/>
              <w:right w:val="single" w:color="auto" w:sz="6" w:space="0"/>
            </w:tcBorders>
            <w:vAlign w:val="center"/>
          </w:tcPr>
          <w:p w14:paraId="7D78EA8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45" w:type="dxa"/>
            <w:tcBorders>
              <w:top w:val="single" w:color="auto" w:sz="6" w:space="0"/>
              <w:left w:val="single" w:color="auto" w:sz="4" w:space="0"/>
              <w:bottom w:val="outset" w:color="808080" w:sz="6" w:space="0"/>
              <w:right w:val="single" w:color="auto" w:sz="6" w:space="0"/>
            </w:tcBorders>
            <w:vAlign w:val="center"/>
          </w:tcPr>
          <w:p w14:paraId="5F36CA41">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s="宋体"/>
                <w:bCs/>
                <w:color w:val="auto"/>
                <w:szCs w:val="21"/>
                <w:highlight w:val="none"/>
              </w:rPr>
            </w:pPr>
          </w:p>
        </w:tc>
      </w:tr>
      <w:tr w14:paraId="3251022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4152" w:type="dxa"/>
            <w:gridSpan w:val="2"/>
            <w:tcBorders>
              <w:bottom w:val="single" w:color="auto" w:sz="4" w:space="0"/>
            </w:tcBorders>
            <w:vAlign w:val="center"/>
          </w:tcPr>
          <w:p w14:paraId="6E65926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2171" w:type="dxa"/>
            <w:tcBorders>
              <w:bottom w:val="single" w:color="auto" w:sz="4" w:space="0"/>
            </w:tcBorders>
            <w:vAlign w:val="center"/>
          </w:tcPr>
          <w:p w14:paraId="2B4A837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c>
          <w:tcPr>
            <w:tcW w:w="4045" w:type="dxa"/>
            <w:tcBorders>
              <w:left w:val="single" w:color="auto" w:sz="4" w:space="0"/>
              <w:bottom w:val="single" w:color="auto" w:sz="4" w:space="0"/>
            </w:tcBorders>
            <w:vAlign w:val="center"/>
          </w:tcPr>
          <w:p w14:paraId="579A5511">
            <w:pPr>
              <w:keepNext w:val="0"/>
              <w:keepLines w:val="0"/>
              <w:suppressLineNumbers w:val="0"/>
              <w:spacing w:before="0" w:beforeAutospacing="0" w:after="0" w:afterAutospacing="0" w:line="360" w:lineRule="auto"/>
              <w:ind w:left="0" w:right="0"/>
              <w:jc w:val="center"/>
              <w:rPr>
                <w:rFonts w:hint="eastAsia" w:ascii="宋体" w:hAnsi="宋体" w:eastAsia="宋体" w:cs="宋体"/>
                <w:bCs/>
                <w:color w:val="auto"/>
                <w:szCs w:val="21"/>
                <w:highlight w:val="none"/>
              </w:rPr>
            </w:pPr>
          </w:p>
        </w:tc>
      </w:tr>
    </w:tbl>
    <w:p w14:paraId="5639DC31">
      <w:pPr>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563A5185">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highlight w:val="none"/>
        </w:rPr>
      </w:pPr>
      <w:bookmarkStart w:id="865" w:name="_Toc27934"/>
      <w:bookmarkStart w:id="866" w:name="_Toc18999"/>
      <w:bookmarkStart w:id="867" w:name="_Toc30448"/>
      <w:bookmarkStart w:id="868" w:name="_Toc5936"/>
      <w:bookmarkStart w:id="869" w:name="_Toc15702"/>
      <w:bookmarkStart w:id="870" w:name="_Toc876"/>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用户需求偏离表格式</w:t>
      </w:r>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p>
    <w:p w14:paraId="01410E39">
      <w:pPr>
        <w:spacing w:before="120" w:after="120" w:line="360" w:lineRule="auto"/>
        <w:jc w:val="center"/>
        <w:rPr>
          <w:rFonts w:ascii="宋体" w:hAnsi="宋体" w:eastAsia="宋体" w:cs="Times New Roman"/>
          <w:color w:val="auto"/>
          <w:kern w:val="0"/>
          <w:szCs w:val="21"/>
          <w:highlight w:val="none"/>
        </w:rPr>
      </w:pPr>
      <w:bookmarkStart w:id="871" w:name="_Toc17449_WPSOffice_Level3"/>
      <w:r>
        <w:rPr>
          <w:rFonts w:hint="eastAsia" w:ascii="宋体" w:hAnsi="宋体" w:eastAsia="宋体" w:cs="宋体"/>
          <w:b/>
          <w:color w:val="auto"/>
          <w:kern w:val="0"/>
          <w:sz w:val="30"/>
          <w:szCs w:val="30"/>
          <w:highlight w:val="none"/>
          <w:lang w:val="zh-CN"/>
        </w:rPr>
        <w:t>用户需求偏离表</w:t>
      </w:r>
      <w:bookmarkEnd w:id="871"/>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952"/>
        <w:gridCol w:w="6414"/>
        <w:gridCol w:w="722"/>
        <w:gridCol w:w="867"/>
        <w:gridCol w:w="815"/>
      </w:tblGrid>
      <w:tr w14:paraId="621C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restart"/>
            <w:vAlign w:val="center"/>
          </w:tcPr>
          <w:p w14:paraId="0FC2FCD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7366" w:type="dxa"/>
            <w:gridSpan w:val="2"/>
            <w:vAlign w:val="center"/>
          </w:tcPr>
          <w:p w14:paraId="3BBC5128">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2404" w:type="dxa"/>
            <w:gridSpan w:val="3"/>
            <w:vAlign w:val="center"/>
          </w:tcPr>
          <w:p w14:paraId="4BCA4CB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2BBD0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00" w:type="dxa"/>
            <w:vMerge w:val="continue"/>
            <w:vAlign w:val="center"/>
          </w:tcPr>
          <w:p w14:paraId="2B8E010E">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 w:val="21"/>
                <w:szCs w:val="21"/>
                <w:highlight w:val="none"/>
              </w:rPr>
            </w:pPr>
          </w:p>
        </w:tc>
        <w:tc>
          <w:tcPr>
            <w:tcW w:w="952" w:type="dxa"/>
            <w:vAlign w:val="center"/>
          </w:tcPr>
          <w:p w14:paraId="4E12FC7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6414" w:type="dxa"/>
            <w:vAlign w:val="center"/>
          </w:tcPr>
          <w:p w14:paraId="543CF80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722" w:type="dxa"/>
            <w:vAlign w:val="center"/>
          </w:tcPr>
          <w:p w14:paraId="7E48810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867" w:type="dxa"/>
            <w:vAlign w:val="center"/>
          </w:tcPr>
          <w:p w14:paraId="008303D0">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815" w:type="dxa"/>
            <w:vAlign w:val="center"/>
          </w:tcPr>
          <w:p w14:paraId="2E11532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4374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00" w:type="dxa"/>
            <w:vAlign w:val="center"/>
          </w:tcPr>
          <w:p w14:paraId="51D2B32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1</w:t>
            </w:r>
          </w:p>
        </w:tc>
        <w:tc>
          <w:tcPr>
            <w:tcW w:w="952" w:type="dxa"/>
            <w:vAlign w:val="center"/>
          </w:tcPr>
          <w:p w14:paraId="5272BE2E">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二</w:t>
            </w:r>
          </w:p>
        </w:tc>
        <w:tc>
          <w:tcPr>
            <w:tcW w:w="6414" w:type="dxa"/>
            <w:vAlign w:val="center"/>
          </w:tcPr>
          <w:p w14:paraId="1952896E">
            <w:pPr>
              <w:keepNext w:val="0"/>
              <w:keepLines w:val="0"/>
              <w:widowControl w:val="0"/>
              <w:suppressLineNumbers w:val="0"/>
              <w:wordWrap/>
              <w:autoSpaceDE w:val="0"/>
              <w:autoSpaceDN w:val="0"/>
              <w:adjustRightInd w:val="0"/>
              <w:spacing w:before="0" w:beforeAutospacing="0" w:after="0" w:afterAutospacing="0" w:line="240" w:lineRule="auto"/>
              <w:ind w:left="0" w:right="0" w:firstLine="0" w:firstLineChars="0"/>
              <w:jc w:val="left"/>
              <w:textAlignment w:val="auto"/>
              <w:rPr>
                <w:rFonts w:hint="default" w:ascii="宋体" w:hAnsi="宋体" w:eastAsia="宋体" w:cs="Times New Roman"/>
                <w:b w:val="0"/>
                <w:bCs/>
                <w:color w:val="auto"/>
                <w:kern w:val="0"/>
                <w:sz w:val="21"/>
                <w:szCs w:val="21"/>
                <w:highlight w:val="none"/>
              </w:rPr>
            </w:pPr>
            <w:r>
              <w:rPr>
                <w:rFonts w:hint="eastAsia" w:ascii="宋体" w:hAnsi="宋体" w:eastAsia="宋体" w:cs="Times New Roman"/>
                <w:b w:val="0"/>
                <w:bCs/>
                <w:color w:val="auto"/>
                <w:kern w:val="0"/>
                <w:sz w:val="21"/>
                <w:szCs w:val="21"/>
                <w:highlight w:val="none"/>
              </w:rPr>
              <w:t>总体服务要求</w:t>
            </w:r>
          </w:p>
        </w:tc>
        <w:tc>
          <w:tcPr>
            <w:tcW w:w="722" w:type="dxa"/>
            <w:vAlign w:val="center"/>
          </w:tcPr>
          <w:p w14:paraId="223463C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0077704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40DD31F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1C9B5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106CA6A1">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2</w:t>
            </w:r>
          </w:p>
        </w:tc>
        <w:tc>
          <w:tcPr>
            <w:tcW w:w="952" w:type="dxa"/>
            <w:vAlign w:val="center"/>
          </w:tcPr>
          <w:p w14:paraId="75256A1F">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三</w:t>
            </w:r>
          </w:p>
        </w:tc>
        <w:tc>
          <w:tcPr>
            <w:tcW w:w="6414" w:type="dxa"/>
            <w:vAlign w:val="center"/>
          </w:tcPr>
          <w:p w14:paraId="0B1B5DD7">
            <w:pPr>
              <w:keepNext w:val="0"/>
              <w:keepLines w:val="0"/>
              <w:widowControl w:val="0"/>
              <w:suppressLineNumbers w:val="0"/>
              <w:wordWrap/>
              <w:adjustRightInd w:val="0"/>
              <w:snapToGrid w:val="0"/>
              <w:spacing w:before="0" w:beforeAutospacing="0" w:after="0" w:afterAutospacing="0" w:line="240" w:lineRule="auto"/>
              <w:ind w:left="0" w:right="0" w:firstLine="0" w:firstLineChars="0"/>
              <w:jc w:val="left"/>
              <w:textAlignment w:val="auto"/>
              <w:rPr>
                <w:rFonts w:hint="default" w:ascii="宋体" w:hAnsi="宋体" w:eastAsia="宋体" w:cs="Times New Roman"/>
                <w:b w:val="0"/>
                <w:bCs/>
                <w:color w:val="auto"/>
                <w:sz w:val="21"/>
                <w:szCs w:val="21"/>
                <w:highlight w:val="none"/>
              </w:rPr>
            </w:pPr>
            <w:r>
              <w:rPr>
                <w:rFonts w:hint="eastAsia" w:ascii="宋体" w:hAnsi="宋体" w:eastAsia="宋体" w:cs="Times New Roman"/>
                <w:b w:val="0"/>
                <w:bCs/>
                <w:color w:val="auto"/>
                <w:sz w:val="21"/>
                <w:szCs w:val="21"/>
                <w:highlight w:val="none"/>
              </w:rPr>
              <w:t>合同价款</w:t>
            </w:r>
          </w:p>
        </w:tc>
        <w:tc>
          <w:tcPr>
            <w:tcW w:w="722" w:type="dxa"/>
            <w:vAlign w:val="center"/>
          </w:tcPr>
          <w:p w14:paraId="373C15B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525716D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5AF7D3D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748D4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7B2D1CF7">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3</w:t>
            </w:r>
          </w:p>
        </w:tc>
        <w:tc>
          <w:tcPr>
            <w:tcW w:w="952" w:type="dxa"/>
            <w:vAlign w:val="center"/>
          </w:tcPr>
          <w:p w14:paraId="7BDC326C">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b w:val="0"/>
                <w:bCs/>
                <w:color w:val="auto"/>
                <w:sz w:val="21"/>
                <w:szCs w:val="21"/>
                <w:highlight w:val="none"/>
                <w:lang w:val="en-US" w:eastAsia="zh-CN"/>
              </w:rPr>
            </w:pPr>
            <w:r>
              <w:rPr>
                <w:rFonts w:hint="eastAsia" w:ascii="宋体" w:hAnsi="宋体" w:eastAsia="宋体"/>
                <w:b w:val="0"/>
                <w:bCs/>
                <w:color w:val="auto"/>
                <w:sz w:val="21"/>
                <w:szCs w:val="21"/>
                <w:highlight w:val="none"/>
                <w:lang w:val="en-US" w:eastAsia="zh-CN"/>
              </w:rPr>
              <w:t>四</w:t>
            </w:r>
          </w:p>
        </w:tc>
        <w:tc>
          <w:tcPr>
            <w:tcW w:w="6414" w:type="dxa"/>
            <w:vAlign w:val="center"/>
          </w:tcPr>
          <w:p w14:paraId="17C376C7">
            <w:pPr>
              <w:keepNext w:val="0"/>
              <w:keepLines w:val="0"/>
              <w:widowControl w:val="0"/>
              <w:suppressLineNumbers w:val="0"/>
              <w:wordWrap/>
              <w:spacing w:before="0" w:beforeAutospacing="0" w:after="0" w:afterAutospacing="0" w:line="240" w:lineRule="auto"/>
              <w:ind w:left="0" w:right="0" w:firstLine="0" w:firstLineChars="0"/>
              <w:jc w:val="left"/>
              <w:textAlignment w:val="auto"/>
              <w:rPr>
                <w:rFonts w:hint="default"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费用支付</w:t>
            </w:r>
          </w:p>
        </w:tc>
        <w:tc>
          <w:tcPr>
            <w:tcW w:w="722" w:type="dxa"/>
            <w:vAlign w:val="center"/>
          </w:tcPr>
          <w:p w14:paraId="2E480134">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09D2F47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5A00090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315B2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45344E5C">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4</w:t>
            </w:r>
          </w:p>
        </w:tc>
        <w:tc>
          <w:tcPr>
            <w:tcW w:w="952" w:type="dxa"/>
            <w:vAlign w:val="center"/>
          </w:tcPr>
          <w:p w14:paraId="1753C2D9">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default" w:ascii="宋体" w:hAnsi="宋体" w:eastAsia="宋体"/>
                <w:b w:val="0"/>
                <w:bCs/>
                <w:color w:val="auto"/>
                <w:sz w:val="21"/>
                <w:szCs w:val="21"/>
                <w:highlight w:val="none"/>
                <w:lang w:val="zh-CN"/>
              </w:rPr>
            </w:pPr>
            <w:r>
              <w:rPr>
                <w:rFonts w:hint="eastAsia" w:ascii="宋体" w:hAnsi="宋体" w:eastAsia="宋体"/>
                <w:b w:val="0"/>
                <w:bCs/>
                <w:color w:val="auto"/>
                <w:sz w:val="21"/>
                <w:szCs w:val="21"/>
                <w:highlight w:val="none"/>
                <w:lang w:val="zh-CN"/>
              </w:rPr>
              <w:t>五</w:t>
            </w:r>
          </w:p>
        </w:tc>
        <w:tc>
          <w:tcPr>
            <w:tcW w:w="6414" w:type="dxa"/>
            <w:vAlign w:val="center"/>
          </w:tcPr>
          <w:p w14:paraId="3CF504DD">
            <w:pPr>
              <w:keepNext w:val="0"/>
              <w:keepLines w:val="0"/>
              <w:widowControl w:val="0"/>
              <w:suppressLineNumbers w:val="0"/>
              <w:wordWrap/>
              <w:spacing w:before="0" w:beforeAutospacing="0" w:after="0" w:afterAutospacing="0" w:line="240" w:lineRule="auto"/>
              <w:ind w:left="0" w:right="0" w:firstLine="0" w:firstLineChars="0"/>
              <w:jc w:val="left"/>
              <w:textAlignment w:val="auto"/>
              <w:rPr>
                <w:rFonts w:hint="default"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考核制度</w:t>
            </w:r>
          </w:p>
        </w:tc>
        <w:tc>
          <w:tcPr>
            <w:tcW w:w="722" w:type="dxa"/>
            <w:vAlign w:val="center"/>
          </w:tcPr>
          <w:p w14:paraId="52BDA2E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7ED33B1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277CDEF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r w14:paraId="61115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00" w:type="dxa"/>
            <w:vAlign w:val="center"/>
          </w:tcPr>
          <w:p w14:paraId="07C4DC7A">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c>
          <w:tcPr>
            <w:tcW w:w="952" w:type="dxa"/>
            <w:vAlign w:val="center"/>
          </w:tcPr>
          <w:p w14:paraId="0A3BA525">
            <w:pPr>
              <w:keepNext w:val="0"/>
              <w:keepLines w:val="0"/>
              <w:widowControl w:val="0"/>
              <w:suppressLineNumbers w:val="0"/>
              <w:wordWrap/>
              <w:adjustRightInd/>
              <w:snapToGrid/>
              <w:spacing w:before="0" w:beforeAutospacing="0" w:after="0" w:afterAutospacing="0" w:line="240" w:lineRule="auto"/>
              <w:ind w:left="0" w:right="0"/>
              <w:jc w:val="center"/>
              <w:textAlignment w:val="auto"/>
              <w:rPr>
                <w:rFonts w:hint="eastAsia" w:ascii="宋体" w:hAnsi="宋体" w:eastAsia="宋体" w:cs="Times New Roman"/>
                <w:b w:val="0"/>
                <w:bCs/>
                <w:color w:val="auto"/>
                <w:kern w:val="0"/>
                <w:sz w:val="21"/>
                <w:szCs w:val="21"/>
                <w:highlight w:val="none"/>
                <w:lang w:val="en-US" w:eastAsia="zh-CN"/>
              </w:rPr>
            </w:pPr>
            <w:r>
              <w:rPr>
                <w:rFonts w:hint="eastAsia" w:ascii="宋体" w:hAnsi="宋体" w:eastAsia="宋体" w:cs="Times New Roman"/>
                <w:b w:val="0"/>
                <w:bCs/>
                <w:color w:val="auto"/>
                <w:kern w:val="0"/>
                <w:sz w:val="21"/>
                <w:szCs w:val="21"/>
                <w:highlight w:val="none"/>
                <w:lang w:val="en-US" w:eastAsia="zh-CN"/>
              </w:rPr>
              <w:t>附件</w:t>
            </w:r>
          </w:p>
        </w:tc>
        <w:tc>
          <w:tcPr>
            <w:tcW w:w="6414" w:type="dxa"/>
            <w:vAlign w:val="center"/>
          </w:tcPr>
          <w:p w14:paraId="0C94A369">
            <w:pPr>
              <w:keepNext w:val="0"/>
              <w:keepLines w:val="0"/>
              <w:widowControl w:val="0"/>
              <w:suppressLineNumbers w:val="0"/>
              <w:wordWrap/>
              <w:spacing w:before="0" w:beforeAutospacing="0" w:after="0" w:afterAutospacing="0" w:line="240" w:lineRule="auto"/>
              <w:ind w:left="0" w:right="0" w:firstLine="0" w:firstLineChars="0"/>
              <w:jc w:val="left"/>
              <w:textAlignment w:val="auto"/>
              <w:rPr>
                <w:rFonts w:hint="default" w:ascii="宋体" w:hAnsi="宋体" w:eastAsia="宋体"/>
                <w:b w:val="0"/>
                <w:bCs/>
                <w:color w:val="auto"/>
                <w:sz w:val="21"/>
                <w:szCs w:val="21"/>
                <w:highlight w:val="none"/>
              </w:rPr>
            </w:pPr>
            <w:r>
              <w:rPr>
                <w:rFonts w:hint="eastAsia" w:ascii="宋体" w:hAnsi="宋体" w:eastAsia="宋体"/>
                <w:b w:val="0"/>
                <w:bCs/>
                <w:color w:val="auto"/>
                <w:sz w:val="21"/>
                <w:szCs w:val="21"/>
                <w:highlight w:val="none"/>
              </w:rPr>
              <w:t>《工程量清单计价表》</w:t>
            </w:r>
          </w:p>
        </w:tc>
        <w:tc>
          <w:tcPr>
            <w:tcW w:w="722" w:type="dxa"/>
            <w:vAlign w:val="center"/>
          </w:tcPr>
          <w:p w14:paraId="47368B4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67" w:type="dxa"/>
            <w:vAlign w:val="center"/>
          </w:tcPr>
          <w:p w14:paraId="73BAC1D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c>
          <w:tcPr>
            <w:tcW w:w="815" w:type="dxa"/>
            <w:vAlign w:val="center"/>
          </w:tcPr>
          <w:p w14:paraId="476B3BF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 w:val="21"/>
                <w:szCs w:val="21"/>
                <w:highlight w:val="none"/>
              </w:rPr>
            </w:pPr>
          </w:p>
        </w:tc>
      </w:tr>
    </w:tbl>
    <w:p w14:paraId="13108520">
      <w:pPr>
        <w:spacing w:line="360" w:lineRule="auto"/>
        <w:rPr>
          <w:rFonts w:ascii="宋体" w:hAnsi="宋体" w:eastAsia="宋体" w:cs="宋体"/>
          <w:color w:val="auto"/>
          <w:szCs w:val="21"/>
          <w:highlight w:val="none"/>
        </w:rPr>
      </w:pPr>
    </w:p>
    <w:p w14:paraId="16DE0518">
      <w:pPr>
        <w:spacing w:line="360" w:lineRule="auto"/>
        <w:rPr>
          <w:rFonts w:ascii="宋体" w:hAnsi="宋体" w:eastAsia="宋体" w:cs="宋体"/>
          <w:color w:val="auto"/>
          <w:szCs w:val="21"/>
          <w:highlight w:val="none"/>
        </w:rPr>
      </w:pPr>
      <w:r>
        <w:rPr>
          <w:rFonts w:hint="eastAsia" w:ascii="宋体" w:hAnsi="宋体" w:eastAsia="宋体" w:cs="宋体"/>
          <w:color w:val="auto"/>
          <w:szCs w:val="21"/>
          <w:highlight w:val="none"/>
        </w:rPr>
        <w:t>备注：</w:t>
      </w:r>
    </w:p>
    <w:p w14:paraId="3B1D95CD">
      <w:pPr>
        <w:spacing w:line="360" w:lineRule="auto"/>
        <w:ind w:left="605" w:leftChars="18" w:hanging="567" w:hangingChars="270"/>
        <w:rPr>
          <w:rFonts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其中“一、项目概况”除外</w:t>
      </w:r>
      <w:r>
        <w:rPr>
          <w:rFonts w:hint="eastAsia" w:ascii="宋体" w:hAnsi="宋体" w:eastAsia="宋体" w:cs="宋体"/>
          <w:b/>
          <w:color w:val="auto"/>
          <w:szCs w:val="21"/>
          <w:highlight w:val="none"/>
          <w:u w:val="single"/>
          <w:lang w:eastAsia="zh-CN"/>
        </w:rPr>
        <w:t>）</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Times New Roman"/>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4CAC48E5">
      <w:pPr>
        <w:spacing w:line="360" w:lineRule="auto"/>
        <w:ind w:left="605" w:leftChars="18" w:hanging="567" w:hangingChars="270"/>
        <w:rPr>
          <w:rFonts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5CEBCA82">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Times New Roman"/>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Times New Roman"/>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Times New Roman"/>
          <w:b/>
          <w:color w:val="auto"/>
          <w:kern w:val="0"/>
          <w:szCs w:val="21"/>
          <w:highlight w:val="none"/>
          <w:u w:val="single"/>
          <w:lang w:val="en-US" w:eastAsia="zh-CN"/>
        </w:rPr>
        <w:t>服务能力</w:t>
      </w:r>
      <w:r>
        <w:rPr>
          <w:rFonts w:hint="eastAsia" w:ascii="宋体" w:hAnsi="宋体" w:eastAsia="宋体" w:cs="Times New Roman"/>
          <w:b/>
          <w:color w:val="auto"/>
          <w:kern w:val="0"/>
          <w:szCs w:val="21"/>
          <w:highlight w:val="none"/>
          <w:u w:val="single"/>
        </w:rPr>
        <w:t>的技术支持资料作为本表的附件，并在本偏离表“对应证明材料页码”项内注明其在投标文件中的具体页码。</w:t>
      </w:r>
    </w:p>
    <w:p w14:paraId="111D7928">
      <w:pPr>
        <w:spacing w:line="360" w:lineRule="auto"/>
        <w:ind w:left="607" w:leftChars="18" w:hanging="569" w:hangingChars="270"/>
        <w:rPr>
          <w:rFonts w:ascii="宋体" w:hAnsi="宋体" w:eastAsia="宋体" w:cs="Times New Roman"/>
          <w:b/>
          <w:color w:val="auto"/>
          <w:kern w:val="0"/>
          <w:szCs w:val="21"/>
          <w:highlight w:val="none"/>
          <w:u w:val="single"/>
        </w:rPr>
      </w:pPr>
      <w:r>
        <w:rPr>
          <w:rFonts w:hint="eastAsia" w:ascii="宋体" w:hAnsi="宋体" w:eastAsia="宋体" w:cs="宋体"/>
          <w:b/>
          <w:color w:val="auto"/>
          <w:szCs w:val="21"/>
          <w:highlight w:val="none"/>
        </w:rPr>
        <w:t>（4）</w:t>
      </w:r>
      <w:r>
        <w:rPr>
          <w:rFonts w:ascii="宋体" w:hAnsi="宋体" w:eastAsia="宋体" w:cs="Times New Roman"/>
          <w:b/>
          <w:color w:val="auto"/>
          <w:kern w:val="0"/>
          <w:szCs w:val="21"/>
          <w:highlight w:val="none"/>
          <w:u w:val="single"/>
        </w:rPr>
        <w:t>凡标有“</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”的地方均被视为重要的技术指标要求或性能要求。投标</w:t>
      </w:r>
      <w:r>
        <w:rPr>
          <w:rFonts w:hint="eastAsia" w:ascii="宋体" w:hAnsi="宋体" w:eastAsia="宋体" w:cs="Times New Roman"/>
          <w:b/>
          <w:color w:val="auto"/>
          <w:kern w:val="0"/>
          <w:szCs w:val="21"/>
          <w:highlight w:val="none"/>
          <w:u w:val="single"/>
        </w:rPr>
        <w:t>人</w:t>
      </w:r>
      <w:r>
        <w:rPr>
          <w:rFonts w:ascii="宋体" w:hAnsi="宋体" w:eastAsia="宋体" w:cs="Times New Roman"/>
          <w:b/>
          <w:color w:val="auto"/>
          <w:kern w:val="0"/>
          <w:szCs w:val="21"/>
          <w:highlight w:val="none"/>
          <w:u w:val="single"/>
        </w:rPr>
        <w:t>要特别加以注意，必须对此回答并完全满足这些要求</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否则若有一项带“</w:t>
      </w:r>
      <w:r>
        <w:rPr>
          <w:rFonts w:hint="eastAsia" w:ascii="宋体" w:hAnsi="宋体" w:eastAsia="宋体" w:cs="Times New Roman"/>
          <w:b/>
          <w:color w:val="auto"/>
          <w:kern w:val="0"/>
          <w:szCs w:val="21"/>
          <w:highlight w:val="none"/>
          <w:u w:val="single"/>
        </w:rPr>
        <w:t>★</w:t>
      </w:r>
      <w:r>
        <w:rPr>
          <w:rFonts w:ascii="宋体" w:hAnsi="宋体" w:eastAsia="宋体" w:cs="Times New Roman"/>
          <w:b/>
          <w:color w:val="auto"/>
          <w:kern w:val="0"/>
          <w:szCs w:val="21"/>
          <w:highlight w:val="none"/>
          <w:u w:val="single"/>
        </w:rPr>
        <w:t>”的指标未响应或不满足，将按</w:t>
      </w:r>
      <w:r>
        <w:rPr>
          <w:rFonts w:hint="eastAsia" w:ascii="宋体" w:hAnsi="宋体" w:eastAsia="宋体" w:cs="Times New Roman"/>
          <w:b/>
          <w:color w:val="auto"/>
          <w:kern w:val="0"/>
          <w:szCs w:val="21"/>
          <w:highlight w:val="none"/>
          <w:u w:val="single"/>
        </w:rPr>
        <w:t>无效投标</w:t>
      </w:r>
      <w:r>
        <w:rPr>
          <w:rFonts w:ascii="宋体" w:hAnsi="宋体" w:eastAsia="宋体" w:cs="Times New Roman"/>
          <w:b/>
          <w:color w:val="auto"/>
          <w:kern w:val="0"/>
          <w:szCs w:val="21"/>
          <w:highlight w:val="none"/>
          <w:u w:val="single"/>
        </w:rPr>
        <w:t>处</w:t>
      </w:r>
      <w:r>
        <w:rPr>
          <w:rFonts w:ascii="宋体" w:hAnsi="宋体" w:eastAsia="宋体" w:cs="Times New Roman"/>
          <w:b/>
          <w:bCs w:val="0"/>
          <w:color w:val="auto"/>
          <w:kern w:val="0"/>
          <w:szCs w:val="21"/>
          <w:highlight w:val="none"/>
          <w:u w:val="single"/>
        </w:rPr>
        <w:t>理</w:t>
      </w:r>
      <w:r>
        <w:rPr>
          <w:rFonts w:ascii="宋体" w:hAnsi="宋体" w:eastAsia="宋体" w:cs="Times New Roman"/>
          <w:b/>
          <w:bCs w:val="0"/>
          <w:color w:val="auto"/>
          <w:kern w:val="0"/>
          <w:sz w:val="24"/>
          <w:szCs w:val="21"/>
          <w:highlight w:val="none"/>
          <w:u w:val="single"/>
          <w:lang w:val="zh-CN"/>
        </w:rPr>
        <w:t>。</w:t>
      </w:r>
    </w:p>
    <w:p w14:paraId="72FC62B4">
      <w:pPr>
        <w:spacing w:line="360" w:lineRule="auto"/>
        <w:rPr>
          <w:rFonts w:ascii="宋体" w:hAnsi="宋体" w:eastAsia="宋体" w:cs="宋体"/>
          <w:color w:val="auto"/>
          <w:szCs w:val="21"/>
          <w:highlight w:val="none"/>
        </w:rPr>
      </w:pPr>
    </w:p>
    <w:p w14:paraId="7B7FDDE6">
      <w:pPr>
        <w:autoSpaceDE w:val="0"/>
        <w:autoSpaceDN w:val="0"/>
        <w:adjustRightInd w:val="0"/>
        <w:spacing w:line="360" w:lineRule="auto"/>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56914F9E">
      <w:pPr>
        <w:autoSpaceDE w:val="0"/>
        <w:autoSpaceDN w:val="0"/>
        <w:adjustRightInd w:val="0"/>
        <w:ind w:left="15" w:leftChars="-50" w:hanging="120"/>
        <w:jc w:val="left"/>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rPr>
        <w:t xml:space="preserve">  日  期：   年  月  日</w:t>
      </w:r>
    </w:p>
    <w:p w14:paraId="27DE29EC">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872" w:name="_Toc140596942"/>
      <w:bookmarkStart w:id="873" w:name="_Toc102860431"/>
      <w:bookmarkStart w:id="874" w:name="_Toc94107224"/>
      <w:bookmarkStart w:id="875" w:name="_Toc142508382"/>
      <w:bookmarkStart w:id="876" w:name="_Toc104991889"/>
      <w:bookmarkStart w:id="877" w:name="_Toc5046"/>
      <w:bookmarkStart w:id="878" w:name="_Toc23150"/>
      <w:bookmarkStart w:id="879" w:name="_Toc3593"/>
      <w:bookmarkStart w:id="880" w:name="_Toc102860087"/>
      <w:bookmarkStart w:id="881" w:name="_Toc23337"/>
      <w:bookmarkStart w:id="882" w:name="_Toc11621"/>
      <w:bookmarkStart w:id="883" w:name="_Toc14118"/>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w:t>
      </w:r>
      <w:r>
        <w:rPr>
          <w:rFonts w:ascii="宋体" w:hAnsi="宋体" w:eastAsia="宋体" w:cs="宋体"/>
          <w:b/>
          <w:color w:val="auto"/>
          <w:kern w:val="0"/>
          <w:sz w:val="30"/>
          <w:szCs w:val="30"/>
          <w:highlight w:val="none"/>
        </w:rPr>
        <w:t xml:space="preserve"> </w:t>
      </w:r>
      <w:bookmarkEnd w:id="872"/>
      <w:bookmarkEnd w:id="873"/>
      <w:bookmarkEnd w:id="874"/>
      <w:bookmarkEnd w:id="875"/>
      <w:bookmarkEnd w:id="876"/>
      <w:bookmarkEnd w:id="877"/>
      <w:bookmarkEnd w:id="878"/>
      <w:bookmarkEnd w:id="879"/>
      <w:bookmarkEnd w:id="880"/>
      <w:r>
        <w:rPr>
          <w:rFonts w:hint="eastAsia" w:ascii="宋体" w:hAnsi="宋体" w:eastAsia="宋体" w:cs="宋体"/>
          <w:b/>
          <w:color w:val="auto"/>
          <w:kern w:val="0"/>
          <w:sz w:val="30"/>
          <w:szCs w:val="30"/>
          <w:highlight w:val="none"/>
        </w:rPr>
        <w:t>检测方案（投标人自行编写）</w:t>
      </w:r>
      <w:bookmarkEnd w:id="881"/>
      <w:bookmarkEnd w:id="882"/>
      <w:bookmarkEnd w:id="883"/>
    </w:p>
    <w:p w14:paraId="69484E99">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bookmarkStart w:id="884" w:name="_Toc94107225"/>
      <w:r>
        <w:rPr>
          <w:rFonts w:ascii="宋体" w:hAnsi="宋体" w:eastAsia="宋体" w:cs="Times New Roman"/>
          <w:color w:val="auto"/>
          <w:kern w:val="0"/>
          <w:szCs w:val="21"/>
          <w:highlight w:val="none"/>
        </w:rPr>
        <w:br w:type="page"/>
      </w:r>
      <w:bookmarkStart w:id="885" w:name="_Toc15621"/>
      <w:bookmarkStart w:id="886" w:name="_Toc29828"/>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3</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检测设备（投标人自行编写）</w:t>
      </w:r>
      <w:bookmarkEnd w:id="885"/>
      <w:bookmarkEnd w:id="886"/>
    </w:p>
    <w:p w14:paraId="30B82ED5">
      <w:pPr>
        <w:tabs>
          <w:tab w:val="left" w:pos="567"/>
        </w:tabs>
        <w:autoSpaceDE w:val="0"/>
        <w:autoSpaceDN w:val="0"/>
        <w:adjustRightInd w:val="0"/>
        <w:spacing w:line="360" w:lineRule="auto"/>
        <w:jc w:val="left"/>
        <w:outlineLvl w:val="2"/>
        <w:rPr>
          <w:rFonts w:ascii="宋体" w:hAnsi="宋体" w:eastAsia="宋体" w:cs="Times New Roman"/>
          <w:b/>
          <w:color w:val="auto"/>
          <w:kern w:val="0"/>
          <w:sz w:val="30"/>
          <w:szCs w:val="30"/>
          <w:highlight w:val="none"/>
        </w:rPr>
      </w:pPr>
      <w:r>
        <w:rPr>
          <w:rFonts w:ascii="宋体" w:hAnsi="宋体" w:eastAsia="宋体" w:cs="Times New Roman"/>
          <w:color w:val="auto"/>
          <w:kern w:val="0"/>
          <w:szCs w:val="21"/>
          <w:highlight w:val="none"/>
        </w:rPr>
        <w:br w:type="page"/>
      </w:r>
      <w:bookmarkStart w:id="887" w:name="_Toc32624"/>
      <w:bookmarkStart w:id="888" w:name="_Toc24628"/>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4</w:t>
      </w:r>
      <w:r>
        <w:rPr>
          <w:rFonts w:ascii="宋体" w:hAnsi="宋体" w:eastAsia="宋体" w:cs="宋体"/>
          <w:b/>
          <w:color w:val="auto"/>
          <w:kern w:val="0"/>
          <w:sz w:val="30"/>
          <w:szCs w:val="30"/>
          <w:highlight w:val="none"/>
        </w:rPr>
        <w:t xml:space="preserve"> </w:t>
      </w:r>
      <w:r>
        <w:rPr>
          <w:rFonts w:hint="eastAsia" w:ascii="宋体" w:hAnsi="宋体" w:eastAsia="宋体" w:cs="宋体"/>
          <w:b/>
          <w:color w:val="auto"/>
          <w:kern w:val="0"/>
          <w:sz w:val="30"/>
          <w:szCs w:val="30"/>
          <w:highlight w:val="none"/>
        </w:rPr>
        <w:t>检测场所及环境（投标人自行编写）</w:t>
      </w:r>
      <w:bookmarkEnd w:id="887"/>
      <w:bookmarkEnd w:id="888"/>
    </w:p>
    <w:p w14:paraId="44CF02E0">
      <w:pPr>
        <w:widowControl/>
        <w:jc w:val="left"/>
        <w:rPr>
          <w:rFonts w:ascii="宋体" w:hAnsi="宋体" w:eastAsia="宋体" w:cs="Times New Roman"/>
          <w:color w:val="auto"/>
          <w:kern w:val="0"/>
          <w:szCs w:val="21"/>
          <w:highlight w:val="none"/>
        </w:rPr>
      </w:pPr>
    </w:p>
    <w:bookmarkEnd w:id="884"/>
    <w:p w14:paraId="3573F3CB">
      <w:pPr>
        <w:rPr>
          <w:rFonts w:hint="eastAsia" w:ascii="宋体" w:hAnsi="宋体" w:eastAsia="宋体" w:cs="宋体"/>
          <w:b/>
          <w:color w:val="auto"/>
          <w:kern w:val="0"/>
          <w:sz w:val="30"/>
          <w:szCs w:val="30"/>
          <w:highlight w:val="none"/>
          <w:lang w:val="en-US" w:eastAsia="zh-CN"/>
        </w:rPr>
      </w:pPr>
      <w:bookmarkStart w:id="889" w:name="_Toc104991896"/>
      <w:bookmarkStart w:id="890" w:name="_Toc102860438"/>
      <w:bookmarkStart w:id="891" w:name="_Toc102860094"/>
      <w:bookmarkStart w:id="892" w:name="_Toc140596949"/>
      <w:bookmarkStart w:id="893" w:name="_Toc142508389"/>
      <w:bookmarkStart w:id="894" w:name="_Toc533708139"/>
      <w:r>
        <w:rPr>
          <w:rFonts w:hint="eastAsia" w:ascii="宋体" w:hAnsi="宋体" w:eastAsia="宋体" w:cs="宋体"/>
          <w:b/>
          <w:color w:val="auto"/>
          <w:kern w:val="0"/>
          <w:sz w:val="30"/>
          <w:szCs w:val="30"/>
          <w:highlight w:val="none"/>
          <w:lang w:val="en-US" w:eastAsia="zh-CN"/>
        </w:rPr>
        <w:br w:type="page"/>
      </w:r>
    </w:p>
    <w:p w14:paraId="2C93D4DD">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895" w:name="_Toc29247"/>
      <w:bookmarkStart w:id="896" w:name="_Toc26999"/>
      <w:r>
        <w:rPr>
          <w:rFonts w:hint="eastAsia" w:ascii="宋体" w:hAnsi="宋体" w:eastAsia="宋体" w:cs="宋体"/>
          <w:b/>
          <w:color w:val="auto"/>
          <w:kern w:val="0"/>
          <w:sz w:val="30"/>
          <w:szCs w:val="30"/>
          <w:highlight w:val="none"/>
          <w:lang w:val="en-US" w:eastAsia="zh-CN"/>
        </w:rPr>
        <w:t xml:space="preserve">14.5 </w:t>
      </w:r>
      <w:r>
        <w:rPr>
          <w:rFonts w:hint="eastAsia" w:ascii="宋体" w:hAnsi="宋体" w:eastAsia="宋体" w:cs="宋体"/>
          <w:b/>
          <w:color w:val="auto"/>
          <w:kern w:val="0"/>
          <w:sz w:val="30"/>
          <w:szCs w:val="30"/>
          <w:highlight w:val="none"/>
        </w:rPr>
        <w:t>检测成果准确性承诺书格式</w:t>
      </w:r>
      <w:bookmarkEnd w:id="895"/>
      <w:bookmarkEnd w:id="896"/>
    </w:p>
    <w:p w14:paraId="477B02D9">
      <w:pPr>
        <w:rPr>
          <w:rFonts w:ascii="宋体" w:hAnsi="宋体" w:eastAsia="宋体" w:cs="宋体"/>
          <w:b/>
          <w:color w:val="auto"/>
          <w:kern w:val="0"/>
          <w:sz w:val="30"/>
          <w:szCs w:val="30"/>
          <w:highlight w:val="none"/>
        </w:rPr>
      </w:pPr>
    </w:p>
    <w:p w14:paraId="3347058F">
      <w:pPr>
        <w:widowControl/>
        <w:wordWrap/>
        <w:adjustRightInd/>
        <w:snapToGrid/>
        <w:spacing w:line="360" w:lineRule="auto"/>
        <w:ind w:left="0" w:leftChars="0" w:right="0" w:firstLine="0" w:firstLineChars="0"/>
        <w:jc w:val="center"/>
        <w:textAlignment w:val="auto"/>
        <w:outlineLvl w:val="9"/>
        <w:rPr>
          <w:rFonts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检测成果准确性承诺书</w:t>
      </w:r>
    </w:p>
    <w:tbl>
      <w:tblPr>
        <w:tblStyle w:val="36"/>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5"/>
        <w:gridCol w:w="3663"/>
      </w:tblGrid>
      <w:tr w14:paraId="14B46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705" w:type="dxa"/>
            <w:vAlign w:val="center"/>
          </w:tcPr>
          <w:p w14:paraId="0D6CF745">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承诺事项</w:t>
            </w:r>
          </w:p>
        </w:tc>
        <w:tc>
          <w:tcPr>
            <w:tcW w:w="3663" w:type="dxa"/>
            <w:vAlign w:val="center"/>
          </w:tcPr>
          <w:p w14:paraId="7A3398D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错误点数</w:t>
            </w:r>
          </w:p>
        </w:tc>
      </w:tr>
      <w:tr w14:paraId="3F96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705" w:type="dxa"/>
            <w:vAlign w:val="center"/>
          </w:tcPr>
          <w:p w14:paraId="2A34F3FA">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所有检测成果按实检测</w:t>
            </w:r>
          </w:p>
        </w:tc>
        <w:tc>
          <w:tcPr>
            <w:tcW w:w="3663" w:type="dxa"/>
            <w:vAlign w:val="center"/>
          </w:tcPr>
          <w:p w14:paraId="3157B7D3">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u w:val="single"/>
                <w:shd w:val="clear" w:color="auto" w:fill="FFFFFF"/>
              </w:rPr>
              <w:t xml:space="preserve">   </w:t>
            </w:r>
            <w:r>
              <w:rPr>
                <w:rFonts w:hint="eastAsia" w:ascii="宋体" w:hAnsi="宋体" w:eastAsia="宋体" w:cs="宋体"/>
                <w:color w:val="auto"/>
                <w:szCs w:val="21"/>
                <w:highlight w:val="none"/>
                <w:shd w:val="clear" w:color="auto" w:fill="FFFFFF"/>
              </w:rPr>
              <w:t>个</w:t>
            </w:r>
            <w:r>
              <w:rPr>
                <w:rFonts w:hint="eastAsia" w:ascii="宋体" w:hAnsi="宋体" w:eastAsia="宋体" w:cs="宋体"/>
                <w:color w:val="auto"/>
                <w:szCs w:val="21"/>
                <w:highlight w:val="none"/>
              </w:rPr>
              <w:t>（含）</w:t>
            </w:r>
            <w:r>
              <w:rPr>
                <w:rFonts w:hint="eastAsia" w:ascii="宋体" w:hAnsi="宋体" w:eastAsia="宋体" w:cs="宋体"/>
                <w:color w:val="auto"/>
                <w:szCs w:val="21"/>
                <w:highlight w:val="none"/>
                <w:shd w:val="clear" w:color="auto" w:fill="FFFFFF"/>
              </w:rPr>
              <w:t>以内</w:t>
            </w:r>
          </w:p>
        </w:tc>
      </w:tr>
    </w:tbl>
    <w:p w14:paraId="36C42193">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7C8AC594">
      <w:pPr>
        <w:spacing w:line="360" w:lineRule="auto"/>
        <w:rPr>
          <w:rFonts w:ascii="宋体" w:hAnsi="宋体" w:eastAsia="宋体" w:cs="宋体"/>
          <w:color w:val="auto"/>
          <w:highlight w:val="none"/>
        </w:rPr>
      </w:pPr>
    </w:p>
    <w:p w14:paraId="4600CFAA">
      <w:pPr>
        <w:spacing w:line="360" w:lineRule="auto"/>
        <w:rPr>
          <w:rFonts w:ascii="宋体" w:hAnsi="宋体" w:eastAsia="宋体" w:cs="宋体"/>
          <w:color w:val="auto"/>
          <w:highlight w:val="none"/>
        </w:rPr>
      </w:pPr>
    </w:p>
    <w:p w14:paraId="0F26D3EF">
      <w:pPr>
        <w:spacing w:line="360" w:lineRule="auto"/>
        <w:ind w:firstLine="5040"/>
        <w:rPr>
          <w:rFonts w:ascii="宋体" w:hAnsi="宋体" w:eastAsia="宋体" w:cs="宋体"/>
          <w:color w:val="auto"/>
          <w:highlight w:val="none"/>
          <w:lang w:val="zh-CN"/>
        </w:rPr>
      </w:pPr>
      <w:r>
        <w:rPr>
          <w:rFonts w:hint="eastAsia" w:ascii="宋体" w:hAnsi="宋体" w:eastAsia="宋体" w:cs="宋体"/>
          <w:color w:val="auto"/>
          <w:highlight w:val="none"/>
          <w:lang w:val="zh-CN"/>
        </w:rPr>
        <w:t>投标人：（加盖投标人法人公章）</w:t>
      </w:r>
    </w:p>
    <w:p w14:paraId="769333D1">
      <w:pPr>
        <w:spacing w:line="360" w:lineRule="auto"/>
        <w:ind w:firstLine="5040"/>
        <w:rPr>
          <w:rFonts w:ascii="宋体" w:hAnsi="宋体" w:eastAsia="宋体" w:cs="宋体"/>
          <w:color w:val="auto"/>
          <w:highlight w:val="none"/>
        </w:rPr>
      </w:pPr>
      <w:r>
        <w:rPr>
          <w:rFonts w:hint="eastAsia" w:ascii="宋体" w:hAnsi="宋体" w:eastAsia="宋体" w:cs="宋体"/>
          <w:color w:val="auto"/>
          <w:highlight w:val="none"/>
          <w:lang w:val="zh-CN"/>
        </w:rPr>
        <w:t>日期：   年   月   日</w:t>
      </w:r>
    </w:p>
    <w:p w14:paraId="43EDFE42">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0ADBB965">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897" w:name="_Toc465"/>
      <w:bookmarkStart w:id="898" w:name="_Toc426"/>
      <w:r>
        <w:rPr>
          <w:rFonts w:hint="eastAsia" w:ascii="宋体" w:hAnsi="宋体" w:eastAsia="宋体" w:cs="宋体"/>
          <w:b/>
          <w:color w:val="auto"/>
          <w:kern w:val="0"/>
          <w:sz w:val="30"/>
          <w:szCs w:val="30"/>
          <w:highlight w:val="none"/>
          <w:lang w:val="en-US" w:eastAsia="zh-CN"/>
        </w:rPr>
        <w:t xml:space="preserve">14.6 </w:t>
      </w:r>
      <w:r>
        <w:rPr>
          <w:rFonts w:hint="eastAsia" w:ascii="宋体" w:hAnsi="宋体" w:eastAsia="宋体" w:cs="宋体"/>
          <w:b/>
          <w:color w:val="auto"/>
          <w:kern w:val="0"/>
          <w:sz w:val="30"/>
          <w:szCs w:val="30"/>
          <w:highlight w:val="none"/>
        </w:rPr>
        <w:t>服务响应时间承诺书格式</w:t>
      </w:r>
      <w:bookmarkEnd w:id="897"/>
      <w:bookmarkEnd w:id="898"/>
    </w:p>
    <w:p w14:paraId="4313A5AB">
      <w:pPr>
        <w:spacing w:line="360" w:lineRule="auto"/>
        <w:rPr>
          <w:color w:val="auto"/>
          <w:highlight w:val="none"/>
        </w:rPr>
      </w:pPr>
    </w:p>
    <w:p w14:paraId="7697F9FB">
      <w:pPr>
        <w:widowControl/>
        <w:spacing w:line="360" w:lineRule="auto"/>
        <w:jc w:val="center"/>
        <w:rPr>
          <w:rFonts w:ascii="宋体" w:hAnsi="宋体" w:eastAsia="宋体" w:cs="宋体"/>
          <w:b/>
          <w:bCs/>
          <w:color w:val="auto"/>
          <w:sz w:val="30"/>
          <w:szCs w:val="30"/>
          <w:highlight w:val="none"/>
          <w:lang w:val="zh-CN"/>
        </w:rPr>
      </w:pPr>
      <w:r>
        <w:rPr>
          <w:rFonts w:hint="eastAsia" w:ascii="宋体" w:hAnsi="宋体" w:eastAsia="宋体" w:cs="宋体"/>
          <w:b/>
          <w:color w:val="auto"/>
          <w:sz w:val="32"/>
          <w:szCs w:val="32"/>
          <w:highlight w:val="none"/>
        </w:rPr>
        <w:t>服务响应时间承诺书</w:t>
      </w:r>
    </w:p>
    <w:tbl>
      <w:tblPr>
        <w:tblStyle w:val="36"/>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3"/>
        <w:gridCol w:w="3505"/>
      </w:tblGrid>
      <w:tr w14:paraId="0FE7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863" w:type="dxa"/>
            <w:vAlign w:val="center"/>
          </w:tcPr>
          <w:p w14:paraId="0841C0A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承诺事项</w:t>
            </w:r>
          </w:p>
        </w:tc>
        <w:tc>
          <w:tcPr>
            <w:tcW w:w="3505" w:type="dxa"/>
            <w:vAlign w:val="center"/>
          </w:tcPr>
          <w:p w14:paraId="72BDA2D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承诺时间</w:t>
            </w:r>
          </w:p>
        </w:tc>
      </w:tr>
      <w:tr w14:paraId="7D901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6863" w:type="dxa"/>
            <w:vAlign w:val="center"/>
          </w:tcPr>
          <w:p w14:paraId="7D5AAC60">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rPr>
              <w:t>接到招标人电话通知后机械设备、人员进场服务</w:t>
            </w:r>
          </w:p>
        </w:tc>
        <w:tc>
          <w:tcPr>
            <w:tcW w:w="3505" w:type="dxa"/>
            <w:vAlign w:val="center"/>
          </w:tcPr>
          <w:p w14:paraId="585C1EA9">
            <w:pPr>
              <w:keepNext w:val="0"/>
              <w:keepLines w:val="0"/>
              <w:suppressLineNumbers w:val="0"/>
              <w:spacing w:before="0" w:beforeAutospacing="0" w:after="0" w:afterAutospacing="0"/>
              <w:ind w:left="0" w:right="0"/>
              <w:jc w:val="center"/>
              <w:rPr>
                <w:rFonts w:hint="default"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小时（含）内</w:t>
            </w:r>
          </w:p>
        </w:tc>
      </w:tr>
    </w:tbl>
    <w:p w14:paraId="57CA926A">
      <w:pPr>
        <w:spacing w:line="360" w:lineRule="auto"/>
        <w:ind w:firstLine="420" w:firstLineChars="200"/>
        <w:rPr>
          <w:rFonts w:ascii="宋体" w:hAnsi="宋体" w:eastAsia="宋体" w:cs="宋体"/>
          <w:color w:val="auto"/>
          <w:szCs w:val="21"/>
          <w:highlight w:val="none"/>
        </w:rPr>
      </w:pPr>
      <w:r>
        <w:rPr>
          <w:rFonts w:hint="eastAsia" w:ascii="宋体" w:hAnsi="宋体" w:eastAsia="宋体" w:cs="宋体"/>
          <w:color w:val="auto"/>
          <w:szCs w:val="21"/>
          <w:highlight w:val="none"/>
        </w:rPr>
        <w:t>备注：对于本承诺，如中标人后期未能做到，视为同意将其行为予以公示，且招标人有权将中标人纳入东莞市水务集团有限公司（含其全资子公司、控股公司、由其管理的参股公司）招标、采购、征集供应商或合作方采购“黑名单”中。</w:t>
      </w:r>
    </w:p>
    <w:p w14:paraId="257DF439">
      <w:pPr>
        <w:spacing w:line="360" w:lineRule="auto"/>
        <w:rPr>
          <w:rFonts w:ascii="宋体" w:hAnsi="宋体" w:eastAsia="宋体" w:cs="宋体"/>
          <w:color w:val="auto"/>
          <w:highlight w:val="none"/>
        </w:rPr>
      </w:pPr>
    </w:p>
    <w:p w14:paraId="3042FF06">
      <w:pPr>
        <w:spacing w:line="360" w:lineRule="auto"/>
        <w:rPr>
          <w:rFonts w:ascii="宋体" w:hAnsi="宋体" w:eastAsia="宋体" w:cs="宋体"/>
          <w:color w:val="auto"/>
          <w:highlight w:val="none"/>
        </w:rPr>
      </w:pPr>
    </w:p>
    <w:p w14:paraId="0B4F027E">
      <w:pPr>
        <w:spacing w:line="360" w:lineRule="auto"/>
        <w:ind w:firstLine="5040"/>
        <w:rPr>
          <w:rFonts w:ascii="宋体" w:hAnsi="宋体" w:eastAsia="宋体" w:cs="宋体"/>
          <w:color w:val="auto"/>
          <w:highlight w:val="none"/>
          <w:lang w:val="zh-CN"/>
        </w:rPr>
      </w:pPr>
      <w:r>
        <w:rPr>
          <w:rFonts w:hint="eastAsia" w:ascii="宋体" w:hAnsi="宋体" w:eastAsia="宋体" w:cs="宋体"/>
          <w:color w:val="auto"/>
          <w:highlight w:val="none"/>
          <w:lang w:val="zh-CN"/>
        </w:rPr>
        <w:t>投标人：（加盖投标人法人公章）</w:t>
      </w:r>
    </w:p>
    <w:p w14:paraId="477DBB72">
      <w:pPr>
        <w:spacing w:line="360" w:lineRule="auto"/>
        <w:ind w:firstLine="5040"/>
        <w:rPr>
          <w:rFonts w:ascii="宋体" w:hAnsi="宋体" w:eastAsia="宋体" w:cs="宋体"/>
          <w:color w:val="auto"/>
          <w:highlight w:val="none"/>
        </w:rPr>
      </w:pPr>
      <w:r>
        <w:rPr>
          <w:rFonts w:hint="eastAsia" w:ascii="宋体" w:hAnsi="宋体" w:eastAsia="宋体" w:cs="宋体"/>
          <w:color w:val="auto"/>
          <w:highlight w:val="none"/>
          <w:lang w:val="zh-CN"/>
        </w:rPr>
        <w:t>日期：   年   月   日</w:t>
      </w:r>
    </w:p>
    <w:p w14:paraId="77BE50A7">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126F1B7F">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899" w:name="_Toc30545"/>
      <w:bookmarkStart w:id="900" w:name="_Toc18870"/>
      <w:bookmarkStart w:id="901" w:name="_Toc3750"/>
      <w:bookmarkStart w:id="902" w:name="_Toc18180"/>
      <w:bookmarkStart w:id="903" w:name="_Toc6281"/>
      <w:bookmarkStart w:id="904" w:name="_Toc4686"/>
      <w:r>
        <w:rPr>
          <w:rFonts w:hint="eastAsia" w:ascii="宋体" w:hAnsi="宋体" w:eastAsia="宋体" w:cs="宋体"/>
          <w:b/>
          <w:color w:val="auto"/>
          <w:kern w:val="0"/>
          <w:sz w:val="30"/>
          <w:szCs w:val="30"/>
          <w:highlight w:val="none"/>
          <w:lang w:val="en-US" w:eastAsia="zh-CN"/>
        </w:rPr>
        <w:t xml:space="preserve">14.7 </w:t>
      </w:r>
      <w:r>
        <w:rPr>
          <w:rFonts w:hint="eastAsia" w:ascii="宋体" w:hAnsi="宋体" w:eastAsia="宋体" w:cs="宋体"/>
          <w:b/>
          <w:color w:val="auto"/>
          <w:kern w:val="0"/>
          <w:sz w:val="30"/>
          <w:szCs w:val="30"/>
          <w:highlight w:val="none"/>
        </w:rPr>
        <w:t>投标人认为有必要提供的其它材料（不做强制要求）</w:t>
      </w:r>
      <w:bookmarkEnd w:id="889"/>
      <w:bookmarkEnd w:id="890"/>
      <w:bookmarkEnd w:id="891"/>
      <w:bookmarkEnd w:id="892"/>
      <w:bookmarkEnd w:id="893"/>
      <w:bookmarkEnd w:id="899"/>
      <w:bookmarkEnd w:id="900"/>
      <w:bookmarkEnd w:id="901"/>
      <w:bookmarkEnd w:id="902"/>
      <w:bookmarkEnd w:id="903"/>
      <w:bookmarkEnd w:id="904"/>
    </w:p>
    <w:p w14:paraId="7C5BEAD3">
      <w:pPr>
        <w:autoSpaceDE w:val="0"/>
        <w:autoSpaceDN w:val="0"/>
        <w:adjustRightInd w:val="0"/>
        <w:jc w:val="left"/>
        <w:rPr>
          <w:rFonts w:ascii="宋体" w:hAnsi="宋体" w:eastAsia="宋体" w:cs="Times New Roman"/>
          <w:color w:val="auto"/>
          <w:kern w:val="0"/>
          <w:sz w:val="24"/>
          <w:szCs w:val="24"/>
          <w:highlight w:val="none"/>
        </w:rPr>
      </w:pPr>
    </w:p>
    <w:p w14:paraId="08303E21">
      <w:pPr>
        <w:autoSpaceDE w:val="0"/>
        <w:autoSpaceDN w:val="0"/>
        <w:adjustRightInd w:val="0"/>
        <w:jc w:val="left"/>
        <w:rPr>
          <w:rFonts w:ascii="宋体" w:hAnsi="宋体" w:eastAsia="宋体" w:cs="Times New Roman"/>
          <w:color w:val="auto"/>
          <w:kern w:val="0"/>
          <w:sz w:val="24"/>
          <w:szCs w:val="24"/>
          <w:highlight w:val="none"/>
        </w:rPr>
      </w:pPr>
    </w:p>
    <w:p w14:paraId="79DC4124">
      <w:pPr>
        <w:autoSpaceDE w:val="0"/>
        <w:autoSpaceDN w:val="0"/>
        <w:adjustRightInd w:val="0"/>
        <w:jc w:val="left"/>
        <w:rPr>
          <w:rFonts w:ascii="宋体" w:hAnsi="宋体" w:eastAsia="宋体" w:cs="Times New Roman"/>
          <w:color w:val="auto"/>
          <w:kern w:val="0"/>
          <w:sz w:val="24"/>
          <w:szCs w:val="24"/>
          <w:highlight w:val="none"/>
        </w:rPr>
      </w:pPr>
    </w:p>
    <w:p w14:paraId="3504D64D">
      <w:pPr>
        <w:autoSpaceDE w:val="0"/>
        <w:autoSpaceDN w:val="0"/>
        <w:adjustRightInd w:val="0"/>
        <w:jc w:val="left"/>
        <w:rPr>
          <w:rFonts w:ascii="宋体" w:hAnsi="宋体" w:eastAsia="宋体" w:cs="Times New Roman"/>
          <w:color w:val="auto"/>
          <w:kern w:val="0"/>
          <w:sz w:val="24"/>
          <w:szCs w:val="24"/>
          <w:highlight w:val="none"/>
        </w:rPr>
      </w:pPr>
    </w:p>
    <w:p w14:paraId="7BF060EE">
      <w:pPr>
        <w:autoSpaceDE w:val="0"/>
        <w:autoSpaceDN w:val="0"/>
        <w:adjustRightInd w:val="0"/>
        <w:jc w:val="left"/>
        <w:rPr>
          <w:rFonts w:ascii="宋体" w:hAnsi="宋体" w:eastAsia="宋体" w:cs="Times New Roman"/>
          <w:color w:val="auto"/>
          <w:kern w:val="0"/>
          <w:sz w:val="24"/>
          <w:szCs w:val="24"/>
          <w:highlight w:val="none"/>
        </w:rPr>
      </w:pPr>
    </w:p>
    <w:p w14:paraId="141C7DD4">
      <w:pPr>
        <w:autoSpaceDE w:val="0"/>
        <w:autoSpaceDN w:val="0"/>
        <w:adjustRightInd w:val="0"/>
        <w:jc w:val="left"/>
        <w:rPr>
          <w:rFonts w:ascii="宋体" w:hAnsi="宋体" w:eastAsia="宋体" w:cs="Times New Roman"/>
          <w:color w:val="auto"/>
          <w:kern w:val="0"/>
          <w:sz w:val="24"/>
          <w:szCs w:val="24"/>
          <w:highlight w:val="none"/>
        </w:rPr>
      </w:pPr>
    </w:p>
    <w:p w14:paraId="4AED5EA3">
      <w:pPr>
        <w:widowControl/>
        <w:jc w:val="left"/>
        <w:rPr>
          <w:rFonts w:ascii="宋体" w:hAnsi="宋体" w:eastAsia="宋体" w:cs="Times New Roman"/>
          <w:color w:val="auto"/>
          <w:kern w:val="0"/>
          <w:sz w:val="24"/>
          <w:szCs w:val="24"/>
          <w:highlight w:val="none"/>
        </w:rPr>
      </w:pPr>
      <w:r>
        <w:rPr>
          <w:rFonts w:ascii="宋体" w:hAnsi="宋体" w:eastAsia="宋体" w:cs="Times New Roman"/>
          <w:color w:val="auto"/>
          <w:kern w:val="0"/>
          <w:sz w:val="24"/>
          <w:szCs w:val="24"/>
          <w:highlight w:val="none"/>
        </w:rPr>
        <w:br w:type="page"/>
      </w:r>
    </w:p>
    <w:p w14:paraId="727D5781">
      <w:pPr>
        <w:autoSpaceDE w:val="0"/>
        <w:autoSpaceDN w:val="0"/>
        <w:adjustRightInd w:val="0"/>
        <w:jc w:val="left"/>
        <w:rPr>
          <w:rFonts w:ascii="宋体" w:hAnsi="宋体" w:eastAsia="宋体" w:cs="Times New Roman"/>
          <w:color w:val="auto"/>
          <w:kern w:val="0"/>
          <w:sz w:val="24"/>
          <w:szCs w:val="24"/>
          <w:highlight w:val="none"/>
        </w:rPr>
      </w:pPr>
    </w:p>
    <w:p w14:paraId="5539872A">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highlight w:val="none"/>
          <w:lang w:val="zh-CN"/>
        </w:rPr>
      </w:pPr>
      <w:bookmarkStart w:id="905" w:name="_Toc142508390"/>
      <w:bookmarkStart w:id="906" w:name="_Toc30548"/>
      <w:bookmarkStart w:id="907" w:name="_Toc21059"/>
      <w:bookmarkStart w:id="908" w:name="_Toc14977"/>
      <w:bookmarkStart w:id="909" w:name="_Toc32664"/>
      <w:bookmarkStart w:id="910" w:name="_Toc19400"/>
      <w:bookmarkStart w:id="911" w:name="_Toc13594"/>
      <w:bookmarkStart w:id="912" w:name="_Toc22601_WPSOffice_Level1"/>
      <w:bookmarkStart w:id="913" w:name="_Toc521918141"/>
      <w:bookmarkStart w:id="914" w:name="_Toc522047402"/>
      <w:r>
        <w:rPr>
          <w:rFonts w:hint="eastAsia" w:ascii="宋体" w:hAnsi="宋体" w:eastAsia="宋体" w:cs="宋体"/>
          <w:b/>
          <w:bCs/>
          <w:color w:val="auto"/>
          <w:kern w:val="44"/>
          <w:sz w:val="32"/>
          <w:szCs w:val="32"/>
          <w:highlight w:val="none"/>
          <w:lang w:val="zh-CN"/>
        </w:rPr>
        <w:t>附件一：评标工作大纲</w:t>
      </w:r>
      <w:bookmarkEnd w:id="905"/>
      <w:bookmarkEnd w:id="906"/>
      <w:bookmarkEnd w:id="907"/>
      <w:bookmarkEnd w:id="908"/>
      <w:bookmarkEnd w:id="909"/>
      <w:bookmarkEnd w:id="910"/>
      <w:bookmarkEnd w:id="911"/>
    </w:p>
    <w:p w14:paraId="33575723">
      <w:pPr>
        <w:autoSpaceDE w:val="0"/>
        <w:autoSpaceDN w:val="0"/>
        <w:adjustRightInd w:val="0"/>
        <w:spacing w:line="400" w:lineRule="atLeast"/>
        <w:jc w:val="center"/>
        <w:rPr>
          <w:rFonts w:ascii="宋体" w:hAnsi="宋体" w:eastAsia="宋体" w:cs="宋体"/>
          <w:b/>
          <w:bCs/>
          <w:color w:val="auto"/>
          <w:szCs w:val="21"/>
          <w:highlight w:val="none"/>
        </w:rPr>
      </w:pPr>
    </w:p>
    <w:p w14:paraId="6B8816DA">
      <w:pPr>
        <w:autoSpaceDE w:val="0"/>
        <w:autoSpaceDN w:val="0"/>
        <w:adjustRightInd w:val="0"/>
        <w:spacing w:line="400" w:lineRule="atLeast"/>
        <w:jc w:val="center"/>
        <w:rPr>
          <w:rFonts w:ascii="宋体" w:hAnsi="宋体" w:eastAsia="宋体" w:cs="宋体"/>
          <w:b/>
          <w:bCs/>
          <w:color w:val="auto"/>
          <w:szCs w:val="21"/>
          <w:highlight w:val="none"/>
        </w:rPr>
      </w:pPr>
    </w:p>
    <w:p w14:paraId="2355C73C">
      <w:pPr>
        <w:autoSpaceDE w:val="0"/>
        <w:autoSpaceDN w:val="0"/>
        <w:adjustRightInd w:val="0"/>
        <w:spacing w:line="400" w:lineRule="atLeast"/>
        <w:jc w:val="center"/>
        <w:rPr>
          <w:rFonts w:ascii="宋体" w:hAnsi="宋体" w:eastAsia="宋体" w:cs="宋体"/>
          <w:b/>
          <w:bCs/>
          <w:color w:val="auto"/>
          <w:szCs w:val="21"/>
          <w:highlight w:val="none"/>
        </w:rPr>
      </w:pPr>
    </w:p>
    <w:p w14:paraId="23ED95AF">
      <w:pPr>
        <w:autoSpaceDE w:val="0"/>
        <w:autoSpaceDN w:val="0"/>
        <w:adjustRightInd w:val="0"/>
        <w:spacing w:line="400" w:lineRule="atLeast"/>
        <w:jc w:val="center"/>
        <w:rPr>
          <w:rFonts w:ascii="宋体" w:hAnsi="宋体" w:eastAsia="宋体" w:cs="宋体"/>
          <w:b/>
          <w:bCs/>
          <w:color w:val="auto"/>
          <w:szCs w:val="21"/>
          <w:highlight w:val="none"/>
        </w:rPr>
      </w:pPr>
    </w:p>
    <w:p w14:paraId="0E7950B2">
      <w:pPr>
        <w:autoSpaceDE w:val="0"/>
        <w:autoSpaceDN w:val="0"/>
        <w:adjustRightInd w:val="0"/>
        <w:spacing w:line="360" w:lineRule="auto"/>
        <w:jc w:val="center"/>
        <w:rPr>
          <w:rFonts w:hint="eastAsia" w:ascii="宋体" w:hAnsi="宋体" w:eastAsia="宋体" w:cs="宋体"/>
          <w:b/>
          <w:bCs/>
          <w:color w:val="auto"/>
          <w:sz w:val="36"/>
          <w:szCs w:val="44"/>
          <w:highlight w:val="none"/>
          <w:lang w:eastAsia="zh-CN"/>
        </w:rPr>
      </w:pPr>
      <w:r>
        <w:rPr>
          <w:rFonts w:hint="eastAsia" w:ascii="宋体" w:hAnsi="宋体" w:eastAsia="宋体" w:cs="宋体"/>
          <w:b/>
          <w:bCs/>
          <w:color w:val="auto"/>
          <w:sz w:val="40"/>
          <w:szCs w:val="36"/>
          <w:highlight w:val="none"/>
          <w:lang w:eastAsia="zh-CN"/>
        </w:rPr>
        <w:t>珠三角水资源配置工程东莞配套芦花坑水厂一期配水管线工程-B标段第三方检测服务采购项目</w:t>
      </w:r>
    </w:p>
    <w:p w14:paraId="44891699">
      <w:pPr>
        <w:autoSpaceDE w:val="0"/>
        <w:autoSpaceDN w:val="0"/>
        <w:adjustRightInd w:val="0"/>
        <w:spacing w:line="360" w:lineRule="auto"/>
        <w:jc w:val="center"/>
        <w:rPr>
          <w:rFonts w:ascii="宋体" w:hAnsi="宋体" w:eastAsia="宋体" w:cs="宋体"/>
          <w:b/>
          <w:bCs/>
          <w:color w:val="auto"/>
          <w:sz w:val="36"/>
          <w:szCs w:val="36"/>
          <w:highlight w:val="none"/>
        </w:rPr>
      </w:pPr>
      <w:bookmarkStart w:id="915" w:name="_Toc14752_WPSOffice_Level1"/>
      <w:r>
        <w:rPr>
          <w:rFonts w:hint="eastAsia" w:ascii="宋体" w:hAnsi="宋体" w:eastAsia="宋体" w:cs="宋体"/>
          <w:b/>
          <w:bCs/>
          <w:color w:val="auto"/>
          <w:sz w:val="36"/>
          <w:szCs w:val="36"/>
          <w:highlight w:val="none"/>
          <w:lang w:val="zh-CN"/>
        </w:rPr>
        <w:t>（招标编号：DGDS2025-002）</w:t>
      </w:r>
      <w:bookmarkEnd w:id="915"/>
    </w:p>
    <w:p w14:paraId="5612AF0A">
      <w:pPr>
        <w:autoSpaceDE w:val="0"/>
        <w:autoSpaceDN w:val="0"/>
        <w:adjustRightInd w:val="0"/>
        <w:spacing w:line="400" w:lineRule="atLeast"/>
        <w:jc w:val="center"/>
        <w:rPr>
          <w:rFonts w:ascii="宋体" w:hAnsi="宋体" w:eastAsia="宋体" w:cs="宋体"/>
          <w:b/>
          <w:bCs/>
          <w:color w:val="auto"/>
          <w:sz w:val="36"/>
          <w:szCs w:val="36"/>
          <w:highlight w:val="none"/>
        </w:rPr>
      </w:pPr>
    </w:p>
    <w:p w14:paraId="5A7A58DC">
      <w:pPr>
        <w:autoSpaceDE w:val="0"/>
        <w:autoSpaceDN w:val="0"/>
        <w:adjustRightInd w:val="0"/>
        <w:spacing w:line="400" w:lineRule="atLeast"/>
        <w:jc w:val="center"/>
        <w:rPr>
          <w:rFonts w:ascii="宋体" w:hAnsi="宋体" w:eastAsia="宋体" w:cs="宋体"/>
          <w:b/>
          <w:bCs/>
          <w:color w:val="auto"/>
          <w:sz w:val="36"/>
          <w:szCs w:val="36"/>
          <w:highlight w:val="none"/>
        </w:rPr>
      </w:pPr>
    </w:p>
    <w:p w14:paraId="2615EAA0">
      <w:pPr>
        <w:autoSpaceDE w:val="0"/>
        <w:autoSpaceDN w:val="0"/>
        <w:adjustRightInd w:val="0"/>
        <w:spacing w:line="400" w:lineRule="atLeast"/>
        <w:jc w:val="center"/>
        <w:rPr>
          <w:rFonts w:ascii="宋体" w:hAnsi="宋体" w:eastAsia="宋体" w:cs="宋体"/>
          <w:b/>
          <w:bCs/>
          <w:color w:val="auto"/>
          <w:sz w:val="36"/>
          <w:szCs w:val="36"/>
          <w:highlight w:val="none"/>
        </w:rPr>
      </w:pPr>
    </w:p>
    <w:p w14:paraId="4B6F1F48">
      <w:pPr>
        <w:autoSpaceDE w:val="0"/>
        <w:autoSpaceDN w:val="0"/>
        <w:adjustRightInd w:val="0"/>
        <w:spacing w:line="400" w:lineRule="atLeast"/>
        <w:jc w:val="center"/>
        <w:rPr>
          <w:rFonts w:ascii="宋体" w:hAnsi="宋体" w:eastAsia="宋体" w:cs="宋体"/>
          <w:b/>
          <w:bCs/>
          <w:color w:val="auto"/>
          <w:sz w:val="36"/>
          <w:szCs w:val="36"/>
          <w:highlight w:val="none"/>
        </w:rPr>
      </w:pPr>
    </w:p>
    <w:p w14:paraId="00D00CDE">
      <w:pPr>
        <w:autoSpaceDE w:val="0"/>
        <w:autoSpaceDN w:val="0"/>
        <w:adjustRightInd w:val="0"/>
        <w:spacing w:line="400" w:lineRule="atLeast"/>
        <w:jc w:val="center"/>
        <w:rPr>
          <w:rFonts w:ascii="宋体" w:hAnsi="宋体" w:eastAsia="宋体" w:cs="宋体"/>
          <w:b/>
          <w:bCs/>
          <w:color w:val="auto"/>
          <w:sz w:val="72"/>
          <w:szCs w:val="72"/>
          <w:highlight w:val="none"/>
          <w:lang w:val="zh-CN"/>
        </w:rPr>
      </w:pPr>
      <w:bookmarkStart w:id="916" w:name="_Toc18947_WPSOffice_Level2"/>
      <w:r>
        <w:rPr>
          <w:rFonts w:hint="eastAsia" w:ascii="宋体" w:hAnsi="宋体" w:eastAsia="宋体" w:cs="宋体"/>
          <w:b/>
          <w:bCs/>
          <w:color w:val="auto"/>
          <w:sz w:val="72"/>
          <w:szCs w:val="72"/>
          <w:highlight w:val="none"/>
          <w:lang w:val="zh-CN"/>
        </w:rPr>
        <w:t>评标工作大纲</w:t>
      </w:r>
      <w:bookmarkEnd w:id="916"/>
    </w:p>
    <w:p w14:paraId="3F96D641">
      <w:pPr>
        <w:autoSpaceDE w:val="0"/>
        <w:autoSpaceDN w:val="0"/>
        <w:adjustRightInd w:val="0"/>
        <w:spacing w:line="400" w:lineRule="atLeast"/>
        <w:jc w:val="center"/>
        <w:rPr>
          <w:rFonts w:ascii="宋体" w:hAnsi="宋体" w:eastAsia="宋体" w:cs="宋体"/>
          <w:b/>
          <w:bCs/>
          <w:color w:val="auto"/>
          <w:sz w:val="36"/>
          <w:szCs w:val="36"/>
          <w:highlight w:val="none"/>
        </w:rPr>
      </w:pPr>
    </w:p>
    <w:p w14:paraId="2F8E39AE">
      <w:pPr>
        <w:autoSpaceDE w:val="0"/>
        <w:autoSpaceDN w:val="0"/>
        <w:adjustRightInd w:val="0"/>
        <w:spacing w:line="400" w:lineRule="atLeast"/>
        <w:rPr>
          <w:rFonts w:ascii="宋体" w:hAnsi="宋体" w:eastAsia="宋体" w:cs="宋体"/>
          <w:b/>
          <w:bCs/>
          <w:color w:val="auto"/>
          <w:sz w:val="36"/>
          <w:szCs w:val="36"/>
          <w:highlight w:val="none"/>
        </w:rPr>
      </w:pPr>
    </w:p>
    <w:p w14:paraId="5F876042">
      <w:pPr>
        <w:autoSpaceDE w:val="0"/>
        <w:autoSpaceDN w:val="0"/>
        <w:adjustRightInd w:val="0"/>
        <w:spacing w:line="400" w:lineRule="atLeast"/>
        <w:jc w:val="center"/>
        <w:rPr>
          <w:rFonts w:ascii="宋体" w:hAnsi="宋体" w:eastAsia="宋体" w:cs="宋体"/>
          <w:b/>
          <w:bCs/>
          <w:color w:val="auto"/>
          <w:sz w:val="36"/>
          <w:szCs w:val="36"/>
          <w:highlight w:val="none"/>
        </w:rPr>
      </w:pPr>
    </w:p>
    <w:p w14:paraId="3C0AE049">
      <w:pPr>
        <w:autoSpaceDE w:val="0"/>
        <w:autoSpaceDN w:val="0"/>
        <w:adjustRightInd w:val="0"/>
        <w:spacing w:line="400" w:lineRule="atLeast"/>
        <w:jc w:val="center"/>
        <w:rPr>
          <w:rFonts w:ascii="宋体" w:hAnsi="宋体" w:eastAsia="宋体" w:cs="宋体"/>
          <w:b/>
          <w:bCs/>
          <w:color w:val="auto"/>
          <w:sz w:val="36"/>
          <w:szCs w:val="36"/>
          <w:highlight w:val="none"/>
        </w:rPr>
      </w:pPr>
    </w:p>
    <w:p w14:paraId="02EF7558">
      <w:pPr>
        <w:autoSpaceDE w:val="0"/>
        <w:autoSpaceDN w:val="0"/>
        <w:adjustRightInd w:val="0"/>
        <w:spacing w:line="400" w:lineRule="atLeast"/>
        <w:jc w:val="center"/>
        <w:rPr>
          <w:rFonts w:ascii="宋体" w:hAnsi="宋体" w:eastAsia="宋体" w:cs="宋体"/>
          <w:b/>
          <w:bCs/>
          <w:color w:val="auto"/>
          <w:sz w:val="36"/>
          <w:szCs w:val="36"/>
          <w:highlight w:val="none"/>
        </w:rPr>
      </w:pPr>
    </w:p>
    <w:p w14:paraId="7A2AEE49">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lang w:val="zh-CN"/>
        </w:rPr>
        <w:t>东莞市达盛招标代理有限公司</w:t>
      </w:r>
    </w:p>
    <w:p w14:paraId="0E64E742">
      <w:pPr>
        <w:autoSpaceDE w:val="0"/>
        <w:autoSpaceDN w:val="0"/>
        <w:adjustRightInd w:val="0"/>
        <w:spacing w:line="400" w:lineRule="atLeast"/>
        <w:jc w:val="center"/>
        <w:rPr>
          <w:rFonts w:ascii="宋体" w:hAnsi="宋体" w:eastAsia="宋体" w:cs="宋体"/>
          <w:b/>
          <w:bCs/>
          <w:color w:val="auto"/>
          <w:sz w:val="36"/>
          <w:szCs w:val="36"/>
          <w:highlight w:val="none"/>
        </w:rPr>
      </w:pPr>
    </w:p>
    <w:p w14:paraId="359A2474">
      <w:pPr>
        <w:autoSpaceDE w:val="0"/>
        <w:autoSpaceDN w:val="0"/>
        <w:adjustRightInd w:val="0"/>
        <w:spacing w:line="400" w:lineRule="atLeast"/>
        <w:jc w:val="center"/>
        <w:rPr>
          <w:rFonts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917" w:name="_Toc32395_WPSOffice_Level1"/>
      <w:r>
        <w:rPr>
          <w:rFonts w:hint="eastAsia" w:ascii="宋体" w:hAnsi="宋体" w:eastAsia="宋体" w:cs="宋体"/>
          <w:b/>
          <w:bCs/>
          <w:color w:val="auto"/>
          <w:sz w:val="36"/>
          <w:szCs w:val="36"/>
          <w:highlight w:val="none"/>
          <w:lang w:val="zh-CN"/>
        </w:rPr>
        <w:t>目录</w:t>
      </w:r>
      <w:bookmarkEnd w:id="917"/>
    </w:p>
    <w:p w14:paraId="6AC28723">
      <w:pPr>
        <w:autoSpaceDE w:val="0"/>
        <w:autoSpaceDN w:val="0"/>
        <w:adjustRightInd w:val="0"/>
        <w:spacing w:line="400" w:lineRule="atLeast"/>
        <w:jc w:val="center"/>
        <w:rPr>
          <w:rFonts w:ascii="宋体" w:hAnsi="宋体" w:eastAsia="宋体" w:cs="宋体"/>
          <w:color w:val="auto"/>
          <w:sz w:val="44"/>
          <w:szCs w:val="44"/>
          <w:highlight w:val="none"/>
        </w:rPr>
      </w:pPr>
    </w:p>
    <w:p w14:paraId="73038D69">
      <w:pPr>
        <w:autoSpaceDE w:val="0"/>
        <w:autoSpaceDN w:val="0"/>
        <w:adjustRightInd w:val="0"/>
        <w:spacing w:line="360" w:lineRule="auto"/>
        <w:ind w:left="567" w:hanging="567"/>
        <w:rPr>
          <w:rFonts w:ascii="宋体" w:hAnsi="宋体" w:eastAsia="宋体" w:cs="宋体"/>
          <w:color w:val="auto"/>
          <w:szCs w:val="30"/>
          <w:highlight w:val="none"/>
        </w:rPr>
      </w:pPr>
      <w:bookmarkStart w:id="918"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918"/>
    </w:p>
    <w:p w14:paraId="5EBDF05C">
      <w:pPr>
        <w:autoSpaceDE w:val="0"/>
        <w:autoSpaceDN w:val="0"/>
        <w:adjustRightInd w:val="0"/>
        <w:spacing w:line="360" w:lineRule="auto"/>
        <w:ind w:left="567" w:hanging="567"/>
        <w:rPr>
          <w:rFonts w:ascii="宋体" w:hAnsi="宋体" w:eastAsia="宋体" w:cs="宋体"/>
          <w:color w:val="auto"/>
          <w:szCs w:val="30"/>
          <w:highlight w:val="none"/>
        </w:rPr>
      </w:pPr>
      <w:bookmarkStart w:id="919"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919"/>
    </w:p>
    <w:p w14:paraId="75861164">
      <w:pPr>
        <w:autoSpaceDE w:val="0"/>
        <w:autoSpaceDN w:val="0"/>
        <w:adjustRightInd w:val="0"/>
        <w:spacing w:line="360" w:lineRule="auto"/>
        <w:ind w:left="567" w:hanging="567"/>
        <w:rPr>
          <w:rFonts w:ascii="宋体" w:hAnsi="宋体" w:eastAsia="宋体" w:cs="宋体"/>
          <w:color w:val="auto"/>
          <w:szCs w:val="30"/>
          <w:highlight w:val="none"/>
        </w:rPr>
      </w:pPr>
      <w:bookmarkStart w:id="920"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920"/>
    </w:p>
    <w:p w14:paraId="490C27ED">
      <w:pPr>
        <w:autoSpaceDE w:val="0"/>
        <w:autoSpaceDN w:val="0"/>
        <w:adjustRightInd w:val="0"/>
        <w:spacing w:line="360" w:lineRule="auto"/>
        <w:ind w:left="567" w:hanging="567"/>
        <w:rPr>
          <w:rFonts w:ascii="宋体" w:hAnsi="宋体" w:eastAsia="宋体" w:cs="宋体"/>
          <w:color w:val="auto"/>
          <w:szCs w:val="30"/>
          <w:highlight w:val="none"/>
        </w:rPr>
      </w:pPr>
      <w:bookmarkStart w:id="921" w:name="_Toc1206_WPSOffice_Level1"/>
      <w:r>
        <w:rPr>
          <w:rFonts w:hint="eastAsia" w:ascii="宋体" w:hAnsi="宋体" w:eastAsia="宋体" w:cs="宋体"/>
          <w:color w:val="auto"/>
          <w:szCs w:val="30"/>
          <w:highlight w:val="none"/>
        </w:rPr>
        <w:t>四、 比较和评价</w:t>
      </w:r>
      <w:bookmarkEnd w:id="921"/>
    </w:p>
    <w:p w14:paraId="7B6CFA84">
      <w:pPr>
        <w:autoSpaceDE w:val="0"/>
        <w:autoSpaceDN w:val="0"/>
        <w:adjustRightInd w:val="0"/>
        <w:spacing w:line="360" w:lineRule="auto"/>
        <w:ind w:left="567" w:hanging="567"/>
        <w:rPr>
          <w:rFonts w:ascii="宋体" w:hAnsi="宋体" w:eastAsia="宋体" w:cs="宋体"/>
          <w:color w:val="auto"/>
          <w:szCs w:val="30"/>
          <w:highlight w:val="none"/>
        </w:rPr>
      </w:pPr>
      <w:bookmarkStart w:id="922"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922"/>
    </w:p>
    <w:p w14:paraId="09A9BC85">
      <w:pPr>
        <w:autoSpaceDE w:val="0"/>
        <w:autoSpaceDN w:val="0"/>
        <w:adjustRightInd w:val="0"/>
        <w:spacing w:line="360" w:lineRule="auto"/>
        <w:ind w:left="567" w:hanging="567"/>
        <w:rPr>
          <w:rFonts w:ascii="宋体" w:hAnsi="宋体" w:eastAsia="宋体" w:cs="宋体"/>
          <w:color w:val="auto"/>
          <w:szCs w:val="30"/>
          <w:highlight w:val="none"/>
        </w:rPr>
      </w:pPr>
      <w:bookmarkStart w:id="923"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923"/>
    </w:p>
    <w:p w14:paraId="1ABEC8D3">
      <w:pPr>
        <w:autoSpaceDE w:val="0"/>
        <w:autoSpaceDN w:val="0"/>
        <w:adjustRightInd w:val="0"/>
        <w:spacing w:line="360" w:lineRule="auto"/>
        <w:ind w:left="567" w:hanging="567"/>
        <w:rPr>
          <w:rFonts w:ascii="宋体" w:hAnsi="宋体" w:eastAsia="宋体" w:cs="宋体"/>
          <w:color w:val="auto"/>
          <w:szCs w:val="30"/>
          <w:highlight w:val="none"/>
        </w:rPr>
      </w:pPr>
      <w:bookmarkStart w:id="924"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924"/>
    </w:p>
    <w:p w14:paraId="382C408E">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1D0E8458">
      <w:pPr>
        <w:tabs>
          <w:tab w:val="right" w:pos="7320"/>
        </w:tabs>
        <w:autoSpaceDE w:val="0"/>
        <w:autoSpaceDN w:val="0"/>
        <w:adjustRightInd w:val="0"/>
        <w:spacing w:line="360" w:lineRule="auto"/>
        <w:ind w:left="720" w:hanging="720"/>
        <w:rPr>
          <w:rFonts w:ascii="宋体" w:hAnsi="宋体" w:eastAsia="宋体" w:cs="宋体"/>
          <w:color w:val="auto"/>
          <w:szCs w:val="30"/>
          <w:highlight w:val="none"/>
        </w:rPr>
      </w:pPr>
    </w:p>
    <w:p w14:paraId="5D2677E3">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highlight w:val="none"/>
        </w:rPr>
      </w:pPr>
    </w:p>
    <w:p w14:paraId="31DD2024">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925"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925"/>
    </w:p>
    <w:p w14:paraId="41BE8D0A">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76A6B43E">
      <w:pPr>
        <w:autoSpaceDE w:val="0"/>
        <w:autoSpaceDN w:val="0"/>
        <w:adjustRightInd w:val="0"/>
        <w:spacing w:line="360" w:lineRule="auto"/>
        <w:ind w:left="567" w:hanging="567"/>
        <w:rPr>
          <w:rFonts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kern w:val="0"/>
          <w:szCs w:val="21"/>
          <w:highlight w:val="none"/>
          <w:lang w:eastAsia="zh-CN"/>
        </w:rPr>
        <w:t>珠三角水资源配置工程东莞配套芦花坑水厂一期配水管线工程-B标段第三方检测服务采购项目</w:t>
      </w:r>
      <w:r>
        <w:rPr>
          <w:rFonts w:hint="eastAsia" w:ascii="宋体" w:hAnsi="宋体" w:eastAsia="宋体" w:cs="宋体"/>
          <w:color w:val="auto"/>
          <w:szCs w:val="21"/>
          <w:highlight w:val="none"/>
          <w:lang w:val="zh-CN"/>
        </w:rPr>
        <w:t>(招标编号：DGDS2025-002</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60E5B94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454F1CF6">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w:t>
      </w:r>
      <w:r>
        <w:rPr>
          <w:rFonts w:hint="eastAsia" w:ascii="宋体" w:hAnsi="宋体" w:eastAsia="宋体" w:cs="宋体"/>
          <w:color w:val="auto"/>
          <w:kern w:val="0"/>
          <w:szCs w:val="32"/>
          <w:highlight w:val="none"/>
          <w:lang w:eastAsia="zh-CN"/>
        </w:rPr>
        <w:t>东莞市达盛招标代理有限公司</w:t>
      </w:r>
      <w:r>
        <w:rPr>
          <w:rFonts w:hint="eastAsia" w:ascii="宋体" w:hAnsi="宋体" w:eastAsia="宋体" w:cs="宋体"/>
          <w:color w:val="auto"/>
          <w:kern w:val="0"/>
          <w:szCs w:val="32"/>
          <w:highlight w:val="none"/>
        </w:rPr>
        <w:t>）组</w:t>
      </w:r>
      <w:r>
        <w:rPr>
          <w:rFonts w:hint="eastAsia" w:ascii="宋体" w:hAnsi="宋体" w:eastAsia="宋体" w:cs="宋体"/>
          <w:color w:val="auto"/>
          <w:szCs w:val="24"/>
          <w:highlight w:val="none"/>
          <w:lang w:val="zh-CN"/>
        </w:rPr>
        <w:t>织评标工作，全过程接受招标人及相关部门的监督、管理和指导。</w:t>
      </w:r>
    </w:p>
    <w:p w14:paraId="7C6B511A">
      <w:pPr>
        <w:autoSpaceDE w:val="0"/>
        <w:autoSpaceDN w:val="0"/>
        <w:adjustRightInd w:val="0"/>
        <w:spacing w:line="360" w:lineRule="auto"/>
        <w:ind w:left="567" w:hanging="5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62DDB13B">
      <w:pPr>
        <w:numPr>
          <w:ilvl w:val="1"/>
          <w:numId w:val="6"/>
        </w:numPr>
        <w:autoSpaceDE w:val="0"/>
        <w:autoSpaceDN w:val="0"/>
        <w:adjustRightInd w:val="0"/>
        <w:spacing w:line="360" w:lineRule="auto"/>
        <w:ind w:left="565" w:hanging="564" w:hangingChars="269"/>
        <w:jc w:val="left"/>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2EB37D44">
      <w:pPr>
        <w:autoSpaceDE w:val="0"/>
        <w:autoSpaceDN w:val="0"/>
        <w:adjustRightInd w:val="0"/>
        <w:spacing w:line="360" w:lineRule="auto"/>
        <w:rPr>
          <w:rFonts w:ascii="宋体" w:hAnsi="宋体" w:eastAsia="宋体" w:cs="宋体"/>
          <w:color w:val="auto"/>
          <w:sz w:val="24"/>
          <w:szCs w:val="24"/>
          <w:highlight w:val="none"/>
          <w:lang w:val="zh-CN"/>
        </w:rPr>
      </w:pPr>
    </w:p>
    <w:p w14:paraId="0C02D43C">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544A4E3A">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37D8F2BA">
      <w:pPr>
        <w:tabs>
          <w:tab w:val="left" w:pos="567"/>
          <w:tab w:val="left" w:pos="1145"/>
        </w:tabs>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3EDBCBB1">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576B5ED8">
      <w:pPr>
        <w:autoSpaceDE w:val="0"/>
        <w:autoSpaceDN w:val="0"/>
        <w:adjustRightInd w:val="0"/>
        <w:spacing w:line="360" w:lineRule="auto"/>
        <w:ind w:left="600" w:hanging="6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42F536D1">
      <w:pPr>
        <w:autoSpaceDE w:val="0"/>
        <w:autoSpaceDN w:val="0"/>
        <w:adjustRightInd w:val="0"/>
        <w:spacing w:line="360" w:lineRule="auto"/>
        <w:rPr>
          <w:rFonts w:ascii="宋体" w:hAnsi="宋体" w:eastAsia="宋体" w:cs="宋体"/>
          <w:color w:val="auto"/>
          <w:sz w:val="24"/>
          <w:szCs w:val="24"/>
          <w:highlight w:val="none"/>
          <w:lang w:val="zh-CN"/>
        </w:rPr>
      </w:pPr>
    </w:p>
    <w:p w14:paraId="3252FCFA">
      <w:pPr>
        <w:autoSpaceDE w:val="0"/>
        <w:autoSpaceDN w:val="0"/>
        <w:adjustRightInd w:val="0"/>
        <w:spacing w:line="360" w:lineRule="auto"/>
        <w:rPr>
          <w:rFonts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54F2D595">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503D0D9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48A9109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7CB61360">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700EAC68">
      <w:pPr>
        <w:autoSpaceDE w:val="0"/>
        <w:autoSpaceDN w:val="0"/>
        <w:adjustRightInd w:val="0"/>
        <w:spacing w:line="360" w:lineRule="auto"/>
        <w:jc w:val="left"/>
        <w:rPr>
          <w:rFonts w:ascii="宋体" w:hAnsi="宋体" w:eastAsia="宋体" w:cs="宋体"/>
          <w:color w:val="auto"/>
          <w:kern w:val="0"/>
          <w:sz w:val="24"/>
          <w:szCs w:val="24"/>
          <w:highlight w:val="none"/>
          <w:lang w:val="zh-CN"/>
        </w:rPr>
      </w:pPr>
    </w:p>
    <w:p w14:paraId="23904A99">
      <w:pPr>
        <w:tabs>
          <w:tab w:val="left" w:pos="720"/>
        </w:tabs>
        <w:autoSpaceDE w:val="0"/>
        <w:autoSpaceDN w:val="0"/>
        <w:adjustRightInd w:val="0"/>
        <w:spacing w:line="360" w:lineRule="auto"/>
        <w:rPr>
          <w:rFonts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5BDDC877">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53190EA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52730756">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473B545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3B255C92">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29FDCD99">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13E67410">
      <w:pPr>
        <w:tabs>
          <w:tab w:val="left" w:pos="720"/>
        </w:tabs>
        <w:autoSpaceDE w:val="0"/>
        <w:autoSpaceDN w:val="0"/>
        <w:adjustRightInd w:val="0"/>
        <w:spacing w:line="360" w:lineRule="auto"/>
        <w:rPr>
          <w:rFonts w:ascii="宋体" w:hAnsi="宋体" w:eastAsia="宋体" w:cs="宋体"/>
          <w:color w:val="auto"/>
          <w:sz w:val="24"/>
          <w:szCs w:val="24"/>
          <w:highlight w:val="none"/>
          <w:lang w:val="zh-CN"/>
        </w:rPr>
      </w:pPr>
    </w:p>
    <w:p w14:paraId="2B3323F3">
      <w:pPr>
        <w:tabs>
          <w:tab w:val="left" w:pos="1547"/>
        </w:tabs>
        <w:autoSpaceDE w:val="0"/>
        <w:autoSpaceDN w:val="0"/>
        <w:adjustRightInd w:val="0"/>
        <w:spacing w:line="360" w:lineRule="auto"/>
        <w:rPr>
          <w:rFonts w:ascii="宋体" w:hAnsi="宋体" w:eastAsia="宋体" w:cs="Times New Roman"/>
          <w:b/>
          <w:color w:val="auto"/>
          <w:szCs w:val="24"/>
          <w:highlight w:val="none"/>
          <w:lang w:val="zh-CN"/>
        </w:rPr>
      </w:pPr>
      <w:r>
        <w:rPr>
          <w:rFonts w:hint="eastAsia" w:ascii="宋体" w:hAnsi="宋体" w:eastAsia="宋体" w:cs="宋体"/>
          <w:b/>
          <w:bCs/>
          <w:color w:val="auto"/>
          <w:szCs w:val="21"/>
          <w:highlight w:val="none"/>
          <w:lang w:val="zh-CN"/>
        </w:rPr>
        <w:t>5、评审程序</w:t>
      </w:r>
    </w:p>
    <w:p w14:paraId="2354F3AE">
      <w:pPr>
        <w:autoSpaceDE w:val="0"/>
        <w:autoSpaceDN w:val="0"/>
        <w:adjustRightInd w:val="0"/>
        <w:spacing w:line="360" w:lineRule="auto"/>
        <w:ind w:left="567" w:hanging="567"/>
        <w:outlineLvl w:val="9"/>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6AE7DE9F">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14:paraId="36B581E2">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14:paraId="12E4E184">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14:paraId="7C552E10">
      <w:pPr>
        <w:autoSpaceDE w:val="0"/>
        <w:autoSpaceDN w:val="0"/>
        <w:adjustRightInd w:val="0"/>
        <w:spacing w:line="360" w:lineRule="auto"/>
        <w:ind w:left="567" w:hanging="567"/>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14:paraId="42325DAE">
      <w:pPr>
        <w:autoSpaceDE w:val="0"/>
        <w:autoSpaceDN w:val="0"/>
        <w:adjustRightInd w:val="0"/>
        <w:spacing w:line="360" w:lineRule="auto"/>
        <w:ind w:left="567" w:hanging="567"/>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14:paraId="50003376">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14:paraId="3FE178D2">
      <w:pPr>
        <w:autoSpaceDE w:val="0"/>
        <w:autoSpaceDN w:val="0"/>
        <w:adjustRightInd w:val="0"/>
        <w:spacing w:line="360" w:lineRule="auto"/>
        <w:ind w:left="525" w:hanging="525" w:hangingChars="250"/>
        <w:jc w:val="left"/>
        <w:rPr>
          <w:rFonts w:ascii="宋体" w:hAnsi="宋体" w:eastAsia="宋体" w:cs="Times New Roman"/>
          <w:color w:val="auto"/>
          <w:szCs w:val="24"/>
          <w:highlight w:val="none"/>
          <w:lang w:val="zh-CN"/>
        </w:rPr>
      </w:pPr>
    </w:p>
    <w:p w14:paraId="3E38CC50">
      <w:pPr>
        <w:tabs>
          <w:tab w:val="left" w:pos="1140"/>
        </w:tabs>
        <w:autoSpaceDE w:val="0"/>
        <w:autoSpaceDN w:val="0"/>
        <w:adjustRightInd w:val="0"/>
        <w:spacing w:line="360" w:lineRule="auto"/>
        <w:jc w:val="center"/>
        <w:rPr>
          <w:rFonts w:ascii="宋体" w:hAnsi="宋体" w:eastAsia="宋体" w:cs="宋体"/>
          <w:b/>
          <w:bCs/>
          <w:color w:val="auto"/>
          <w:sz w:val="28"/>
          <w:szCs w:val="28"/>
          <w:highlight w:val="none"/>
        </w:rPr>
      </w:pPr>
      <w:bookmarkStart w:id="926" w:name="_Toc19435_WPSOffice_Level1"/>
      <w:r>
        <w:rPr>
          <w:rFonts w:hint="eastAsia" w:ascii="宋体" w:hAnsi="宋体" w:eastAsia="宋体" w:cs="宋体"/>
          <w:b/>
          <w:bCs/>
          <w:color w:val="auto"/>
          <w:sz w:val="28"/>
          <w:szCs w:val="28"/>
          <w:highlight w:val="none"/>
          <w:lang w:val="zh-CN"/>
        </w:rPr>
        <w:t>二、投标文件的初审</w:t>
      </w:r>
      <w:bookmarkEnd w:id="926"/>
    </w:p>
    <w:p w14:paraId="7E6BE30D">
      <w:pPr>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0EAC81CA">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6D299D3A">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1FE057A3">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33113806">
      <w:pPr>
        <w:autoSpaceDE w:val="0"/>
        <w:autoSpaceDN w:val="0"/>
        <w:adjustRightInd w:val="0"/>
        <w:spacing w:line="360" w:lineRule="auto"/>
        <w:ind w:firstLine="840" w:firstLineChars="4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41A948CB">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7714D725">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3B188C3C">
      <w:pPr>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w:t>
      </w:r>
      <w:r>
        <w:rPr>
          <w:rFonts w:ascii="宋体" w:hAnsi="宋体" w:eastAsia="宋体" w:cs="宋体"/>
          <w:b/>
          <w:color w:val="auto"/>
          <w:szCs w:val="21"/>
          <w:highlight w:val="none"/>
          <w:lang w:val="zh-CN"/>
        </w:rPr>
        <w:t xml:space="preserve">.1  </w:t>
      </w:r>
      <w:r>
        <w:rPr>
          <w:rFonts w:hint="eastAsia" w:ascii="宋体" w:hAnsi="宋体" w:eastAsia="宋体" w:cs="宋体"/>
          <w:b/>
          <w:bCs/>
          <w:color w:val="auto"/>
          <w:kern w:val="0"/>
          <w:szCs w:val="21"/>
          <w:highlight w:val="none"/>
        </w:rPr>
        <w:t>投标人未按招标文件要求交纳投标保证金的；</w:t>
      </w:r>
    </w:p>
    <w:p w14:paraId="65EE2349">
      <w:pPr>
        <w:tabs>
          <w:tab w:val="left" w:pos="567"/>
        </w:tabs>
        <w:spacing w:line="360" w:lineRule="auto"/>
        <w:ind w:left="632" w:hanging="632" w:hangingChars="30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eastAsia="宋体"/>
          <w:b/>
          <w:color w:val="auto"/>
          <w:szCs w:val="21"/>
          <w:highlight w:val="none"/>
        </w:rPr>
        <w:t>投标人报价</w:t>
      </w:r>
      <w:bookmarkStart w:id="927" w:name="OLE_LINK3"/>
      <w:r>
        <w:rPr>
          <w:rFonts w:hint="eastAsia" w:ascii="宋体" w:eastAsia="宋体"/>
          <w:b/>
          <w:color w:val="auto"/>
          <w:szCs w:val="21"/>
          <w:highlight w:val="none"/>
        </w:rPr>
        <w:t>未按照招标文件要求</w:t>
      </w:r>
      <w:bookmarkStart w:id="928" w:name="OLE_LINK2"/>
      <w:r>
        <w:rPr>
          <w:rFonts w:hint="eastAsia" w:ascii="宋体" w:eastAsia="宋体"/>
          <w:b/>
          <w:color w:val="auto"/>
          <w:szCs w:val="21"/>
          <w:highlight w:val="none"/>
        </w:rPr>
        <w:t>对检测服务系数进行报价的</w:t>
      </w:r>
      <w:bookmarkEnd w:id="927"/>
      <w:bookmarkEnd w:id="928"/>
      <w:r>
        <w:rPr>
          <w:rFonts w:hint="eastAsia" w:ascii="宋体" w:hAnsi="宋体" w:eastAsia="宋体" w:cs="宋体"/>
          <w:b/>
          <w:bCs/>
          <w:color w:val="auto"/>
          <w:kern w:val="0"/>
          <w:szCs w:val="21"/>
          <w:highlight w:val="none"/>
        </w:rPr>
        <w:t>；</w:t>
      </w:r>
    </w:p>
    <w:p w14:paraId="2D0AEC76">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5F7E3C89">
      <w:pPr>
        <w:tabs>
          <w:tab w:val="left" w:pos="567"/>
        </w:tabs>
        <w:spacing w:line="360" w:lineRule="auto"/>
        <w:ind w:left="632" w:hanging="632" w:hangingChars="300"/>
        <w:rPr>
          <w:rFonts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0884983E">
      <w:pPr>
        <w:tabs>
          <w:tab w:val="left" w:pos="567"/>
        </w:tabs>
        <w:spacing w:line="360" w:lineRule="auto"/>
        <w:ind w:left="632" w:hanging="632" w:hangingChars="300"/>
        <w:rPr>
          <w:rFonts w:hint="eastAsia" w:ascii="宋体" w:hAnsi="宋体" w:eastAsia="宋体" w:cs="宋体"/>
          <w:b/>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31B57168">
      <w:pPr>
        <w:tabs>
          <w:tab w:val="left" w:pos="567"/>
        </w:tabs>
        <w:spacing w:line="360" w:lineRule="auto"/>
        <w:ind w:left="632" w:hanging="632" w:hangingChars="300"/>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val="en-US" w:eastAsia="zh-CN"/>
        </w:rPr>
        <w:t xml:space="preserve">7.6  </w:t>
      </w:r>
      <w:r>
        <w:rPr>
          <w:rFonts w:hint="eastAsia" w:ascii="宋体" w:hAnsi="宋体" w:eastAsia="宋体" w:cs="宋体"/>
          <w:b/>
          <w:color w:val="auto"/>
          <w:kern w:val="0"/>
          <w:szCs w:val="21"/>
          <w:highlight w:val="none"/>
        </w:rPr>
        <w:t>投标人为本工程的勘察</w:t>
      </w:r>
      <w:r>
        <w:rPr>
          <w:rFonts w:hint="eastAsia" w:ascii="宋体" w:hAnsi="宋体" w:eastAsia="宋体" w:cs="宋体"/>
          <w:b/>
          <w:color w:val="auto"/>
          <w:kern w:val="0"/>
          <w:szCs w:val="21"/>
          <w:highlight w:val="none"/>
          <w:lang w:eastAsia="zh-CN"/>
        </w:rPr>
        <w:t>单位、</w:t>
      </w:r>
      <w:r>
        <w:rPr>
          <w:rFonts w:hint="eastAsia" w:ascii="宋体" w:hAnsi="宋体" w:eastAsia="宋体" w:cs="宋体"/>
          <w:b/>
          <w:color w:val="auto"/>
          <w:kern w:val="0"/>
          <w:szCs w:val="21"/>
          <w:highlight w:val="none"/>
        </w:rPr>
        <w:t>设计单位、施工单位、监理单位、</w:t>
      </w:r>
      <w:r>
        <w:rPr>
          <w:rFonts w:hint="eastAsia" w:ascii="宋体" w:hAnsi="宋体" w:eastAsia="宋体" w:cs="宋体"/>
          <w:b/>
          <w:color w:val="auto"/>
          <w:szCs w:val="21"/>
          <w:highlight w:val="none"/>
          <w:lang w:val="zh-CN"/>
        </w:rPr>
        <w:t>施工或监理单位委托的质量检测单位</w:t>
      </w:r>
      <w:r>
        <w:rPr>
          <w:rFonts w:hint="eastAsia" w:ascii="宋体" w:hAnsi="宋体" w:eastAsia="宋体" w:cs="宋体"/>
          <w:b/>
          <w:color w:val="auto"/>
          <w:kern w:val="0"/>
          <w:szCs w:val="21"/>
          <w:highlight w:val="none"/>
        </w:rPr>
        <w:t>（包括与</w:t>
      </w:r>
      <w:r>
        <w:rPr>
          <w:rFonts w:hint="eastAsia" w:ascii="宋体" w:hAnsi="宋体" w:eastAsia="宋体" w:cs="宋体"/>
          <w:b/>
          <w:color w:val="auto"/>
          <w:szCs w:val="21"/>
          <w:highlight w:val="none"/>
          <w:lang w:val="en-US" w:eastAsia="zh-CN"/>
        </w:rPr>
        <w:t>上述</w:t>
      </w:r>
      <w:r>
        <w:rPr>
          <w:rFonts w:hint="eastAsia" w:ascii="宋体" w:hAnsi="宋体" w:eastAsia="宋体" w:cs="宋体"/>
          <w:b/>
          <w:color w:val="auto"/>
          <w:kern w:val="0"/>
          <w:szCs w:val="21"/>
          <w:highlight w:val="none"/>
        </w:rPr>
        <w:t>单位法定代表人或负责人为同一人的单位，或者与</w:t>
      </w:r>
      <w:r>
        <w:rPr>
          <w:rFonts w:hint="eastAsia" w:ascii="宋体" w:hAnsi="宋体" w:eastAsia="宋体" w:cs="宋体"/>
          <w:b/>
          <w:color w:val="auto"/>
          <w:szCs w:val="21"/>
          <w:highlight w:val="none"/>
          <w:lang w:val="en-US" w:eastAsia="zh-CN"/>
        </w:rPr>
        <w:t>上述</w:t>
      </w:r>
      <w:r>
        <w:rPr>
          <w:rFonts w:hint="eastAsia" w:ascii="宋体" w:hAnsi="宋体" w:eastAsia="宋体" w:cs="宋体"/>
          <w:b/>
          <w:color w:val="auto"/>
          <w:kern w:val="0"/>
          <w:szCs w:val="21"/>
          <w:highlight w:val="none"/>
        </w:rPr>
        <w:t>单位存在控股、管理关系的单位</w:t>
      </w:r>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或者与上述单位存在其他利害关系</w:t>
      </w:r>
      <w:r>
        <w:rPr>
          <w:rFonts w:hint="eastAsia" w:ascii="宋体" w:hAnsi="宋体" w:eastAsia="宋体" w:cs="宋体"/>
          <w:b/>
          <w:color w:val="auto"/>
          <w:kern w:val="0"/>
          <w:szCs w:val="21"/>
          <w:highlight w:val="none"/>
        </w:rPr>
        <w:t>）</w:t>
      </w:r>
      <w:r>
        <w:rPr>
          <w:rFonts w:hint="eastAsia" w:ascii="宋体" w:hAnsi="宋体" w:eastAsia="宋体" w:cs="宋体"/>
          <w:b/>
          <w:color w:val="auto"/>
          <w:kern w:val="0"/>
          <w:szCs w:val="21"/>
          <w:highlight w:val="none"/>
          <w:lang w:eastAsia="zh-CN"/>
        </w:rPr>
        <w:t>；</w:t>
      </w:r>
    </w:p>
    <w:p w14:paraId="7977BD8E">
      <w:pPr>
        <w:spacing w:line="360" w:lineRule="auto"/>
        <w:ind w:left="527" w:hanging="527" w:hangingChars="25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 xml:space="preserve">投标文件未按照招标文件规定要求密封；投标文件无法定代表人或其授权代表签字（或盖私章），或签字人无法定代表人有效授权的；签字盖章不符合招标文件要求的； </w:t>
      </w:r>
    </w:p>
    <w:p w14:paraId="5F1B59E1">
      <w:pPr>
        <w:spacing w:line="360" w:lineRule="auto"/>
        <w:ind w:left="527" w:hanging="527" w:hangingChars="25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8</w:t>
      </w:r>
      <w:r>
        <w:rPr>
          <w:rFonts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rPr>
        <w:t>投标有效期限不符合要求；</w:t>
      </w:r>
    </w:p>
    <w:p w14:paraId="2EFB7FFC">
      <w:pPr>
        <w:spacing w:line="360" w:lineRule="auto"/>
        <w:ind w:left="527" w:hanging="527" w:hangingChars="250"/>
        <w:rPr>
          <w:rFonts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w:t>
      </w:r>
      <w:r>
        <w:rPr>
          <w:rFonts w:hint="eastAsia" w:ascii="宋体" w:hAnsi="宋体" w:eastAsia="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 xml:space="preserve"> </w:t>
      </w:r>
      <w:r>
        <w:rPr>
          <w:rFonts w:hint="eastAsia" w:ascii="宋体" w:hAnsi="宋体" w:eastAsia="宋体" w:cs="宋体"/>
          <w:b/>
          <w:bCs/>
          <w:color w:val="auto"/>
          <w:kern w:val="0"/>
          <w:szCs w:val="21"/>
          <w:highlight w:val="none"/>
        </w:rPr>
        <w:t>投标文件未对招标范围内的全部内容进行投标报价</w:t>
      </w:r>
      <w:r>
        <w:rPr>
          <w:rFonts w:hint="eastAsia" w:ascii="宋体" w:hAnsi="宋体" w:eastAsia="宋体" w:cs="Times New Roman"/>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59AA0ECA">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10</w:t>
      </w:r>
      <w:r>
        <w:rPr>
          <w:rFonts w:ascii="宋体" w:hAnsi="宋体" w:eastAsia="宋体" w:cs="Times New Roman"/>
          <w:b/>
          <w:color w:val="auto"/>
          <w:kern w:val="0"/>
          <w:szCs w:val="21"/>
          <w:highlight w:val="none"/>
        </w:rPr>
        <w:t xml:space="preserve"> 未提供或虚假填写《合同条款偏离表》，或对《合同条款偏离表》有负偏离的；</w:t>
      </w:r>
    </w:p>
    <w:p w14:paraId="516B8408">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lang w:val="en-US" w:eastAsia="zh-CN"/>
        </w:rPr>
        <w:t>11</w:t>
      </w:r>
      <w:r>
        <w:rPr>
          <w:rFonts w:ascii="宋体" w:hAnsi="宋体" w:eastAsia="宋体" w:cs="Times New Roman"/>
          <w:b/>
          <w:color w:val="auto"/>
          <w:kern w:val="0"/>
          <w:szCs w:val="21"/>
          <w:highlight w:val="none"/>
        </w:rPr>
        <w:t xml:space="preserve"> 未填写或虚假填写《用户需求偏离表》的；</w:t>
      </w:r>
    </w:p>
    <w:p w14:paraId="1223A8A4">
      <w:pPr>
        <w:spacing w:line="360" w:lineRule="auto"/>
        <w:ind w:left="413" w:hanging="413" w:hangingChars="196"/>
        <w:rPr>
          <w:rFonts w:ascii="宋体" w:hAnsi="宋体" w:eastAsia="宋体" w:cs="Times New Roman"/>
          <w:b/>
          <w:color w:val="auto"/>
          <w:kern w:val="0"/>
          <w:szCs w:val="21"/>
          <w:highlight w:val="none"/>
        </w:rPr>
      </w:pPr>
      <w:r>
        <w:rPr>
          <w:rFonts w:ascii="宋体" w:hAnsi="宋体" w:eastAsia="宋体" w:cs="Times New Roman"/>
          <w:b/>
          <w:color w:val="auto"/>
          <w:kern w:val="0"/>
          <w:szCs w:val="21"/>
          <w:highlight w:val="none"/>
        </w:rPr>
        <w:t>7.</w:t>
      </w:r>
      <w:r>
        <w:rPr>
          <w:rFonts w:hint="eastAsia" w:ascii="宋体" w:hAnsi="宋体" w:eastAsia="宋体" w:cs="Times New Roman"/>
          <w:b/>
          <w:color w:val="auto"/>
          <w:kern w:val="0"/>
          <w:szCs w:val="21"/>
          <w:highlight w:val="none"/>
        </w:rPr>
        <w:t>1</w:t>
      </w:r>
      <w:r>
        <w:rPr>
          <w:rFonts w:hint="eastAsia" w:ascii="宋体" w:hAnsi="宋体" w:eastAsia="宋体" w:cs="Times New Roman"/>
          <w:b/>
          <w:color w:val="auto"/>
          <w:kern w:val="0"/>
          <w:szCs w:val="21"/>
          <w:highlight w:val="none"/>
          <w:lang w:val="en-US" w:eastAsia="zh-CN"/>
        </w:rPr>
        <w:t xml:space="preserve">2 </w:t>
      </w:r>
      <w:r>
        <w:rPr>
          <w:rFonts w:ascii="宋体" w:hAnsi="宋体" w:eastAsia="宋体" w:cs="Times New Roman"/>
          <w:b/>
          <w:color w:val="auto"/>
          <w:kern w:val="0"/>
          <w:szCs w:val="21"/>
          <w:highlight w:val="none"/>
        </w:rPr>
        <w:t>未</w:t>
      </w:r>
      <w:r>
        <w:rPr>
          <w:rFonts w:hint="eastAsia" w:ascii="宋体" w:hAnsi="宋体" w:eastAsia="宋体" w:cs="Times New Roman"/>
          <w:b/>
          <w:color w:val="auto"/>
          <w:kern w:val="0"/>
          <w:szCs w:val="21"/>
          <w:highlight w:val="none"/>
        </w:rPr>
        <w:t>响应</w:t>
      </w:r>
      <w:r>
        <w:rPr>
          <w:rFonts w:ascii="宋体" w:hAnsi="宋体" w:eastAsia="宋体" w:cs="Times New Roman"/>
          <w:b/>
          <w:color w:val="auto"/>
          <w:kern w:val="0"/>
          <w:szCs w:val="21"/>
          <w:highlight w:val="none"/>
        </w:rPr>
        <w:t>招标文件提出的实质性要求和条件（标注★的条款）</w:t>
      </w:r>
      <w:r>
        <w:rPr>
          <w:rFonts w:hint="eastAsia" w:ascii="宋体" w:hAnsi="宋体" w:eastAsia="宋体" w:cs="Times New Roman"/>
          <w:b/>
          <w:color w:val="auto"/>
          <w:kern w:val="0"/>
          <w:szCs w:val="21"/>
          <w:highlight w:val="none"/>
        </w:rPr>
        <w:t>。</w:t>
      </w:r>
    </w:p>
    <w:p w14:paraId="6161C518">
      <w:pPr>
        <w:autoSpaceDE w:val="0"/>
        <w:autoSpaceDN w:val="0"/>
        <w:adjustRightInd w:val="0"/>
        <w:spacing w:line="360" w:lineRule="auto"/>
        <w:ind w:left="315" w:hanging="315" w:hangingChars="150"/>
        <w:rPr>
          <w:rFonts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5F215D7">
      <w:pPr>
        <w:spacing w:line="360" w:lineRule="auto"/>
        <w:ind w:left="480"/>
        <w:rPr>
          <w:rFonts w:ascii="宋体" w:hAnsi="宋体" w:eastAsia="宋体" w:cs="宋体"/>
          <w:b/>
          <w:color w:val="auto"/>
          <w:kern w:val="0"/>
          <w:szCs w:val="21"/>
          <w:highlight w:val="none"/>
        </w:rPr>
      </w:pPr>
    </w:p>
    <w:p w14:paraId="6590BF07">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highlight w:val="none"/>
        </w:rPr>
      </w:pPr>
      <w:bookmarkStart w:id="929" w:name="_Toc4109_WPSOffice_Level1"/>
      <w:r>
        <w:rPr>
          <w:rFonts w:hint="eastAsia" w:ascii="宋体" w:hAnsi="宋体" w:eastAsia="宋体" w:cs="宋体"/>
          <w:b/>
          <w:bCs/>
          <w:color w:val="auto"/>
          <w:sz w:val="28"/>
          <w:szCs w:val="28"/>
          <w:highlight w:val="none"/>
          <w:lang w:val="zh-CN"/>
        </w:rPr>
        <w:t>三、澄清有关问题</w:t>
      </w:r>
      <w:bookmarkEnd w:id="929"/>
    </w:p>
    <w:p w14:paraId="261E0790">
      <w:pPr>
        <w:autoSpaceDE w:val="0"/>
        <w:autoSpaceDN w:val="0"/>
        <w:adjustRightInd w:val="0"/>
        <w:spacing w:line="360" w:lineRule="auto"/>
        <w:ind w:left="315" w:hanging="315" w:hangingChars="15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298E97DA">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39B36A9E">
      <w:pPr>
        <w:autoSpaceDE w:val="0"/>
        <w:autoSpaceDN w:val="0"/>
        <w:adjustRightInd w:val="0"/>
        <w:spacing w:line="360" w:lineRule="auto"/>
        <w:ind w:left="529"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226749D8">
      <w:pPr>
        <w:autoSpaceDE w:val="0"/>
        <w:autoSpaceDN w:val="0"/>
        <w:adjustRightInd w:val="0"/>
        <w:spacing w:line="360" w:lineRule="auto"/>
        <w:ind w:left="529" w:right="18" w:hanging="529" w:hangingChars="252"/>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4D2C8C03">
      <w:pPr>
        <w:spacing w:line="360" w:lineRule="auto"/>
        <w:ind w:left="567" w:hanging="567" w:hangingChars="27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val="zh-CN"/>
        </w:rPr>
        <w:t xml:space="preserve">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583A081D">
      <w:pPr>
        <w:autoSpaceDE w:val="0"/>
        <w:autoSpaceDN w:val="0"/>
        <w:adjustRightInd w:val="0"/>
        <w:spacing w:line="360" w:lineRule="auto"/>
        <w:jc w:val="center"/>
        <w:rPr>
          <w:rFonts w:ascii="宋体" w:hAnsi="宋体" w:eastAsia="宋体" w:cs="宋体"/>
          <w:b/>
          <w:bCs/>
          <w:color w:val="auto"/>
          <w:sz w:val="28"/>
          <w:szCs w:val="28"/>
          <w:highlight w:val="none"/>
          <w:lang w:val="zh-CN"/>
        </w:rPr>
      </w:pPr>
      <w:bookmarkStart w:id="930" w:name="_Toc8518_WPSOffice_Level1"/>
    </w:p>
    <w:p w14:paraId="2B9601AE">
      <w:pPr>
        <w:autoSpaceDE w:val="0"/>
        <w:autoSpaceDN w:val="0"/>
        <w:adjustRightInd w:val="0"/>
        <w:spacing w:line="360" w:lineRule="auto"/>
        <w:jc w:val="center"/>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930"/>
    </w:p>
    <w:p w14:paraId="65432937">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44988EA4">
      <w:pPr>
        <w:autoSpaceDE w:val="0"/>
        <w:autoSpaceDN w:val="0"/>
        <w:adjustRightInd w:val="0"/>
        <w:spacing w:line="360" w:lineRule="auto"/>
        <w:ind w:left="422" w:leftChars="1" w:hanging="420" w:hangingChars="200"/>
        <w:rPr>
          <w:rFonts w:ascii="宋体" w:hAnsi="宋体" w:eastAsia="宋体" w:cs="宋体"/>
          <w:color w:val="auto"/>
          <w:szCs w:val="24"/>
          <w:highlight w:val="none"/>
          <w:lang w:val="zh-CN"/>
        </w:rPr>
      </w:pPr>
    </w:p>
    <w:p w14:paraId="46F40355">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5BE14F67">
      <w:pPr>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.1 参加评分的评委应尽力体现客观、实事求是，避免学派偏见和个人偏好。</w:t>
      </w:r>
    </w:p>
    <w:p w14:paraId="61E2F00B">
      <w:pPr>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.2 衡量、对比的依据，应以招标文件、投标文件、提供的正式试验数据、开标澄清中的文字为准，口头回答和收集的资料只作为参考。</w:t>
      </w:r>
    </w:p>
    <w:p w14:paraId="54718233">
      <w:pPr>
        <w:autoSpaceDE w:val="0"/>
        <w:autoSpaceDN w:val="0"/>
        <w:adjustRightInd w:val="0"/>
        <w:spacing w:line="360" w:lineRule="auto"/>
        <w:ind w:left="565" w:hanging="567" w:hangingChars="270"/>
        <w:rPr>
          <w:rFonts w:hint="eastAsia" w:ascii="宋体" w:hAnsi="宋体" w:eastAsia="宋体" w:cs="宋体"/>
          <w:color w:val="auto"/>
          <w:kern w:val="0"/>
          <w:szCs w:val="21"/>
          <w:highlight w:val="none"/>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.3 评分主要是为比较各投标人的商务、技术</w:t>
      </w:r>
      <w:r>
        <w:rPr>
          <w:rFonts w:hint="eastAsia" w:ascii="宋体" w:hAnsi="宋体" w:eastAsia="宋体" w:cs="Times New Roman"/>
          <w:color w:val="auto"/>
          <w:szCs w:val="24"/>
          <w:highlight w:val="none"/>
          <w:lang w:val="en-US" w:eastAsia="zh-CN"/>
        </w:rPr>
        <w:t>和</w:t>
      </w:r>
      <w:r>
        <w:rPr>
          <w:rFonts w:hint="eastAsia" w:ascii="宋体" w:hAnsi="宋体" w:eastAsia="宋体" w:cs="Times New Roman"/>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6EBDA733">
      <w:pPr>
        <w:autoSpaceDE w:val="0"/>
        <w:autoSpaceDN w:val="0"/>
        <w:adjustRightInd w:val="0"/>
        <w:spacing w:line="360" w:lineRule="auto"/>
        <w:ind w:left="565" w:hanging="567" w:hangingChars="27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44586BE9">
      <w:pPr>
        <w:autoSpaceDE w:val="0"/>
        <w:autoSpaceDN w:val="0"/>
        <w:adjustRightInd w:val="0"/>
        <w:spacing w:line="360" w:lineRule="auto"/>
        <w:ind w:left="565" w:hanging="567" w:hangingChars="270"/>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6AFBC34A">
      <w:pPr>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636FEB65">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.4 评标委员会打分采取记名形式。</w:t>
      </w:r>
    </w:p>
    <w:p w14:paraId="00802D80">
      <w:pPr>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.5 各评委根据秘书组提供的打分表严格按照评标大纲内的评分标准独立自主打分，任何人不得要求评委统一打分或统一确定等次顺序。</w:t>
      </w:r>
    </w:p>
    <w:p w14:paraId="3A2447BF">
      <w:pPr>
        <w:autoSpaceDE w:val="0"/>
        <w:autoSpaceDN w:val="0"/>
        <w:adjustRightInd w:val="0"/>
        <w:spacing w:line="360" w:lineRule="auto"/>
        <w:ind w:left="426" w:hanging="426"/>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.6 对打分表中的每项条款，各评委应根据投标文件、澄清材料、招标文件要求，按满足的程度给投标人打分。</w:t>
      </w:r>
    </w:p>
    <w:p w14:paraId="260D336B">
      <w:pPr>
        <w:tabs>
          <w:tab w:val="left" w:pos="600"/>
        </w:tabs>
        <w:autoSpaceDE w:val="0"/>
        <w:autoSpaceDN w:val="0"/>
        <w:adjustRightInd w:val="0"/>
        <w:spacing w:line="360" w:lineRule="auto"/>
        <w:rPr>
          <w:rFonts w:ascii="宋体" w:hAnsi="宋体" w:eastAsia="宋体" w:cs="Times New Roman"/>
          <w:color w:val="auto"/>
          <w:szCs w:val="24"/>
          <w:highlight w:val="none"/>
          <w:lang w:val="zh-CN"/>
        </w:rPr>
      </w:pPr>
      <w:r>
        <w:rPr>
          <w:rFonts w:ascii="宋体" w:hAnsi="宋体" w:eastAsia="宋体" w:cs="Times New Roman"/>
          <w:color w:val="auto"/>
          <w:szCs w:val="24"/>
          <w:highlight w:val="none"/>
          <w:lang w:val="zh-CN"/>
        </w:rPr>
        <w:t>11</w:t>
      </w:r>
      <w:r>
        <w:rPr>
          <w:rFonts w:hint="eastAsia" w:ascii="宋体" w:hAnsi="宋体" w:eastAsia="宋体" w:cs="Times New Roman"/>
          <w:color w:val="auto"/>
          <w:szCs w:val="24"/>
          <w:highlight w:val="none"/>
          <w:lang w:val="zh-CN"/>
        </w:rPr>
        <w:t>.7 评分程序</w:t>
      </w:r>
    </w:p>
    <w:p w14:paraId="276CA8F0">
      <w:pPr>
        <w:tabs>
          <w:tab w:val="left" w:pos="1134"/>
        </w:tabs>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1</w:t>
      </w:r>
      <w:r>
        <w:rPr>
          <w:rFonts w:hint="eastAsia" w:ascii="宋体" w:hAnsi="宋体" w:eastAsia="宋体" w:cs="Times New Roman"/>
          <w:color w:val="auto"/>
          <w:szCs w:val="24"/>
          <w:highlight w:val="none"/>
          <w:lang w:val="zh-CN"/>
        </w:rPr>
        <w:t>）就投标人的投标文件对照整理出商务、技术评标因素对比表、偏差表，并在经过校核的基础上逐项打分。</w:t>
      </w:r>
    </w:p>
    <w:p w14:paraId="7B4FC941">
      <w:pPr>
        <w:tabs>
          <w:tab w:val="left" w:pos="1134"/>
        </w:tabs>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2</w:t>
      </w:r>
      <w:r>
        <w:rPr>
          <w:rFonts w:hint="eastAsia" w:ascii="宋体" w:hAnsi="宋体" w:eastAsia="宋体" w:cs="Times New Roman"/>
          <w:color w:val="auto"/>
          <w:szCs w:val="24"/>
          <w:highlight w:val="none"/>
          <w:lang w:val="zh-CN"/>
        </w:rPr>
        <w:t>）各评委独立完成打分后，将统计好的评分表交给招标代理机构秘书组复核。</w:t>
      </w:r>
    </w:p>
    <w:p w14:paraId="60BBB0BC">
      <w:pPr>
        <w:tabs>
          <w:tab w:val="left" w:pos="1134"/>
        </w:tabs>
        <w:autoSpaceDE w:val="0"/>
        <w:autoSpaceDN w:val="0"/>
        <w:adjustRightInd w:val="0"/>
        <w:spacing w:line="360" w:lineRule="auto"/>
        <w:ind w:left="565" w:hanging="567" w:hangingChars="270"/>
        <w:rPr>
          <w:rFonts w:ascii="宋体" w:hAnsi="宋体" w:eastAsia="宋体" w:cs="Times New Roman"/>
          <w:color w:val="auto"/>
          <w:szCs w:val="24"/>
          <w:highlight w:val="none"/>
          <w:lang w:val="zh-CN"/>
        </w:rPr>
      </w:pPr>
      <w:r>
        <w:rPr>
          <w:rFonts w:hint="eastAsia" w:ascii="宋体" w:hAnsi="宋体" w:eastAsia="宋体" w:cs="Times New Roman"/>
          <w:color w:val="auto"/>
          <w:szCs w:val="24"/>
          <w:highlight w:val="none"/>
          <w:lang w:val="zh-CN"/>
        </w:rPr>
        <w:t>（</w:t>
      </w:r>
      <w:r>
        <w:rPr>
          <w:rFonts w:ascii="宋体" w:hAnsi="宋体" w:eastAsia="宋体" w:cs="Times New Roman"/>
          <w:color w:val="auto"/>
          <w:szCs w:val="24"/>
          <w:highlight w:val="none"/>
          <w:lang w:val="zh-CN"/>
        </w:rPr>
        <w:t>3</w:t>
      </w:r>
      <w:r>
        <w:rPr>
          <w:rFonts w:hint="eastAsia" w:ascii="宋体" w:hAnsi="宋体" w:eastAsia="宋体" w:cs="Times New Roman"/>
          <w:color w:val="auto"/>
          <w:szCs w:val="24"/>
          <w:highlight w:val="none"/>
          <w:lang w:val="zh-CN"/>
        </w:rPr>
        <w:t>）评分统计表中各投标人技术得分应为最终综合得分，商务和价格得分应为评委打分的算术平均值。</w:t>
      </w:r>
    </w:p>
    <w:p w14:paraId="64407058">
      <w:pPr>
        <w:autoSpaceDE w:val="0"/>
        <w:autoSpaceDN w:val="0"/>
        <w:adjustRightInd w:val="0"/>
        <w:spacing w:line="360" w:lineRule="auto"/>
        <w:rPr>
          <w:rFonts w:ascii="宋体" w:hAnsi="宋体" w:eastAsia="宋体" w:cs="宋体"/>
          <w:color w:val="auto"/>
          <w:szCs w:val="24"/>
          <w:highlight w:val="none"/>
          <w:lang w:val="zh-CN"/>
        </w:rPr>
      </w:pPr>
    </w:p>
    <w:p w14:paraId="1BD64CB9">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6"/>
        <w:tblW w:w="1037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7"/>
        <w:gridCol w:w="5173"/>
      </w:tblGrid>
      <w:tr w14:paraId="2A4F39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4A0BA53E">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5173" w:type="dxa"/>
            <w:tcBorders>
              <w:top w:val="single" w:color="auto" w:sz="4" w:space="0"/>
              <w:left w:val="single" w:color="auto" w:sz="4" w:space="0"/>
              <w:bottom w:val="single" w:color="auto" w:sz="4" w:space="0"/>
              <w:right w:val="single" w:color="auto" w:sz="4" w:space="0"/>
            </w:tcBorders>
            <w:vAlign w:val="center"/>
          </w:tcPr>
          <w:p w14:paraId="74FD64F0">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0178B4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299503F1">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5173" w:type="dxa"/>
            <w:tcBorders>
              <w:top w:val="single" w:color="auto" w:sz="4" w:space="0"/>
              <w:left w:val="single" w:color="auto" w:sz="4" w:space="0"/>
              <w:bottom w:val="single" w:color="auto" w:sz="4" w:space="0"/>
              <w:right w:val="single" w:color="auto" w:sz="4" w:space="0"/>
            </w:tcBorders>
            <w:vAlign w:val="center"/>
          </w:tcPr>
          <w:p w14:paraId="0BF4722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10A90C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1B9C93C2">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5173" w:type="dxa"/>
            <w:tcBorders>
              <w:top w:val="single" w:color="auto" w:sz="4" w:space="0"/>
              <w:left w:val="single" w:color="auto" w:sz="4" w:space="0"/>
              <w:bottom w:val="single" w:color="auto" w:sz="4" w:space="0"/>
              <w:right w:val="single" w:color="auto" w:sz="4" w:space="0"/>
            </w:tcBorders>
            <w:vAlign w:val="center"/>
          </w:tcPr>
          <w:p w14:paraId="63B82FF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p>
        </w:tc>
      </w:tr>
      <w:tr w14:paraId="745E1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197" w:type="dxa"/>
            <w:tcBorders>
              <w:top w:val="single" w:color="auto" w:sz="4" w:space="0"/>
              <w:left w:val="single" w:color="auto" w:sz="4" w:space="0"/>
              <w:bottom w:val="single" w:color="auto" w:sz="4" w:space="0"/>
              <w:right w:val="single" w:color="auto" w:sz="4" w:space="0"/>
            </w:tcBorders>
            <w:vAlign w:val="center"/>
          </w:tcPr>
          <w:p w14:paraId="746C9542">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5173" w:type="dxa"/>
            <w:tcBorders>
              <w:top w:val="single" w:color="auto" w:sz="4" w:space="0"/>
              <w:left w:val="single" w:color="auto" w:sz="4" w:space="0"/>
              <w:bottom w:val="single" w:color="auto" w:sz="4" w:space="0"/>
              <w:right w:val="single" w:color="auto" w:sz="4" w:space="0"/>
            </w:tcBorders>
            <w:vAlign w:val="center"/>
          </w:tcPr>
          <w:p w14:paraId="7D1C6330">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50</w:t>
            </w:r>
            <w:r>
              <w:rPr>
                <w:rFonts w:hint="eastAsia" w:ascii="宋体" w:hAnsi="宋体" w:eastAsia="宋体" w:cs="宋体"/>
                <w:b/>
                <w:color w:val="auto"/>
                <w:szCs w:val="21"/>
                <w:highlight w:val="none"/>
                <w:lang w:val="zh-CN"/>
              </w:rPr>
              <w:t>分</w:t>
            </w:r>
          </w:p>
        </w:tc>
      </w:tr>
    </w:tbl>
    <w:p w14:paraId="2AF9F175">
      <w:pPr>
        <w:tabs>
          <w:tab w:val="left" w:pos="585"/>
        </w:tabs>
        <w:autoSpaceDE w:val="0"/>
        <w:autoSpaceDN w:val="0"/>
        <w:adjustRightInd w:val="0"/>
        <w:spacing w:line="360" w:lineRule="auto"/>
        <w:rPr>
          <w:rFonts w:ascii="宋体" w:hAnsi="宋体" w:eastAsia="宋体" w:cs="宋体"/>
          <w:b/>
          <w:color w:val="auto"/>
          <w:szCs w:val="21"/>
          <w:highlight w:val="none"/>
        </w:rPr>
      </w:pPr>
      <w:bookmarkStart w:id="931" w:name="_Toc18349_WPSOffice_Level2"/>
    </w:p>
    <w:p w14:paraId="00626007">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931"/>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134"/>
        <w:gridCol w:w="7655"/>
        <w:gridCol w:w="907"/>
      </w:tblGrid>
      <w:tr w14:paraId="15487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674" w:type="dxa"/>
            <w:tcBorders>
              <w:top w:val="single" w:color="auto" w:sz="4" w:space="0"/>
              <w:left w:val="single" w:color="auto" w:sz="4" w:space="0"/>
              <w:bottom w:val="single" w:color="auto" w:sz="4" w:space="0"/>
              <w:right w:val="single" w:color="auto" w:sz="4" w:space="0"/>
            </w:tcBorders>
            <w:vAlign w:val="bottom"/>
          </w:tcPr>
          <w:p w14:paraId="0ED83F0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1134" w:type="dxa"/>
            <w:tcBorders>
              <w:top w:val="single" w:color="auto" w:sz="4" w:space="0"/>
              <w:left w:val="single" w:color="auto" w:sz="4" w:space="0"/>
              <w:bottom w:val="single" w:color="auto" w:sz="4" w:space="0"/>
              <w:right w:val="single" w:color="auto" w:sz="4" w:space="0"/>
            </w:tcBorders>
            <w:vAlign w:val="bottom"/>
          </w:tcPr>
          <w:p w14:paraId="7A00F57F">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5" w:type="dxa"/>
            <w:tcBorders>
              <w:top w:val="single" w:color="auto" w:sz="4" w:space="0"/>
              <w:left w:val="single" w:color="auto" w:sz="4" w:space="0"/>
              <w:bottom w:val="single" w:color="auto" w:sz="4" w:space="0"/>
              <w:right w:val="single" w:color="auto" w:sz="4" w:space="0"/>
            </w:tcBorders>
            <w:vAlign w:val="bottom"/>
          </w:tcPr>
          <w:p w14:paraId="11BC8DD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bottom"/>
          </w:tcPr>
          <w:p w14:paraId="7495C2C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68AF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77E1DC1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14:paraId="43B639D9">
            <w:pPr>
              <w:keepNext w:val="0"/>
              <w:keepLines w:val="0"/>
              <w:suppressLineNumbers w:val="0"/>
              <w:spacing w:before="0" w:beforeAutospacing="0" w:after="0" w:afterAutospacing="0" w:line="360" w:lineRule="auto"/>
              <w:ind w:left="0" w:right="0"/>
              <w:jc w:val="center"/>
              <w:rPr>
                <w:rFonts w:hint="default" w:ascii="宋体" w:hAnsi="宋体" w:eastAsia="宋体" w:cs="Times New Roman"/>
                <w:bCs/>
                <w:color w:val="auto"/>
                <w:kern w:val="0"/>
                <w:sz w:val="24"/>
                <w:szCs w:val="21"/>
                <w:highlight w:val="none"/>
              </w:rPr>
            </w:pPr>
            <w:r>
              <w:rPr>
                <w:rFonts w:hint="eastAsia" w:ascii="宋体" w:hAnsi="宋体" w:eastAsia="宋体" w:cs="宋体"/>
                <w:color w:val="auto"/>
                <w:szCs w:val="21"/>
                <w:highlight w:val="none"/>
                <w:lang w:val="zh-CN"/>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14:paraId="6D64A364">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val="zh-CN"/>
              </w:rPr>
              <w:t>年-20</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年三个年度，每具有1个年度盈利的得</w:t>
            </w:r>
            <w:r>
              <w:rPr>
                <w:rFonts w:hint="eastAsia" w:ascii="宋体" w:hAnsi="宋体" w:eastAsia="宋体" w:cs="宋体"/>
                <w:color w:val="auto"/>
                <w:szCs w:val="21"/>
                <w:highlight w:val="none"/>
              </w:rPr>
              <w:t>0.5</w:t>
            </w:r>
            <w:r>
              <w:rPr>
                <w:rFonts w:hint="eastAsia" w:ascii="宋体" w:hAnsi="宋体" w:eastAsia="宋体" w:cs="宋体"/>
                <w:color w:val="auto"/>
                <w:szCs w:val="21"/>
                <w:highlight w:val="none"/>
                <w:lang w:val="zh-CN"/>
              </w:rPr>
              <w:t>分，满分</w:t>
            </w: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val="zh-CN"/>
              </w:rPr>
              <w:t>分。</w:t>
            </w:r>
          </w:p>
          <w:p w14:paraId="2A82385C">
            <w:pPr>
              <w:keepNext w:val="0"/>
              <w:keepLines w:val="0"/>
              <w:suppressLineNumbers w:val="0"/>
              <w:spacing w:before="0" w:beforeAutospacing="0" w:after="0" w:afterAutospacing="0" w:line="360" w:lineRule="auto"/>
              <w:ind w:left="0" w:right="0"/>
              <w:contextualSpacing/>
              <w:rPr>
                <w:rFonts w:hint="default" w:ascii="宋体" w:hAnsi="宋体" w:eastAsia="宋体" w:cs="Times New Roman"/>
                <w:b/>
                <w:color w:val="auto"/>
                <w:kern w:val="0"/>
                <w:szCs w:val="21"/>
                <w:highlight w:val="none"/>
                <w:lang w:val="zh-CN"/>
              </w:rPr>
            </w:pPr>
            <w:r>
              <w:rPr>
                <w:rFonts w:hint="eastAsia" w:ascii="宋体" w:hAnsi="宋体" w:eastAsia="宋体" w:cs="宋体"/>
                <w:b/>
                <w:color w:val="auto"/>
                <w:szCs w:val="21"/>
                <w:highlight w:val="none"/>
                <w:lang w:val="zh-CN"/>
              </w:rPr>
              <w:t>备注：</w:t>
            </w:r>
            <w:r>
              <w:rPr>
                <w:rFonts w:hint="eastAsia" w:ascii="宋体" w:hAnsi="宋体" w:eastAsia="宋体" w:cs="宋体"/>
                <w:b/>
                <w:color w:val="auto"/>
                <w:szCs w:val="21"/>
                <w:highlight w:val="none"/>
                <w:lang w:val="en-US" w:eastAsia="zh-CN"/>
              </w:rPr>
              <w:t>盈利指净利润为正数（非零、非负数），</w:t>
            </w:r>
            <w:r>
              <w:rPr>
                <w:rFonts w:hint="eastAsia" w:ascii="宋体" w:hAnsi="宋体" w:eastAsia="宋体" w:cs="宋体"/>
                <w:b/>
                <w:color w:val="auto"/>
                <w:szCs w:val="21"/>
                <w:highlight w:val="none"/>
                <w:lang w:val="zh-CN"/>
              </w:rPr>
              <w:t>投标人应提供202</w:t>
            </w:r>
            <w:r>
              <w:rPr>
                <w:rFonts w:hint="eastAsia" w:ascii="宋体" w:hAnsi="宋体" w:eastAsia="宋体" w:cs="宋体"/>
                <w:b/>
                <w:color w:val="auto"/>
                <w:szCs w:val="21"/>
                <w:highlight w:val="none"/>
                <w:lang w:val="en-US" w:eastAsia="zh-CN"/>
              </w:rPr>
              <w:t>1</w:t>
            </w:r>
            <w:r>
              <w:rPr>
                <w:rFonts w:hint="eastAsia" w:ascii="宋体" w:hAnsi="宋体" w:eastAsia="宋体" w:cs="宋体"/>
                <w:b/>
                <w:color w:val="auto"/>
                <w:szCs w:val="21"/>
                <w:highlight w:val="none"/>
                <w:lang w:val="zh-CN"/>
              </w:rPr>
              <w:t>年、202</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lang w:val="zh-CN"/>
              </w:rPr>
              <w:t>年、202</w:t>
            </w:r>
            <w:r>
              <w:rPr>
                <w:rFonts w:hint="eastAsia" w:ascii="宋体" w:hAnsi="宋体" w:eastAsia="宋体" w:cs="宋体"/>
                <w:b/>
                <w:color w:val="auto"/>
                <w:szCs w:val="21"/>
                <w:highlight w:val="none"/>
                <w:lang w:val="en-US" w:eastAsia="zh-CN"/>
              </w:rPr>
              <w:t>3</w:t>
            </w:r>
            <w:r>
              <w:rPr>
                <w:rFonts w:hint="eastAsia" w:ascii="宋体" w:hAnsi="宋体" w:eastAsia="宋体" w:cs="宋体"/>
                <w:b/>
                <w:color w:val="auto"/>
                <w:szCs w:val="21"/>
                <w:highlight w:val="none"/>
                <w:lang w:val="zh-CN"/>
              </w:rPr>
              <w:t>年三个年度的财务报</w:t>
            </w:r>
            <w:r>
              <w:rPr>
                <w:rFonts w:hint="eastAsia" w:ascii="宋体" w:hAnsi="宋体" w:eastAsia="宋体" w:cs="宋体"/>
                <w:b/>
                <w:color w:val="auto"/>
                <w:szCs w:val="21"/>
                <w:highlight w:val="none"/>
                <w:lang w:val="en-US" w:eastAsia="zh-CN"/>
              </w:rPr>
              <w:t>表</w:t>
            </w:r>
            <w:r>
              <w:rPr>
                <w:rFonts w:hint="eastAsia" w:ascii="宋体" w:hAnsi="宋体" w:eastAsia="宋体" w:cs="宋体"/>
                <w:b/>
                <w:color w:val="auto"/>
                <w:szCs w:val="21"/>
                <w:highlight w:val="none"/>
                <w:lang w:val="zh-CN"/>
              </w:rPr>
              <w:t>，净利润以</w:t>
            </w:r>
            <w:r>
              <w:rPr>
                <w:rFonts w:hint="eastAsia" w:ascii="宋体" w:hAnsi="宋体" w:eastAsia="宋体" w:cs="宋体"/>
                <w:b/>
                <w:color w:val="auto"/>
                <w:szCs w:val="21"/>
                <w:highlight w:val="none"/>
                <w:lang w:val="en-US" w:eastAsia="zh-CN"/>
              </w:rPr>
              <w:t>对应年度</w:t>
            </w:r>
            <w:r>
              <w:rPr>
                <w:rFonts w:hint="eastAsia" w:ascii="宋体" w:hAnsi="宋体" w:eastAsia="宋体" w:cs="宋体"/>
                <w:b/>
                <w:color w:val="auto"/>
                <w:szCs w:val="21"/>
                <w:highlight w:val="none"/>
                <w:lang w:val="zh-CN"/>
              </w:rPr>
              <w:t>经审计的财务报表为准，应提供经独立会计师事务所审计过的有效的财务报告</w:t>
            </w:r>
            <w:r>
              <w:rPr>
                <w:rFonts w:hint="eastAsia" w:ascii="宋体" w:hAnsi="宋体" w:eastAsia="宋体" w:cs="宋体"/>
                <w:b/>
                <w:color w:val="auto"/>
                <w:szCs w:val="21"/>
                <w:highlight w:val="none"/>
                <w:lang w:val="en-US" w:eastAsia="zh-CN"/>
              </w:rPr>
              <w:t>复印件</w:t>
            </w:r>
            <w:r>
              <w:rPr>
                <w:rFonts w:hint="eastAsia" w:ascii="宋体" w:hAnsi="宋体" w:eastAsia="宋体" w:cs="宋体"/>
                <w:b/>
                <w:color w:val="auto"/>
                <w:szCs w:val="21"/>
                <w:highlight w:val="none"/>
                <w:lang w:val="zh-CN"/>
              </w:rPr>
              <w:t>；未提供前述财务报</w:t>
            </w:r>
            <w:r>
              <w:rPr>
                <w:rFonts w:hint="eastAsia" w:ascii="宋体" w:hAnsi="宋体" w:eastAsia="宋体" w:cs="宋体"/>
                <w:b/>
                <w:color w:val="auto"/>
                <w:szCs w:val="21"/>
                <w:highlight w:val="none"/>
                <w:lang w:val="en-US" w:eastAsia="zh-CN"/>
              </w:rPr>
              <w:t>表</w:t>
            </w:r>
            <w:r>
              <w:rPr>
                <w:rFonts w:hint="eastAsia" w:ascii="宋体" w:hAnsi="宋体" w:eastAsia="宋体" w:cs="宋体"/>
                <w:b/>
                <w:color w:val="auto"/>
                <w:szCs w:val="21"/>
                <w:highlight w:val="none"/>
                <w:lang w:val="zh-CN"/>
              </w:rPr>
              <w:t>或财务报</w:t>
            </w:r>
            <w:r>
              <w:rPr>
                <w:rFonts w:hint="eastAsia" w:ascii="宋体" w:hAnsi="宋体" w:eastAsia="宋体" w:cs="宋体"/>
                <w:b/>
                <w:color w:val="auto"/>
                <w:szCs w:val="21"/>
                <w:highlight w:val="none"/>
                <w:lang w:val="en-US" w:eastAsia="zh-CN"/>
              </w:rPr>
              <w:t>表</w:t>
            </w:r>
            <w:r>
              <w:rPr>
                <w:rFonts w:hint="eastAsia" w:ascii="宋体" w:hAnsi="宋体" w:eastAsia="宋体" w:cs="宋体"/>
                <w:b/>
                <w:color w:val="auto"/>
                <w:szCs w:val="21"/>
                <w:highlight w:val="none"/>
                <w:lang w:val="zh-CN"/>
              </w:rPr>
              <w:t>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3572660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1.5分</w:t>
            </w:r>
          </w:p>
        </w:tc>
      </w:tr>
      <w:tr w14:paraId="7B7E6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CD854D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14:paraId="74843E0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lang w:val="zh-CN"/>
              </w:rPr>
            </w:pPr>
            <w:r>
              <w:rPr>
                <w:rFonts w:hint="eastAsia" w:ascii="宋体" w:hAnsi="宋体" w:eastAsia="宋体" w:cs="宋体"/>
                <w:color w:val="auto"/>
                <w:szCs w:val="21"/>
                <w:highlight w:val="none"/>
              </w:rPr>
              <w:t>标准化程度</w:t>
            </w:r>
          </w:p>
        </w:tc>
        <w:tc>
          <w:tcPr>
            <w:tcW w:w="7655" w:type="dxa"/>
            <w:tcBorders>
              <w:top w:val="single" w:color="auto" w:sz="4" w:space="0"/>
              <w:left w:val="single" w:color="auto" w:sz="4" w:space="0"/>
              <w:bottom w:val="single" w:color="auto" w:sz="4" w:space="0"/>
              <w:right w:val="single" w:color="auto" w:sz="4" w:space="0"/>
            </w:tcBorders>
            <w:vAlign w:val="center"/>
          </w:tcPr>
          <w:p w14:paraId="14C54424">
            <w:pPr>
              <w:keepNext w:val="0"/>
              <w:keepLines w:val="0"/>
              <w:suppressLineNumbers w:val="0"/>
              <w:tabs>
                <w:tab w:val="left" w:pos="134"/>
              </w:tabs>
              <w:spacing w:before="0" w:beforeAutospacing="0" w:after="0" w:afterAutospacing="0" w:line="360" w:lineRule="auto"/>
              <w:ind w:left="0" w:right="0"/>
              <w:contextualSpacing/>
              <w:rPr>
                <w:rFonts w:hint="default" w:ascii="宋体" w:hAnsi="宋体" w:eastAsia="宋体" w:cs="宋体"/>
                <w:color w:val="auto"/>
                <w:szCs w:val="21"/>
                <w:highlight w:val="none"/>
              </w:rPr>
            </w:pPr>
            <w:r>
              <w:rPr>
                <w:rFonts w:hint="eastAsia" w:ascii="宋体" w:hAnsi="宋体" w:eastAsia="宋体" w:cs="宋体"/>
                <w:color w:val="auto"/>
                <w:szCs w:val="21"/>
                <w:highlight w:val="none"/>
              </w:rPr>
              <w:t>(1)投标人具有有效期内的ISO9001质量管理体系认证证书得0.5分；</w:t>
            </w:r>
          </w:p>
          <w:p w14:paraId="60C662D5">
            <w:pPr>
              <w:keepNext w:val="0"/>
              <w:keepLines w:val="0"/>
              <w:suppressLineNumbers w:val="0"/>
              <w:tabs>
                <w:tab w:val="left" w:pos="134"/>
              </w:tabs>
              <w:spacing w:before="0" w:beforeAutospacing="0" w:after="0" w:afterAutospacing="0" w:line="360" w:lineRule="auto"/>
              <w:ind w:left="0" w:right="0"/>
              <w:contextualSpacing/>
              <w:rPr>
                <w:rFonts w:hint="default" w:ascii="宋体" w:hAnsi="宋体" w:eastAsia="宋体" w:cs="宋体"/>
                <w:color w:val="auto"/>
                <w:szCs w:val="21"/>
                <w:highlight w:val="none"/>
              </w:rPr>
            </w:pPr>
            <w:r>
              <w:rPr>
                <w:rFonts w:hint="eastAsia" w:ascii="宋体" w:hAnsi="宋体" w:eastAsia="宋体" w:cs="宋体"/>
                <w:color w:val="auto"/>
                <w:szCs w:val="21"/>
                <w:highlight w:val="none"/>
              </w:rPr>
              <w:t>(2)投标人具有有效期内的ISO14001环境管理体系认证证书得0.5分；</w:t>
            </w:r>
          </w:p>
          <w:p w14:paraId="3BAC01F6">
            <w:pPr>
              <w:keepNext w:val="0"/>
              <w:keepLines w:val="0"/>
              <w:suppressLineNumbers w:val="0"/>
              <w:tabs>
                <w:tab w:val="left" w:pos="134"/>
              </w:tabs>
              <w:spacing w:before="0" w:beforeAutospacing="0" w:after="0" w:afterAutospacing="0" w:line="360" w:lineRule="auto"/>
              <w:ind w:left="0" w:right="0"/>
              <w:contextualSpacing/>
              <w:rPr>
                <w:rFonts w:hint="default" w:ascii="宋体" w:hAnsi="宋体" w:eastAsia="宋体" w:cs="宋体"/>
                <w:color w:val="auto"/>
                <w:szCs w:val="21"/>
                <w:highlight w:val="none"/>
              </w:rPr>
            </w:pPr>
            <w:r>
              <w:rPr>
                <w:rFonts w:hint="eastAsia" w:ascii="宋体" w:hAnsi="宋体" w:eastAsia="宋体" w:cs="宋体"/>
                <w:color w:val="auto"/>
                <w:szCs w:val="21"/>
                <w:highlight w:val="none"/>
              </w:rPr>
              <w:t>(3)投标人具有有效期内的OHSAS18001（或GB/T45001-2020，或IS045001）职业健康安全管理体系认证证书得0.5分。</w:t>
            </w:r>
          </w:p>
          <w:p w14:paraId="3EA9516D">
            <w:pPr>
              <w:keepNext w:val="0"/>
              <w:keepLines w:val="0"/>
              <w:suppressLineNumbers w:val="0"/>
              <w:spacing w:before="0" w:beforeAutospacing="0" w:after="0" w:afterAutospacing="0" w:line="360" w:lineRule="auto"/>
              <w:ind w:left="0" w:right="0"/>
              <w:contextualSpacing/>
              <w:rPr>
                <w:rFonts w:hint="default" w:ascii="宋体" w:hAnsi="宋体" w:eastAsia="宋体" w:cs="Times New Roman"/>
                <w:b/>
                <w:color w:val="auto"/>
                <w:kern w:val="0"/>
                <w:sz w:val="24"/>
                <w:szCs w:val="24"/>
                <w:highlight w:val="none"/>
              </w:rPr>
            </w:pPr>
            <w:r>
              <w:rPr>
                <w:rFonts w:hint="eastAsia" w:ascii="宋体" w:hAnsi="宋体" w:eastAsia="宋体" w:cs="宋体"/>
                <w:b/>
                <w:color w:val="auto"/>
                <w:szCs w:val="21"/>
                <w:highlight w:val="none"/>
              </w:rPr>
              <w:t>备注：投标人应提供上述证书复印件及能显示证书有效状态的全国认证认可信息公共服务平台（http://cx.cnca.cn/）查询结果凭证{凭证界面需显示有“全国认证认可信息公共服务平台”或“认证证书（需显示网址cx.cnca.cn）”}，否则不得分。</w:t>
            </w:r>
          </w:p>
        </w:tc>
        <w:tc>
          <w:tcPr>
            <w:tcW w:w="907" w:type="dxa"/>
            <w:tcBorders>
              <w:top w:val="single" w:color="auto" w:sz="4" w:space="0"/>
              <w:left w:val="single" w:color="auto" w:sz="4" w:space="0"/>
              <w:bottom w:val="single" w:color="auto" w:sz="4" w:space="0"/>
              <w:right w:val="single" w:color="auto" w:sz="4" w:space="0"/>
            </w:tcBorders>
            <w:vAlign w:val="center"/>
          </w:tcPr>
          <w:p w14:paraId="13A2D99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1.5分</w:t>
            </w:r>
          </w:p>
        </w:tc>
      </w:tr>
      <w:tr w14:paraId="6CF80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6FA7F8C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bookmarkStart w:id="932" w:name="_Hlk104987354"/>
            <w:r>
              <w:rPr>
                <w:rFonts w:hint="eastAsia" w:ascii="宋体" w:hAnsi="宋体" w:eastAsia="宋体" w:cs="宋体"/>
                <w:color w:val="auto"/>
                <w:szCs w:val="21"/>
                <w:highlight w:val="none"/>
              </w:rPr>
              <w:t>3</w:t>
            </w:r>
          </w:p>
        </w:tc>
        <w:tc>
          <w:tcPr>
            <w:tcW w:w="1134" w:type="dxa"/>
            <w:tcBorders>
              <w:top w:val="single" w:color="auto" w:sz="4" w:space="0"/>
              <w:left w:val="single" w:color="auto" w:sz="4" w:space="0"/>
              <w:bottom w:val="single" w:color="auto" w:sz="4" w:space="0"/>
              <w:right w:val="single" w:color="auto" w:sz="4" w:space="0"/>
            </w:tcBorders>
            <w:vAlign w:val="center"/>
          </w:tcPr>
          <w:p w14:paraId="18D69FD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7D5C048B">
            <w:pPr>
              <w:keepNext w:val="0"/>
              <w:keepLines w:val="0"/>
              <w:suppressLineNumbers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eastAsia="zh-CN"/>
              </w:rPr>
              <w:t>2020年1月1日</w:t>
            </w:r>
            <w:r>
              <w:rPr>
                <w:rFonts w:hint="eastAsia" w:ascii="宋体" w:hAnsi="宋体" w:eastAsia="宋体" w:cs="宋体"/>
                <w:color w:val="auto"/>
                <w:szCs w:val="21"/>
                <w:highlight w:val="none"/>
              </w:rPr>
              <w:t>（以合同签订日期为准）至今承接的市政工程检测业绩，按下列情况评分（满分</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分）：</w:t>
            </w:r>
          </w:p>
          <w:p w14:paraId="0E7929F7">
            <w:pPr>
              <w:keepNext w:val="0"/>
              <w:keepLines w:val="0"/>
              <w:suppressLineNumbers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①单项合同金额≥</w:t>
            </w:r>
            <w:r>
              <w:rPr>
                <w:rFonts w:hint="eastAsia" w:ascii="宋体" w:hAnsi="宋体" w:eastAsia="宋体" w:cs="宋体"/>
                <w:color w:val="auto"/>
                <w:szCs w:val="21"/>
                <w:highlight w:val="none"/>
                <w:lang w:val="en-US" w:eastAsia="zh-CN"/>
              </w:rPr>
              <w:t>190</w:t>
            </w:r>
            <w:r>
              <w:rPr>
                <w:rFonts w:hint="eastAsia" w:ascii="宋体" w:hAnsi="宋体" w:eastAsia="宋体" w:cs="宋体"/>
                <w:color w:val="auto"/>
                <w:szCs w:val="21"/>
                <w:highlight w:val="none"/>
              </w:rPr>
              <w:t>万元的前述业绩的，每项得</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p w14:paraId="6173C8B0">
            <w:pPr>
              <w:keepNext w:val="0"/>
              <w:keepLines w:val="0"/>
              <w:suppressLineNumbers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val="en-US" w:eastAsia="zh-CN"/>
              </w:rPr>
              <w:t>120</w:t>
            </w:r>
            <w:r>
              <w:rPr>
                <w:rFonts w:hint="eastAsia" w:ascii="宋体" w:hAnsi="宋体" w:eastAsia="宋体" w:cs="宋体"/>
                <w:color w:val="auto"/>
                <w:szCs w:val="21"/>
                <w:highlight w:val="none"/>
              </w:rPr>
              <w:t>万元≤单项合同金额＜</w:t>
            </w:r>
            <w:r>
              <w:rPr>
                <w:rFonts w:hint="eastAsia" w:ascii="宋体" w:hAnsi="宋体" w:eastAsia="宋体" w:cs="宋体"/>
                <w:color w:val="auto"/>
                <w:szCs w:val="21"/>
                <w:highlight w:val="none"/>
                <w:lang w:val="en-US" w:eastAsia="zh-CN"/>
              </w:rPr>
              <w:t>190</w:t>
            </w:r>
            <w:r>
              <w:rPr>
                <w:rFonts w:hint="eastAsia" w:ascii="宋体" w:hAnsi="宋体" w:eastAsia="宋体" w:cs="宋体"/>
                <w:color w:val="auto"/>
                <w:szCs w:val="21"/>
                <w:highlight w:val="none"/>
              </w:rPr>
              <w:t>万元的前述业绩的，每项得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6255EE08">
            <w:pPr>
              <w:keepNext w:val="0"/>
              <w:keepLines w:val="0"/>
              <w:suppressLineNumbers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③</w:t>
            </w:r>
            <w:r>
              <w:rPr>
                <w:rFonts w:hint="eastAsia" w:ascii="宋体" w:hAnsi="宋体" w:eastAsia="宋体" w:cs="宋体"/>
                <w:color w:val="auto"/>
                <w:szCs w:val="21"/>
                <w:highlight w:val="none"/>
                <w:lang w:val="en-US" w:eastAsia="zh-CN"/>
              </w:rPr>
              <w:t>60</w:t>
            </w:r>
            <w:r>
              <w:rPr>
                <w:rFonts w:hint="eastAsia" w:ascii="宋体" w:hAnsi="宋体" w:eastAsia="宋体" w:cs="宋体"/>
                <w:color w:val="auto"/>
                <w:szCs w:val="21"/>
                <w:highlight w:val="none"/>
              </w:rPr>
              <w:t>万元≤单项合同金额＜</w:t>
            </w:r>
            <w:r>
              <w:rPr>
                <w:rFonts w:hint="eastAsia" w:ascii="宋体" w:hAnsi="宋体" w:eastAsia="宋体" w:cs="宋体"/>
                <w:color w:val="auto"/>
                <w:szCs w:val="21"/>
                <w:highlight w:val="none"/>
                <w:lang w:val="en-US" w:eastAsia="zh-CN"/>
              </w:rPr>
              <w:t>120</w:t>
            </w:r>
            <w:r>
              <w:rPr>
                <w:rFonts w:hint="eastAsia" w:ascii="宋体" w:hAnsi="宋体" w:eastAsia="宋体" w:cs="宋体"/>
                <w:color w:val="auto"/>
                <w:szCs w:val="21"/>
                <w:highlight w:val="none"/>
              </w:rPr>
              <w:t>万元的前述业绩的，每项得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分，本子项满分6分。</w:t>
            </w:r>
          </w:p>
          <w:p w14:paraId="581140C2">
            <w:pPr>
              <w:keepNext w:val="0"/>
              <w:keepLines w:val="0"/>
              <w:suppressLineNumbers w:val="0"/>
              <w:spacing w:before="0" w:beforeAutospacing="0" w:after="0" w:afterAutospacing="0" w:line="400" w:lineRule="exact"/>
              <w:ind w:left="0" w:right="0"/>
              <w:rPr>
                <w:rFonts w:hint="default"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rPr>
              <w:t>备注：</w:t>
            </w:r>
          </w:p>
          <w:p w14:paraId="05DA6C21">
            <w:pPr>
              <w:keepNext w:val="0"/>
              <w:keepLines w:val="0"/>
              <w:suppressLineNumbers w:val="0"/>
              <w:spacing w:before="0" w:beforeAutospacing="0" w:after="0" w:afterAutospacing="0" w:line="400" w:lineRule="exact"/>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1）业绩须附合同复印件，否则不得分；</w:t>
            </w:r>
          </w:p>
          <w:p w14:paraId="39A9322F">
            <w:pPr>
              <w:keepNext w:val="0"/>
              <w:keepLines w:val="0"/>
              <w:suppressLineNumbers w:val="0"/>
              <w:spacing w:before="0" w:beforeAutospacing="0" w:after="0" w:afterAutospacing="0" w:line="400" w:lineRule="exact"/>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2）合同业绩证明材料必须能反映评分条件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合同签订日期为</w:t>
            </w:r>
            <w:r>
              <w:rPr>
                <w:rFonts w:hint="eastAsia" w:ascii="宋体" w:hAnsi="宋体" w:eastAsia="宋体" w:cs="宋体"/>
                <w:b/>
                <w:bCs/>
                <w:color w:val="auto"/>
                <w:szCs w:val="21"/>
                <w:highlight w:val="none"/>
                <w:lang w:eastAsia="zh-CN"/>
              </w:rPr>
              <w:t>2020年1月1日</w:t>
            </w:r>
            <w:r>
              <w:rPr>
                <w:rFonts w:hint="eastAsia" w:ascii="宋体" w:hAnsi="宋体" w:eastAsia="宋体" w:cs="宋体"/>
                <w:b/>
                <w:bCs/>
                <w:color w:val="auto"/>
                <w:szCs w:val="21"/>
                <w:highlight w:val="none"/>
              </w:rPr>
              <w:t>或以后，业绩类型为市政工程检测，合同金额</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若合同内容无法反映合同金额的，需提供可反映合同金额的结算资料复印件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，否则需同时提供</w:t>
            </w:r>
            <w:r>
              <w:rPr>
                <w:rFonts w:hint="eastAsia" w:ascii="宋体" w:hAnsi="宋体" w:eastAsia="宋体" w:cs="宋体"/>
                <w:b/>
                <w:bCs/>
                <w:color w:val="auto"/>
                <w:szCs w:val="21"/>
                <w:highlight w:val="none"/>
                <w:lang w:val="en-US" w:eastAsia="zh-CN"/>
              </w:rPr>
              <w:t>合同委托方</w:t>
            </w:r>
            <w:r>
              <w:rPr>
                <w:rFonts w:hint="eastAsia" w:ascii="宋体" w:hAnsi="宋体" w:eastAsia="宋体" w:cs="宋体"/>
                <w:b/>
                <w:bCs/>
                <w:color w:val="auto"/>
                <w:szCs w:val="21"/>
                <w:highlight w:val="none"/>
              </w:rPr>
              <w:t>出具的书面补充情况说明文件复印件</w:t>
            </w:r>
            <w:r>
              <w:rPr>
                <w:rFonts w:hint="eastAsia" w:ascii="宋体" w:hAnsi="宋体" w:eastAsia="宋体" w:cs="宋体"/>
                <w:b/>
                <w:bCs/>
                <w:color w:val="auto"/>
                <w:szCs w:val="21"/>
                <w:highlight w:val="none"/>
                <w:lang w:eastAsia="zh-CN"/>
              </w:rPr>
              <w:t>（需加盖委托方公章，即复印件能显示委托方公章）</w:t>
            </w:r>
            <w:r>
              <w:rPr>
                <w:rFonts w:hint="eastAsia" w:ascii="宋体" w:hAnsi="宋体" w:eastAsia="宋体" w:cs="宋体"/>
                <w:b/>
                <w:bCs/>
                <w:color w:val="auto"/>
                <w:szCs w:val="21"/>
                <w:highlight w:val="none"/>
              </w:rPr>
              <w:t>；</w:t>
            </w:r>
          </w:p>
          <w:p w14:paraId="1606227E">
            <w:pPr>
              <w:keepNext w:val="0"/>
              <w:keepLines w:val="0"/>
              <w:suppressLineNumbers w:val="0"/>
              <w:spacing w:before="0" w:beforeAutospacing="0" w:after="0" w:afterAutospacing="0" w:line="400" w:lineRule="exact"/>
              <w:ind w:left="0" w:right="0"/>
              <w:rPr>
                <w:rFonts w:hint="default"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3）未按上述要求提供证明材料的业绩，或所附材料无法证明填报项目符合本项评分要求的业绩，在评标时将不予考虑。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14:paraId="45DA2430">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分</w:t>
            </w:r>
          </w:p>
        </w:tc>
      </w:tr>
      <w:tr w14:paraId="72DC8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vMerge w:val="restart"/>
            <w:tcBorders>
              <w:top w:val="single" w:color="auto" w:sz="4" w:space="0"/>
              <w:left w:val="single" w:color="auto" w:sz="4" w:space="0"/>
              <w:bottom w:val="single" w:color="auto" w:sz="4" w:space="0"/>
              <w:right w:val="single" w:color="auto" w:sz="4" w:space="0"/>
            </w:tcBorders>
            <w:vAlign w:val="center"/>
          </w:tcPr>
          <w:p w14:paraId="5A4D73D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bookmarkStart w:id="933" w:name="_Toc11639_WPSOffice_Level2"/>
            <w:r>
              <w:rPr>
                <w:rFonts w:hint="eastAsia" w:ascii="宋体" w:hAnsi="宋体" w:eastAsia="宋体" w:cs="宋体"/>
                <w:color w:val="auto"/>
                <w:szCs w:val="21"/>
                <w:highlight w:val="none"/>
                <w:lang w:val="en-US" w:eastAsia="zh-CN"/>
              </w:rPr>
              <w:t>4</w:t>
            </w:r>
          </w:p>
        </w:tc>
        <w:tc>
          <w:tcPr>
            <w:tcW w:w="1134" w:type="dxa"/>
            <w:vMerge w:val="restart"/>
            <w:tcBorders>
              <w:top w:val="single" w:color="auto" w:sz="4" w:space="0"/>
              <w:left w:val="single" w:color="auto" w:sz="4" w:space="0"/>
              <w:bottom w:val="single" w:color="auto" w:sz="4" w:space="0"/>
              <w:right w:val="single" w:color="auto" w:sz="4" w:space="0"/>
            </w:tcBorders>
            <w:vAlign w:val="center"/>
          </w:tcPr>
          <w:p w14:paraId="41B2EE5A">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拟投入人员情况</w:t>
            </w:r>
          </w:p>
        </w:tc>
        <w:tc>
          <w:tcPr>
            <w:tcW w:w="7655" w:type="dxa"/>
            <w:tcBorders>
              <w:top w:val="single" w:color="auto" w:sz="4" w:space="0"/>
              <w:left w:val="single" w:color="auto" w:sz="4" w:space="0"/>
              <w:bottom w:val="single" w:color="auto" w:sz="4" w:space="0"/>
              <w:right w:val="single" w:color="auto" w:sz="4" w:space="0"/>
            </w:tcBorders>
            <w:vAlign w:val="center"/>
          </w:tcPr>
          <w:p w14:paraId="1C1B7726">
            <w:pPr>
              <w:keepNext w:val="0"/>
              <w:keepLines w:val="0"/>
              <w:suppressLineNumbers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(1)项目负责人（满分</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24125865">
            <w:pPr>
              <w:keepNext w:val="0"/>
              <w:keepLines w:val="0"/>
              <w:suppressLineNumbers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①具有工程类专业高级工程师职称的，得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51B69098">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eastAsia="zh-CN"/>
              </w:rPr>
              <w:t>2020年1月1日</w:t>
            </w:r>
            <w:r>
              <w:rPr>
                <w:rFonts w:hint="eastAsia" w:ascii="宋体" w:hAnsi="宋体" w:eastAsia="宋体" w:cs="宋体"/>
                <w:color w:val="auto"/>
                <w:szCs w:val="21"/>
                <w:highlight w:val="none"/>
              </w:rPr>
              <w:t>以来（以合同签订日期为准），作为项目负责人，承接过一项市政工程检测项目的，得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60242CCA">
            <w:pPr>
              <w:keepNext w:val="0"/>
              <w:keepLines w:val="0"/>
              <w:suppressLineNumbers w:val="0"/>
              <w:spacing w:before="0" w:beforeAutospacing="0" w:after="0" w:afterAutospacing="0" w:line="400" w:lineRule="exact"/>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0CD53695">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1）须提供身份证、职称证书、社会保障部门出具的最近1年（即</w:t>
            </w:r>
            <w:r>
              <w:rPr>
                <w:rFonts w:hint="eastAsia" w:ascii="宋体" w:hAnsi="宋体" w:eastAsia="宋体" w:cs="宋体"/>
                <w:b/>
                <w:bCs/>
                <w:color w:val="auto"/>
                <w:szCs w:val="21"/>
                <w:highlight w:val="none"/>
                <w:lang w:eastAsia="zh-CN"/>
              </w:rPr>
              <w:t>2024年2月至2025年1月</w:t>
            </w:r>
            <w:r>
              <w:rPr>
                <w:rFonts w:hint="eastAsia" w:ascii="宋体" w:hAnsi="宋体" w:eastAsia="宋体" w:cs="宋体"/>
                <w:b/>
                <w:bCs/>
                <w:color w:val="auto"/>
                <w:szCs w:val="21"/>
                <w:highlight w:val="none"/>
              </w:rPr>
              <w:t>）在投标人单位缴纳</w:t>
            </w:r>
            <w:r>
              <w:rPr>
                <w:rFonts w:hint="eastAsia" w:ascii="宋体" w:hAnsi="宋体" w:eastAsia="宋体" w:cs="宋体"/>
                <w:b/>
                <w:bCs/>
                <w:color w:val="auto"/>
                <w:szCs w:val="21"/>
                <w:highlight w:val="none"/>
                <w:lang w:eastAsia="zh-CN"/>
              </w:rPr>
              <w:t>社保</w:t>
            </w:r>
            <w:r>
              <w:rPr>
                <w:rFonts w:hint="eastAsia" w:ascii="宋体" w:hAnsi="宋体" w:eastAsia="宋体" w:cs="宋体"/>
                <w:b/>
                <w:bCs/>
                <w:color w:val="auto"/>
                <w:szCs w:val="21"/>
                <w:highlight w:val="none"/>
              </w:rPr>
              <w:t>有效凭证等证明材料复印件加盖投标人公章</w:t>
            </w:r>
            <w:r>
              <w:rPr>
                <w:rFonts w:hint="eastAsia" w:ascii="宋体" w:hAnsi="宋体" w:eastAsia="宋体" w:cs="宋体"/>
                <w:b/>
                <w:bCs/>
                <w:color w:val="auto"/>
                <w:szCs w:val="21"/>
                <w:highlight w:val="none"/>
                <w:lang w:eastAsia="zh-CN"/>
              </w:rPr>
              <w:t>；</w:t>
            </w:r>
          </w:p>
          <w:p w14:paraId="04C7361A">
            <w:pPr>
              <w:keepNext w:val="0"/>
              <w:keepLines w:val="0"/>
              <w:suppressLineNumbers w:val="0"/>
              <w:spacing w:before="0" w:beforeAutospacing="0" w:after="0" w:afterAutospacing="0" w:line="400" w:lineRule="exact"/>
              <w:ind w:left="0" w:right="0"/>
              <w:rPr>
                <w:rFonts w:hint="default"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2）项目负责人业绩须附合同复印件，合同业绩证明材料必须能反映评审条件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合同签订日期为</w:t>
            </w:r>
            <w:r>
              <w:rPr>
                <w:rFonts w:hint="eastAsia" w:ascii="宋体" w:hAnsi="宋体" w:eastAsia="宋体" w:cs="宋体"/>
                <w:b/>
                <w:bCs/>
                <w:color w:val="auto"/>
                <w:szCs w:val="21"/>
                <w:highlight w:val="none"/>
                <w:lang w:eastAsia="zh-CN"/>
              </w:rPr>
              <w:t>2020年1月1日</w:t>
            </w:r>
            <w:r>
              <w:rPr>
                <w:rFonts w:hint="eastAsia" w:ascii="宋体" w:hAnsi="宋体" w:eastAsia="宋体" w:cs="宋体"/>
                <w:b/>
                <w:bCs/>
                <w:color w:val="auto"/>
                <w:szCs w:val="21"/>
                <w:highlight w:val="none"/>
              </w:rPr>
              <w:t>或以后，业绩类型为市政工程检测，项目负责人信息</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，否则需同时提供</w:t>
            </w:r>
            <w:r>
              <w:rPr>
                <w:rFonts w:hint="eastAsia" w:ascii="宋体" w:hAnsi="宋体" w:eastAsia="宋体" w:cs="宋体"/>
                <w:b/>
                <w:bCs/>
                <w:color w:val="auto"/>
                <w:szCs w:val="21"/>
                <w:highlight w:val="none"/>
                <w:lang w:val="en-US" w:eastAsia="zh-CN"/>
              </w:rPr>
              <w:t>合同委托方</w:t>
            </w:r>
            <w:r>
              <w:rPr>
                <w:rFonts w:hint="eastAsia" w:ascii="宋体" w:hAnsi="宋体" w:eastAsia="宋体" w:cs="宋体"/>
                <w:b/>
                <w:bCs/>
                <w:color w:val="auto"/>
                <w:szCs w:val="21"/>
                <w:highlight w:val="none"/>
              </w:rPr>
              <w:t>出具的书面补充情况说明文件复印件</w:t>
            </w:r>
            <w:r>
              <w:rPr>
                <w:rFonts w:hint="eastAsia" w:ascii="宋体" w:hAnsi="宋体" w:eastAsia="宋体" w:cs="宋体"/>
                <w:b/>
                <w:bCs/>
                <w:color w:val="auto"/>
                <w:szCs w:val="21"/>
                <w:highlight w:val="none"/>
                <w:lang w:eastAsia="zh-CN"/>
              </w:rPr>
              <w:t>（需加盖委托方公章，即复印件能显示委托方公章）</w:t>
            </w:r>
            <w:r>
              <w:rPr>
                <w:rFonts w:hint="eastAsia" w:ascii="宋体" w:hAnsi="宋体" w:eastAsia="宋体" w:cs="宋体"/>
                <w:b/>
                <w:bCs/>
                <w:color w:val="auto"/>
                <w:szCs w:val="21"/>
                <w:highlight w:val="none"/>
              </w:rPr>
              <w:t>。</w:t>
            </w:r>
          </w:p>
        </w:tc>
        <w:tc>
          <w:tcPr>
            <w:tcW w:w="907" w:type="dxa"/>
            <w:vMerge w:val="restart"/>
            <w:tcBorders>
              <w:top w:val="single" w:color="auto" w:sz="4" w:space="0"/>
              <w:left w:val="single" w:color="auto" w:sz="4" w:space="0"/>
              <w:bottom w:val="single" w:color="auto" w:sz="4" w:space="0"/>
              <w:right w:val="single" w:color="auto" w:sz="4" w:space="0"/>
            </w:tcBorders>
            <w:vAlign w:val="center"/>
          </w:tcPr>
          <w:p w14:paraId="3D6917DF">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4"/>
                <w:highlight w:val="none"/>
              </w:rPr>
            </w:pP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分</w:t>
            </w:r>
          </w:p>
        </w:tc>
      </w:tr>
      <w:tr w14:paraId="55BD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4D4EA9E4">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BAD902D">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7655" w:type="dxa"/>
            <w:tcBorders>
              <w:top w:val="single" w:color="auto" w:sz="4" w:space="0"/>
              <w:left w:val="single" w:color="auto" w:sz="4" w:space="0"/>
              <w:bottom w:val="single" w:color="auto" w:sz="4" w:space="0"/>
              <w:right w:val="single" w:color="auto" w:sz="4" w:space="0"/>
            </w:tcBorders>
            <w:vAlign w:val="center"/>
          </w:tcPr>
          <w:p w14:paraId="7CDF84DB">
            <w:pPr>
              <w:keepNext w:val="0"/>
              <w:keepLines w:val="0"/>
              <w:suppressLineNumbers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(2)技术负责人（满分</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p w14:paraId="29B98C8D">
            <w:pPr>
              <w:keepNext w:val="0"/>
              <w:keepLines w:val="0"/>
              <w:suppressLineNumbers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①具有工程类专业高级工程师职称的，得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6D7433F7">
            <w:pPr>
              <w:keepNext w:val="0"/>
              <w:keepLines w:val="0"/>
              <w:suppressLineNumbers w:val="0"/>
              <w:spacing w:before="0" w:beforeAutospacing="0" w:after="0" w:afterAutospacing="0" w:line="400" w:lineRule="exact"/>
              <w:ind w:left="0" w:right="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②</w:t>
            </w:r>
            <w:r>
              <w:rPr>
                <w:rFonts w:hint="eastAsia" w:ascii="宋体" w:hAnsi="宋体" w:eastAsia="宋体" w:cs="宋体"/>
                <w:color w:val="auto"/>
                <w:szCs w:val="21"/>
                <w:highlight w:val="none"/>
                <w:lang w:eastAsia="zh-CN"/>
              </w:rPr>
              <w:t>2020年1月1日</w:t>
            </w:r>
            <w:r>
              <w:rPr>
                <w:rFonts w:hint="eastAsia" w:ascii="宋体" w:hAnsi="宋体" w:eastAsia="宋体" w:cs="宋体"/>
                <w:color w:val="auto"/>
                <w:szCs w:val="21"/>
                <w:highlight w:val="none"/>
              </w:rPr>
              <w:t>以来（以合同签订日期为准），作为技术负责人，承接过一项市政工程检测项目的，得</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eastAsia="zh-CN"/>
              </w:rPr>
              <w:t>。</w:t>
            </w:r>
          </w:p>
          <w:p w14:paraId="69752D62">
            <w:pPr>
              <w:keepNext w:val="0"/>
              <w:keepLines w:val="0"/>
              <w:suppressLineNumbers w:val="0"/>
              <w:spacing w:before="0" w:beforeAutospacing="0" w:after="0" w:afterAutospacing="0" w:line="400" w:lineRule="exact"/>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72351F29">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1）须提供身份证、职称证书、社会保障部门出具的最近1年（即</w:t>
            </w:r>
            <w:r>
              <w:rPr>
                <w:rFonts w:hint="eastAsia" w:ascii="宋体" w:hAnsi="宋体" w:eastAsia="宋体" w:cs="宋体"/>
                <w:b/>
                <w:bCs/>
                <w:color w:val="auto"/>
                <w:szCs w:val="21"/>
                <w:highlight w:val="none"/>
                <w:lang w:eastAsia="zh-CN"/>
              </w:rPr>
              <w:t>2024年2月至2025年1月</w:t>
            </w:r>
            <w:r>
              <w:rPr>
                <w:rFonts w:hint="eastAsia" w:ascii="宋体" w:hAnsi="宋体" w:eastAsia="宋体" w:cs="宋体"/>
                <w:b/>
                <w:bCs/>
                <w:color w:val="auto"/>
                <w:szCs w:val="21"/>
                <w:highlight w:val="none"/>
              </w:rPr>
              <w:t>）在投标人单位缴纳</w:t>
            </w:r>
            <w:r>
              <w:rPr>
                <w:rFonts w:hint="eastAsia" w:ascii="宋体" w:hAnsi="宋体" w:eastAsia="宋体" w:cs="宋体"/>
                <w:b/>
                <w:bCs/>
                <w:color w:val="auto"/>
                <w:szCs w:val="21"/>
                <w:highlight w:val="none"/>
                <w:lang w:eastAsia="zh-CN"/>
              </w:rPr>
              <w:t>社保</w:t>
            </w:r>
            <w:r>
              <w:rPr>
                <w:rFonts w:hint="eastAsia" w:ascii="宋体" w:hAnsi="宋体" w:eastAsia="宋体" w:cs="宋体"/>
                <w:b/>
                <w:bCs/>
                <w:color w:val="auto"/>
                <w:szCs w:val="21"/>
                <w:highlight w:val="none"/>
              </w:rPr>
              <w:t>有效凭证等证明材料复印件加盖投标人公章</w:t>
            </w:r>
            <w:r>
              <w:rPr>
                <w:rFonts w:hint="eastAsia" w:ascii="宋体" w:hAnsi="宋体" w:eastAsia="宋体" w:cs="宋体"/>
                <w:b/>
                <w:bCs/>
                <w:color w:val="auto"/>
                <w:szCs w:val="21"/>
                <w:highlight w:val="none"/>
                <w:lang w:eastAsia="zh-CN"/>
              </w:rPr>
              <w:t>；</w:t>
            </w:r>
          </w:p>
          <w:p w14:paraId="77DCF7AD">
            <w:pPr>
              <w:keepNext w:val="0"/>
              <w:keepLines w:val="0"/>
              <w:suppressLineNumbers w:val="0"/>
              <w:spacing w:before="0" w:beforeAutospacing="0" w:after="0" w:afterAutospacing="0" w:line="400" w:lineRule="exact"/>
              <w:ind w:left="0" w:right="0"/>
              <w:rPr>
                <w:rFonts w:hint="default"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2）技术负责人业绩须附合同复印件，合同业绩证明材料必须能反映评审条件</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合同签订日期为</w:t>
            </w:r>
            <w:r>
              <w:rPr>
                <w:rFonts w:hint="eastAsia" w:ascii="宋体" w:hAnsi="宋体" w:eastAsia="宋体" w:cs="宋体"/>
                <w:b/>
                <w:bCs/>
                <w:color w:val="auto"/>
                <w:szCs w:val="21"/>
                <w:highlight w:val="none"/>
                <w:lang w:eastAsia="zh-CN"/>
              </w:rPr>
              <w:t>2020年1月1日</w:t>
            </w:r>
            <w:r>
              <w:rPr>
                <w:rFonts w:hint="eastAsia" w:ascii="宋体" w:hAnsi="宋体" w:eastAsia="宋体" w:cs="宋体"/>
                <w:b/>
                <w:bCs/>
                <w:color w:val="auto"/>
                <w:szCs w:val="21"/>
                <w:highlight w:val="none"/>
              </w:rPr>
              <w:t>或以后，业绩类型为市政工程检测，技术负责人信息</w:t>
            </w:r>
            <w:r>
              <w:rPr>
                <w:rFonts w:hint="eastAsia" w:ascii="宋体" w:hAnsi="宋体" w:eastAsia="宋体" w:cs="宋体"/>
                <w:b/>
                <w:bCs/>
                <w:color w:val="auto"/>
                <w:szCs w:val="21"/>
                <w:highlight w:val="none"/>
                <w:lang w:eastAsia="zh-CN"/>
              </w:rPr>
              <w:t>）</w:t>
            </w:r>
            <w:r>
              <w:rPr>
                <w:rFonts w:hint="eastAsia" w:ascii="宋体" w:hAnsi="宋体" w:eastAsia="宋体" w:cs="宋体"/>
                <w:b/>
                <w:bCs/>
                <w:color w:val="auto"/>
                <w:szCs w:val="21"/>
                <w:highlight w:val="none"/>
              </w:rPr>
              <w:t>，否则需同时提供</w:t>
            </w:r>
            <w:r>
              <w:rPr>
                <w:rFonts w:hint="eastAsia" w:ascii="宋体" w:hAnsi="宋体" w:eastAsia="宋体" w:cs="宋体"/>
                <w:b/>
                <w:bCs/>
                <w:color w:val="auto"/>
                <w:szCs w:val="21"/>
                <w:highlight w:val="none"/>
                <w:lang w:val="en-US" w:eastAsia="zh-CN"/>
              </w:rPr>
              <w:t>合同委托方</w:t>
            </w:r>
            <w:r>
              <w:rPr>
                <w:rFonts w:hint="eastAsia" w:ascii="宋体" w:hAnsi="宋体" w:eastAsia="宋体" w:cs="宋体"/>
                <w:b/>
                <w:bCs/>
                <w:color w:val="auto"/>
                <w:szCs w:val="21"/>
                <w:highlight w:val="none"/>
              </w:rPr>
              <w:t>出具的书面补充情况说明文件复印件</w:t>
            </w:r>
            <w:r>
              <w:rPr>
                <w:rFonts w:hint="eastAsia" w:ascii="宋体" w:hAnsi="宋体" w:eastAsia="宋体" w:cs="宋体"/>
                <w:b/>
                <w:bCs/>
                <w:color w:val="auto"/>
                <w:szCs w:val="21"/>
                <w:highlight w:val="none"/>
                <w:lang w:eastAsia="zh-CN"/>
              </w:rPr>
              <w:t>（需加盖委托方公章，即复印件能显示委托方公章）</w:t>
            </w:r>
            <w:r>
              <w:rPr>
                <w:rFonts w:hint="eastAsia" w:ascii="宋体" w:hAnsi="宋体" w:eastAsia="宋体" w:cs="宋体"/>
                <w:b/>
                <w:bCs/>
                <w:color w:val="auto"/>
                <w:szCs w:val="21"/>
                <w:highlight w:val="none"/>
              </w:rPr>
              <w:t>。</w:t>
            </w:r>
          </w:p>
        </w:tc>
        <w:tc>
          <w:tcPr>
            <w:tcW w:w="907" w:type="dxa"/>
            <w:vMerge w:val="continue"/>
            <w:tcBorders>
              <w:top w:val="single" w:color="auto" w:sz="4" w:space="0"/>
              <w:left w:val="single" w:color="auto" w:sz="4" w:space="0"/>
              <w:bottom w:val="single" w:color="auto" w:sz="4" w:space="0"/>
              <w:right w:val="single" w:color="auto" w:sz="4" w:space="0"/>
            </w:tcBorders>
            <w:vAlign w:val="center"/>
          </w:tcPr>
          <w:p w14:paraId="61FC5806">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4"/>
                <w:highlight w:val="none"/>
              </w:rPr>
            </w:pPr>
          </w:p>
        </w:tc>
      </w:tr>
      <w:tr w14:paraId="48B9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vMerge w:val="continue"/>
            <w:tcBorders>
              <w:top w:val="single" w:color="auto" w:sz="4" w:space="0"/>
              <w:left w:val="single" w:color="auto" w:sz="4" w:space="0"/>
              <w:bottom w:val="single" w:color="auto" w:sz="4" w:space="0"/>
              <w:right w:val="single" w:color="auto" w:sz="4" w:space="0"/>
            </w:tcBorders>
            <w:vAlign w:val="center"/>
          </w:tcPr>
          <w:p w14:paraId="75AF9047">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1134" w:type="dxa"/>
            <w:vMerge w:val="continue"/>
            <w:tcBorders>
              <w:top w:val="single" w:color="auto" w:sz="4" w:space="0"/>
              <w:left w:val="single" w:color="auto" w:sz="4" w:space="0"/>
              <w:bottom w:val="single" w:color="auto" w:sz="4" w:space="0"/>
              <w:right w:val="single" w:color="auto" w:sz="4" w:space="0"/>
            </w:tcBorders>
            <w:vAlign w:val="center"/>
          </w:tcPr>
          <w:p w14:paraId="429FCB0B">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p>
        </w:tc>
        <w:tc>
          <w:tcPr>
            <w:tcW w:w="7655" w:type="dxa"/>
            <w:tcBorders>
              <w:top w:val="single" w:color="auto" w:sz="4" w:space="0"/>
              <w:left w:val="single" w:color="auto" w:sz="4" w:space="0"/>
              <w:bottom w:val="single" w:color="auto" w:sz="4" w:space="0"/>
              <w:right w:val="single" w:color="auto" w:sz="4" w:space="0"/>
            </w:tcBorders>
            <w:vAlign w:val="center"/>
          </w:tcPr>
          <w:p w14:paraId="044E47EE">
            <w:pPr>
              <w:keepNext w:val="0"/>
              <w:keepLines w:val="0"/>
              <w:suppressLineNumbers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(3)拟投入人员（不含项目负责人和技术负责人）：</w:t>
            </w:r>
          </w:p>
          <w:p w14:paraId="17A05FD7">
            <w:pPr>
              <w:keepNext w:val="0"/>
              <w:keepLines w:val="0"/>
              <w:suppressLineNumbers w:val="0"/>
              <w:spacing w:before="0" w:beforeAutospacing="0" w:after="0" w:afterAutospacing="0" w:line="400" w:lineRule="exact"/>
              <w:ind w:left="0" w:right="0"/>
              <w:rPr>
                <w:rFonts w:hint="default" w:ascii="宋体" w:hAnsi="宋体" w:eastAsia="宋体" w:cs="宋体"/>
                <w:color w:val="auto"/>
                <w:szCs w:val="21"/>
                <w:highlight w:val="none"/>
              </w:rPr>
            </w:pPr>
            <w:r>
              <w:rPr>
                <w:rFonts w:hint="eastAsia" w:ascii="宋体" w:hAnsi="宋体" w:eastAsia="宋体" w:cs="宋体"/>
                <w:color w:val="auto"/>
                <w:szCs w:val="21"/>
                <w:highlight w:val="none"/>
              </w:rPr>
              <w:t>具有工程类专业中级工程师（或以上）职称的，每人得1分，本子项满分</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分。</w:t>
            </w:r>
          </w:p>
          <w:p w14:paraId="5E773F28">
            <w:pPr>
              <w:keepNext w:val="0"/>
              <w:keepLines w:val="0"/>
              <w:suppressLineNumbers w:val="0"/>
              <w:spacing w:before="0" w:beforeAutospacing="0" w:after="0" w:afterAutospacing="0" w:line="400" w:lineRule="exact"/>
              <w:ind w:left="0" w:right="0"/>
              <w:rPr>
                <w:rFonts w:hint="default"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4080AEF4">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1）须提供身份证、职称证书、社会保障部门出具的最近1年（即</w:t>
            </w:r>
            <w:r>
              <w:rPr>
                <w:rFonts w:hint="eastAsia" w:ascii="宋体" w:hAnsi="宋体" w:eastAsia="宋体" w:cs="宋体"/>
                <w:b/>
                <w:bCs/>
                <w:color w:val="auto"/>
                <w:szCs w:val="21"/>
                <w:highlight w:val="none"/>
                <w:lang w:eastAsia="zh-CN"/>
              </w:rPr>
              <w:t>2024年2月至2025年1月</w:t>
            </w:r>
            <w:r>
              <w:rPr>
                <w:rFonts w:hint="eastAsia" w:ascii="宋体" w:hAnsi="宋体" w:eastAsia="宋体" w:cs="宋体"/>
                <w:b/>
                <w:bCs/>
                <w:color w:val="auto"/>
                <w:szCs w:val="21"/>
                <w:highlight w:val="none"/>
              </w:rPr>
              <w:t>）在投标人单位缴纳</w:t>
            </w:r>
            <w:r>
              <w:rPr>
                <w:rFonts w:hint="eastAsia" w:ascii="宋体" w:hAnsi="宋体" w:eastAsia="宋体" w:cs="宋体"/>
                <w:b/>
                <w:bCs/>
                <w:color w:val="auto"/>
                <w:szCs w:val="21"/>
                <w:highlight w:val="none"/>
                <w:lang w:eastAsia="zh-CN"/>
              </w:rPr>
              <w:t>社保</w:t>
            </w:r>
            <w:r>
              <w:rPr>
                <w:rFonts w:hint="eastAsia" w:ascii="宋体" w:hAnsi="宋体" w:eastAsia="宋体" w:cs="宋体"/>
                <w:b/>
                <w:bCs/>
                <w:color w:val="auto"/>
                <w:szCs w:val="21"/>
                <w:highlight w:val="none"/>
              </w:rPr>
              <w:t>有效凭证等证明材料复印件加盖投标人公章</w:t>
            </w:r>
            <w:r>
              <w:rPr>
                <w:rFonts w:hint="eastAsia" w:ascii="宋体" w:hAnsi="宋体" w:eastAsia="宋体" w:cs="宋体"/>
                <w:b/>
                <w:bCs/>
                <w:color w:val="auto"/>
                <w:szCs w:val="21"/>
                <w:highlight w:val="none"/>
                <w:lang w:eastAsia="zh-CN"/>
              </w:rPr>
              <w:t>；</w:t>
            </w:r>
          </w:p>
          <w:p w14:paraId="5706B4B2">
            <w:pPr>
              <w:keepNext w:val="0"/>
              <w:keepLines w:val="0"/>
              <w:suppressLineNumbers w:val="0"/>
              <w:spacing w:before="0" w:beforeAutospacing="0" w:after="0" w:afterAutospacing="0" w:line="400" w:lineRule="exact"/>
              <w:ind w:left="0" w:right="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2）同一人员具备多个种类证书不重复得分</w:t>
            </w:r>
            <w:r>
              <w:rPr>
                <w:rFonts w:hint="eastAsia" w:ascii="宋体" w:hAnsi="宋体" w:eastAsia="宋体" w:cs="宋体"/>
                <w:b/>
                <w:bCs/>
                <w:color w:val="auto"/>
                <w:szCs w:val="21"/>
                <w:highlight w:val="none"/>
                <w:lang w:eastAsia="zh-CN"/>
              </w:rPr>
              <w:t>；</w:t>
            </w:r>
          </w:p>
          <w:p w14:paraId="3377D655">
            <w:pPr>
              <w:keepNext w:val="0"/>
              <w:keepLines w:val="0"/>
              <w:suppressLineNumbers w:val="0"/>
              <w:spacing w:before="0" w:beforeAutospacing="0" w:after="0" w:afterAutospacing="0" w:line="400" w:lineRule="exact"/>
              <w:ind w:left="0" w:right="0"/>
              <w:rPr>
                <w:rFonts w:hint="default" w:ascii="宋体" w:hAnsi="宋体" w:eastAsia="宋体" w:cs="Times New Roman"/>
                <w:b/>
                <w:color w:val="auto"/>
                <w:kern w:val="0"/>
                <w:szCs w:val="21"/>
                <w:highlight w:val="none"/>
              </w:rPr>
            </w:pPr>
            <w:r>
              <w:rPr>
                <w:rFonts w:hint="eastAsia" w:ascii="宋体" w:hAnsi="宋体" w:eastAsia="宋体" w:cs="宋体"/>
                <w:b/>
                <w:bCs/>
                <w:color w:val="auto"/>
                <w:szCs w:val="21"/>
                <w:highlight w:val="none"/>
              </w:rPr>
              <w:t>3）同一人员具备同一种类证书或同一个专业含有多个</w:t>
            </w:r>
            <w:r>
              <w:rPr>
                <w:rFonts w:hint="eastAsia" w:ascii="宋体" w:hAnsi="宋体" w:eastAsia="宋体" w:cs="宋体"/>
                <w:b/>
                <w:bCs/>
                <w:color w:val="auto"/>
                <w:szCs w:val="21"/>
                <w:highlight w:val="none"/>
                <w:lang w:val="en-US" w:eastAsia="zh-CN"/>
              </w:rPr>
              <w:t>等级</w:t>
            </w:r>
            <w:r>
              <w:rPr>
                <w:rFonts w:hint="eastAsia" w:ascii="宋体" w:hAnsi="宋体" w:eastAsia="宋体" w:cs="宋体"/>
                <w:b/>
                <w:bCs/>
                <w:color w:val="auto"/>
                <w:szCs w:val="21"/>
                <w:highlight w:val="none"/>
              </w:rPr>
              <w:t>的仅按最高等级证书计算一次得分。</w:t>
            </w:r>
          </w:p>
        </w:tc>
        <w:tc>
          <w:tcPr>
            <w:tcW w:w="907" w:type="dxa"/>
            <w:vMerge w:val="continue"/>
            <w:tcBorders>
              <w:top w:val="single" w:color="auto" w:sz="4" w:space="0"/>
              <w:left w:val="single" w:color="auto" w:sz="4" w:space="0"/>
              <w:bottom w:val="single" w:color="auto" w:sz="4" w:space="0"/>
              <w:right w:val="single" w:color="auto" w:sz="4" w:space="0"/>
            </w:tcBorders>
            <w:vAlign w:val="center"/>
          </w:tcPr>
          <w:p w14:paraId="31ED156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4"/>
                <w:highlight w:val="none"/>
              </w:rPr>
            </w:pPr>
          </w:p>
        </w:tc>
      </w:tr>
      <w:tr w14:paraId="3A7C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463" w:type="dxa"/>
            <w:gridSpan w:val="3"/>
            <w:tcBorders>
              <w:top w:val="single" w:color="auto" w:sz="4" w:space="0"/>
              <w:left w:val="single" w:color="auto" w:sz="4" w:space="0"/>
              <w:bottom w:val="single" w:color="auto" w:sz="4" w:space="0"/>
              <w:right w:val="single" w:color="auto" w:sz="4" w:space="0"/>
            </w:tcBorders>
            <w:vAlign w:val="center"/>
          </w:tcPr>
          <w:p w14:paraId="1EE03F16">
            <w:pPr>
              <w:keepNext w:val="0"/>
              <w:keepLines w:val="0"/>
              <w:suppressLineNumbers w:val="0"/>
              <w:spacing w:before="0" w:beforeAutospacing="0" w:after="0" w:afterAutospacing="0" w:line="360" w:lineRule="auto"/>
              <w:ind w:left="0" w:right="0"/>
              <w:jc w:val="center"/>
              <w:rPr>
                <w:rFonts w:hint="default" w:ascii="宋体" w:hAnsi="宋体" w:eastAsia="宋体" w:cs="Times New Roman"/>
                <w:b/>
                <w:color w:val="auto"/>
                <w:kern w:val="0"/>
                <w:szCs w:val="21"/>
                <w:highlight w:val="none"/>
              </w:rPr>
            </w:pPr>
            <w:r>
              <w:rPr>
                <w:rFonts w:hint="eastAsia" w:ascii="宋体" w:hAnsi="宋体" w:eastAsia="宋体" w:cs="宋体"/>
                <w:b/>
                <w:color w:val="auto"/>
                <w:szCs w:val="21"/>
                <w:highlight w:val="none"/>
                <w:lang w:val="zh-CN"/>
              </w:rPr>
              <w:t>商务总分</w:t>
            </w:r>
          </w:p>
        </w:tc>
        <w:tc>
          <w:tcPr>
            <w:tcW w:w="907" w:type="dxa"/>
            <w:tcBorders>
              <w:top w:val="single" w:color="auto" w:sz="4" w:space="0"/>
              <w:left w:val="single" w:color="auto" w:sz="4" w:space="0"/>
              <w:bottom w:val="single" w:color="auto" w:sz="4" w:space="0"/>
              <w:right w:val="single" w:color="auto" w:sz="4" w:space="0"/>
            </w:tcBorders>
            <w:vAlign w:val="center"/>
          </w:tcPr>
          <w:p w14:paraId="731A837C">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szCs w:val="24"/>
                <w:highlight w:val="none"/>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rPr>
              <w:t>分</w:t>
            </w:r>
          </w:p>
        </w:tc>
      </w:tr>
      <w:bookmarkEnd w:id="932"/>
    </w:tbl>
    <w:p w14:paraId="5E8B17E8">
      <w:pPr>
        <w:autoSpaceDE w:val="0"/>
        <w:autoSpaceDN w:val="0"/>
        <w:adjustRightInd w:val="0"/>
        <w:ind w:right="-26" w:firstLine="480"/>
        <w:jc w:val="center"/>
        <w:rPr>
          <w:rFonts w:ascii="宋体" w:hAnsi="宋体" w:eastAsia="宋体" w:cs="Times New Roman"/>
          <w:b/>
          <w:bCs/>
          <w:color w:val="auto"/>
          <w:kern w:val="0"/>
          <w:sz w:val="24"/>
          <w:szCs w:val="24"/>
          <w:highlight w:val="none"/>
        </w:rPr>
      </w:pPr>
    </w:p>
    <w:p w14:paraId="606E3D0C">
      <w:pPr>
        <w:tabs>
          <w:tab w:val="left" w:pos="585"/>
        </w:tabs>
        <w:autoSpaceDE w:val="0"/>
        <w:autoSpaceDN w:val="0"/>
        <w:adjustRightInd w:val="0"/>
        <w:spacing w:line="360" w:lineRule="auto"/>
        <w:rPr>
          <w:rFonts w:ascii="宋体" w:hAnsi="宋体" w:eastAsia="宋体" w:cs="宋体"/>
          <w:b/>
          <w:color w:val="auto"/>
          <w:szCs w:val="21"/>
          <w:highlight w:val="none"/>
          <w:lang w:val="zh-CN"/>
        </w:rPr>
      </w:pPr>
      <w:r>
        <w:rPr>
          <w:rFonts w:hint="eastAsia" w:ascii="宋体" w:hAnsi="宋体" w:eastAsia="宋体" w:cs="Times New Roman"/>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20</w:t>
      </w:r>
      <w:r>
        <w:rPr>
          <w:rFonts w:hint="eastAsia" w:ascii="宋体" w:hAnsi="宋体" w:eastAsia="宋体" w:cs="宋体"/>
          <w:b/>
          <w:color w:val="auto"/>
          <w:szCs w:val="21"/>
          <w:highlight w:val="none"/>
          <w:lang w:val="zh-CN"/>
        </w:rPr>
        <w:t>分</w:t>
      </w:r>
      <w:bookmarkEnd w:id="933"/>
    </w:p>
    <w:tbl>
      <w:tblPr>
        <w:tblStyle w:val="36"/>
        <w:tblW w:w="103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133"/>
        <w:gridCol w:w="7659"/>
        <w:gridCol w:w="907"/>
      </w:tblGrid>
      <w:tr w14:paraId="49B4A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0918124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bookmarkStart w:id="934" w:name="_Hlk104987779"/>
            <w:r>
              <w:rPr>
                <w:rFonts w:hint="eastAsia" w:ascii="宋体" w:hAnsi="宋体" w:eastAsia="宋体" w:cs="宋体"/>
                <w:b/>
                <w:color w:val="auto"/>
                <w:kern w:val="0"/>
                <w:szCs w:val="21"/>
                <w:highlight w:val="none"/>
              </w:rPr>
              <w:t>序号</w:t>
            </w:r>
          </w:p>
        </w:tc>
        <w:tc>
          <w:tcPr>
            <w:tcW w:w="1133" w:type="dxa"/>
            <w:tcBorders>
              <w:top w:val="single" w:color="auto" w:sz="4" w:space="0"/>
              <w:left w:val="single" w:color="auto" w:sz="4" w:space="0"/>
              <w:bottom w:val="single" w:color="auto" w:sz="4" w:space="0"/>
              <w:right w:val="single" w:color="auto" w:sz="4" w:space="0"/>
            </w:tcBorders>
            <w:vAlign w:val="center"/>
          </w:tcPr>
          <w:p w14:paraId="06C14A7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7659" w:type="dxa"/>
            <w:tcBorders>
              <w:top w:val="single" w:color="auto" w:sz="4" w:space="0"/>
              <w:left w:val="single" w:color="auto" w:sz="4" w:space="0"/>
              <w:bottom w:val="single" w:color="auto" w:sz="4" w:space="0"/>
              <w:right w:val="single" w:color="auto" w:sz="4" w:space="0"/>
            </w:tcBorders>
            <w:vAlign w:val="center"/>
          </w:tcPr>
          <w:p w14:paraId="6BEEA8E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907" w:type="dxa"/>
            <w:tcBorders>
              <w:top w:val="single" w:color="auto" w:sz="4" w:space="0"/>
              <w:left w:val="single" w:color="auto" w:sz="4" w:space="0"/>
              <w:bottom w:val="single" w:color="auto" w:sz="4" w:space="0"/>
              <w:right w:val="single" w:color="auto" w:sz="4" w:space="0"/>
            </w:tcBorders>
            <w:vAlign w:val="center"/>
          </w:tcPr>
          <w:p w14:paraId="4C08D3C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59383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7FC9F1C1">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1133" w:type="dxa"/>
            <w:tcBorders>
              <w:top w:val="single" w:color="auto" w:sz="4" w:space="0"/>
              <w:left w:val="single" w:color="auto" w:sz="4" w:space="0"/>
              <w:bottom w:val="single" w:color="auto" w:sz="4" w:space="0"/>
              <w:right w:val="single" w:color="auto" w:sz="4" w:space="0"/>
            </w:tcBorders>
            <w:vAlign w:val="center"/>
          </w:tcPr>
          <w:p w14:paraId="2D2E6379">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用户需求的响应程度</w:t>
            </w:r>
          </w:p>
        </w:tc>
        <w:tc>
          <w:tcPr>
            <w:tcW w:w="7659" w:type="dxa"/>
            <w:tcBorders>
              <w:top w:val="single" w:color="auto" w:sz="4" w:space="0"/>
              <w:left w:val="single" w:color="auto" w:sz="4" w:space="0"/>
              <w:bottom w:val="single" w:color="auto" w:sz="4" w:space="0"/>
              <w:right w:val="single" w:color="auto" w:sz="4" w:space="0"/>
            </w:tcBorders>
            <w:vAlign w:val="center"/>
          </w:tcPr>
          <w:p w14:paraId="7AD6BCA4">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lang w:val="zh-CN"/>
              </w:rPr>
              <w:t>对用户需求偏离表的偏离情况进行评审计分，完全满足用户需求书的要求得满分；每一处负偏离扣2.5分；同时参照其投标文件中其它部分的内容进行对比，每发现一处投标人填写为无偏离或正偏离，但评标委员会评审认定其为负偏离的，每处扣5分；本项最低分为0分。</w:t>
            </w:r>
          </w:p>
        </w:tc>
        <w:tc>
          <w:tcPr>
            <w:tcW w:w="907" w:type="dxa"/>
            <w:tcBorders>
              <w:top w:val="single" w:color="auto" w:sz="4" w:space="0"/>
              <w:left w:val="single" w:color="auto" w:sz="4" w:space="0"/>
              <w:bottom w:val="single" w:color="auto" w:sz="4" w:space="0"/>
              <w:right w:val="single" w:color="auto" w:sz="4" w:space="0"/>
            </w:tcBorders>
            <w:vAlign w:val="center"/>
          </w:tcPr>
          <w:p w14:paraId="26F5F40E">
            <w:pPr>
              <w:keepNext w:val="0"/>
              <w:keepLines w:val="0"/>
              <w:suppressLineNumbers w:val="0"/>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5分</w:t>
            </w:r>
          </w:p>
        </w:tc>
      </w:tr>
      <w:tr w14:paraId="3A6E9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180D13F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2</w:t>
            </w:r>
          </w:p>
        </w:tc>
        <w:tc>
          <w:tcPr>
            <w:tcW w:w="1133" w:type="dxa"/>
            <w:tcBorders>
              <w:top w:val="single" w:color="auto" w:sz="4" w:space="0"/>
              <w:left w:val="single" w:color="auto" w:sz="4" w:space="0"/>
              <w:bottom w:val="single" w:color="auto" w:sz="4" w:space="0"/>
              <w:right w:val="single" w:color="auto" w:sz="4" w:space="0"/>
            </w:tcBorders>
            <w:vAlign w:val="center"/>
          </w:tcPr>
          <w:p w14:paraId="5BF81193">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检测方案</w:t>
            </w:r>
          </w:p>
        </w:tc>
        <w:tc>
          <w:tcPr>
            <w:tcW w:w="7659" w:type="dxa"/>
            <w:tcBorders>
              <w:top w:val="single" w:color="auto" w:sz="4" w:space="0"/>
              <w:left w:val="single" w:color="auto" w:sz="4" w:space="0"/>
              <w:bottom w:val="single" w:color="auto" w:sz="4" w:space="0"/>
              <w:right w:val="single" w:color="auto" w:sz="4" w:space="0"/>
            </w:tcBorders>
            <w:vAlign w:val="center"/>
          </w:tcPr>
          <w:p w14:paraId="2957F279">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根据各投标人提供的检测方案进行评审，</w:t>
            </w:r>
            <w:r>
              <w:rPr>
                <w:rFonts w:hint="eastAsia" w:ascii="宋体" w:hAnsi="宋体" w:eastAsia="宋体" w:cs="宋体"/>
                <w:color w:val="auto"/>
                <w:szCs w:val="21"/>
                <w:highlight w:val="none"/>
                <w:lang w:val="en-US" w:eastAsia="zh-CN"/>
              </w:rPr>
              <w:t>包括但不限于</w:t>
            </w:r>
            <w:r>
              <w:rPr>
                <w:rFonts w:hint="eastAsia" w:ascii="宋体" w:hAnsi="宋体" w:eastAsia="宋体" w:cs="宋体"/>
                <w:color w:val="auto"/>
                <w:szCs w:val="21"/>
                <w:highlight w:val="none"/>
                <w:lang w:val="zh-CN"/>
              </w:rPr>
              <w:t>对本地区的认识熟悉程度、对检测项目的认知程度、检测质量的保障措施、配合施工进度的检测实施措施等：</w:t>
            </w:r>
          </w:p>
          <w:p w14:paraId="500FEFEC">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优：整体</w:t>
            </w:r>
            <w:r>
              <w:rPr>
                <w:rFonts w:hint="eastAsia" w:ascii="宋体" w:hAnsi="宋体" w:eastAsia="宋体" w:cs="宋体"/>
                <w:color w:val="auto"/>
                <w:szCs w:val="21"/>
                <w:highlight w:val="none"/>
                <w:lang w:val="zh-CN"/>
              </w:rPr>
              <w:t>检测方案</w:t>
            </w:r>
            <w:r>
              <w:rPr>
                <w:rFonts w:hint="eastAsia" w:ascii="宋体" w:hAnsi="宋体" w:eastAsia="宋体" w:cs="宋体"/>
                <w:color w:val="auto"/>
                <w:szCs w:val="21"/>
                <w:highlight w:val="none"/>
                <w:lang w:val="en-US" w:eastAsia="zh-CN"/>
              </w:rPr>
              <w:t>全面、思路清晰</w:t>
            </w:r>
            <w:r>
              <w:rPr>
                <w:rFonts w:hint="eastAsia" w:ascii="宋体" w:hAnsi="宋体" w:eastAsia="宋体" w:cs="宋体"/>
                <w:color w:val="auto"/>
                <w:szCs w:val="21"/>
                <w:highlight w:val="none"/>
                <w:lang w:val="zh-CN"/>
              </w:rPr>
              <w:t>，对本地区的认识熟悉程度</w:t>
            </w:r>
            <w:r>
              <w:rPr>
                <w:rFonts w:hint="eastAsia" w:ascii="宋体" w:hAnsi="宋体" w:eastAsia="宋体" w:cs="宋体"/>
                <w:color w:val="auto"/>
                <w:szCs w:val="21"/>
                <w:highlight w:val="none"/>
                <w:lang w:val="en-US" w:eastAsia="zh-CN"/>
              </w:rPr>
              <w:t>高</w:t>
            </w:r>
            <w:r>
              <w:rPr>
                <w:rFonts w:hint="eastAsia" w:ascii="宋体" w:hAnsi="宋体" w:eastAsia="宋体" w:cs="宋体"/>
                <w:color w:val="auto"/>
                <w:szCs w:val="21"/>
                <w:highlight w:val="none"/>
                <w:lang w:val="zh-CN"/>
              </w:rPr>
              <w:t>、对检测项目的认知</w:t>
            </w:r>
            <w:r>
              <w:rPr>
                <w:rFonts w:hint="eastAsia" w:ascii="宋体" w:hAnsi="宋体" w:eastAsia="宋体" w:cs="宋体"/>
                <w:color w:val="auto"/>
                <w:szCs w:val="21"/>
                <w:highlight w:val="none"/>
                <w:lang w:val="en-US" w:eastAsia="zh-CN"/>
              </w:rPr>
              <w:t>准确、透彻</w:t>
            </w:r>
            <w:r>
              <w:rPr>
                <w:rFonts w:hint="eastAsia" w:ascii="宋体" w:hAnsi="宋体" w:eastAsia="宋体" w:cs="宋体"/>
                <w:color w:val="auto"/>
                <w:szCs w:val="21"/>
                <w:highlight w:val="none"/>
                <w:lang w:val="zh-CN"/>
              </w:rPr>
              <w:t>，检测质量的保障措施、配合施工进度的检测实施措施等</w:t>
            </w:r>
            <w:r>
              <w:rPr>
                <w:rFonts w:hint="eastAsia" w:ascii="宋体" w:hAnsi="宋体" w:eastAsia="宋体" w:cs="宋体"/>
                <w:color w:val="auto"/>
                <w:szCs w:val="21"/>
                <w:highlight w:val="none"/>
                <w:lang w:val="en-US" w:eastAsia="zh-CN"/>
              </w:rPr>
              <w:t>科学、可操作性强</w:t>
            </w:r>
            <w:r>
              <w:rPr>
                <w:rFonts w:hint="eastAsia" w:ascii="宋体" w:hAnsi="宋体" w:eastAsia="宋体" w:cs="宋体"/>
                <w:color w:val="auto"/>
                <w:szCs w:val="21"/>
                <w:highlight w:val="none"/>
                <w:lang w:val="zh-CN"/>
              </w:rPr>
              <w:t>，检测目标明确，实施方法可行</w:t>
            </w:r>
            <w:r>
              <w:rPr>
                <w:rFonts w:hint="eastAsia" w:ascii="宋体" w:hAnsi="宋体" w:eastAsia="宋体" w:cs="宋体"/>
                <w:color w:val="auto"/>
                <w:szCs w:val="21"/>
                <w:highlight w:val="none"/>
                <w:lang w:val="en-US" w:eastAsia="zh-CN"/>
              </w:rPr>
              <w:t>性高</w:t>
            </w:r>
            <w:r>
              <w:rPr>
                <w:rFonts w:hint="eastAsia" w:ascii="宋体" w:hAnsi="宋体" w:eastAsia="宋体" w:cs="宋体"/>
                <w:color w:val="auto"/>
                <w:szCs w:val="21"/>
                <w:highlight w:val="none"/>
                <w:lang w:val="zh-CN"/>
              </w:rPr>
              <w:t>、手段科学</w:t>
            </w:r>
            <w:r>
              <w:rPr>
                <w:rFonts w:hint="eastAsia" w:ascii="宋体" w:hAnsi="宋体" w:eastAsia="宋体" w:cs="宋体"/>
                <w:color w:val="auto"/>
                <w:szCs w:val="21"/>
                <w:highlight w:val="none"/>
                <w:lang w:val="en-US" w:eastAsia="zh-CN"/>
              </w:rPr>
              <w:t>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2.25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分；</w:t>
            </w:r>
          </w:p>
          <w:p w14:paraId="652FB087">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良：整体</w:t>
            </w:r>
            <w:r>
              <w:rPr>
                <w:rFonts w:hint="eastAsia" w:ascii="宋体" w:hAnsi="宋体" w:eastAsia="宋体" w:cs="宋体"/>
                <w:color w:val="auto"/>
                <w:szCs w:val="21"/>
                <w:highlight w:val="none"/>
                <w:lang w:val="zh-CN"/>
              </w:rPr>
              <w:t>检测方案</w:t>
            </w:r>
            <w:r>
              <w:rPr>
                <w:rFonts w:hint="eastAsia" w:ascii="宋体" w:hAnsi="宋体" w:eastAsia="宋体" w:cs="宋体"/>
                <w:color w:val="auto"/>
                <w:szCs w:val="21"/>
                <w:highlight w:val="none"/>
                <w:lang w:val="en-US" w:eastAsia="zh-CN"/>
              </w:rPr>
              <w:t>较全面、思路较清晰</w:t>
            </w:r>
            <w:r>
              <w:rPr>
                <w:rFonts w:hint="eastAsia" w:ascii="宋体" w:hAnsi="宋体" w:eastAsia="宋体" w:cs="宋体"/>
                <w:color w:val="auto"/>
                <w:szCs w:val="21"/>
                <w:highlight w:val="none"/>
                <w:lang w:val="zh-CN"/>
              </w:rPr>
              <w:t>，对本地区的认识熟悉程度</w:t>
            </w:r>
            <w:r>
              <w:rPr>
                <w:rFonts w:hint="eastAsia" w:ascii="宋体" w:hAnsi="宋体" w:eastAsia="宋体" w:cs="宋体"/>
                <w:color w:val="auto"/>
                <w:szCs w:val="21"/>
                <w:highlight w:val="none"/>
                <w:lang w:val="en-US" w:eastAsia="zh-CN"/>
              </w:rPr>
              <w:t>良好</w:t>
            </w:r>
            <w:r>
              <w:rPr>
                <w:rFonts w:hint="eastAsia" w:ascii="宋体" w:hAnsi="宋体" w:eastAsia="宋体" w:cs="宋体"/>
                <w:color w:val="auto"/>
                <w:szCs w:val="21"/>
                <w:highlight w:val="none"/>
                <w:lang w:val="zh-CN"/>
              </w:rPr>
              <w:t>、对检测项目的认知</w:t>
            </w:r>
            <w:r>
              <w:rPr>
                <w:rFonts w:hint="eastAsia" w:ascii="宋体" w:hAnsi="宋体" w:eastAsia="宋体" w:cs="宋体"/>
                <w:color w:val="auto"/>
                <w:szCs w:val="21"/>
                <w:highlight w:val="none"/>
                <w:lang w:val="en-US" w:eastAsia="zh-CN"/>
              </w:rPr>
              <w:t>较为准确、透彻</w:t>
            </w:r>
            <w:r>
              <w:rPr>
                <w:rFonts w:hint="eastAsia" w:ascii="宋体" w:hAnsi="宋体" w:eastAsia="宋体" w:cs="宋体"/>
                <w:color w:val="auto"/>
                <w:szCs w:val="21"/>
                <w:highlight w:val="none"/>
                <w:lang w:val="zh-CN"/>
              </w:rPr>
              <w:t>，检测质量的保障措施、配合施工进度的检测实施措施等</w:t>
            </w:r>
            <w:r>
              <w:rPr>
                <w:rFonts w:hint="eastAsia" w:ascii="宋体" w:hAnsi="宋体" w:eastAsia="宋体" w:cs="宋体"/>
                <w:color w:val="auto"/>
                <w:szCs w:val="21"/>
                <w:highlight w:val="none"/>
                <w:lang w:val="en-US" w:eastAsia="zh-CN"/>
              </w:rPr>
              <w:t>科学、可操作性良好</w:t>
            </w:r>
            <w:r>
              <w:rPr>
                <w:rFonts w:hint="eastAsia" w:ascii="宋体" w:hAnsi="宋体" w:eastAsia="宋体" w:cs="宋体"/>
                <w:color w:val="auto"/>
                <w:szCs w:val="21"/>
                <w:highlight w:val="none"/>
                <w:lang w:val="zh-CN"/>
              </w:rPr>
              <w:t>，检测目标</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lang w:val="zh-CN"/>
              </w:rPr>
              <w:t>明确，实施方法可行</w:t>
            </w:r>
            <w:r>
              <w:rPr>
                <w:rFonts w:hint="eastAsia" w:ascii="宋体" w:hAnsi="宋体" w:eastAsia="宋体" w:cs="宋体"/>
                <w:color w:val="auto"/>
                <w:szCs w:val="21"/>
                <w:highlight w:val="none"/>
                <w:lang w:val="en-US" w:eastAsia="zh-CN"/>
              </w:rPr>
              <w:t>性良好的，得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2.25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分；</w:t>
            </w:r>
          </w:p>
          <w:p w14:paraId="2E19B31E">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中：整体</w:t>
            </w:r>
            <w:r>
              <w:rPr>
                <w:rFonts w:hint="eastAsia" w:ascii="宋体" w:hAnsi="宋体" w:eastAsia="宋体" w:cs="宋体"/>
                <w:color w:val="auto"/>
                <w:szCs w:val="21"/>
                <w:highlight w:val="none"/>
                <w:lang w:val="zh-CN"/>
              </w:rPr>
              <w:t>检测方案</w:t>
            </w:r>
            <w:r>
              <w:rPr>
                <w:rFonts w:hint="eastAsia" w:ascii="宋体" w:hAnsi="宋体" w:eastAsia="宋体" w:cs="宋体"/>
                <w:color w:val="auto"/>
                <w:szCs w:val="21"/>
                <w:highlight w:val="none"/>
                <w:lang w:val="en-US" w:eastAsia="zh-CN"/>
              </w:rPr>
              <w:t>基本全面、思路基本清晰</w:t>
            </w:r>
            <w:r>
              <w:rPr>
                <w:rFonts w:hint="eastAsia" w:ascii="宋体" w:hAnsi="宋体" w:eastAsia="宋体" w:cs="宋体"/>
                <w:color w:val="auto"/>
                <w:szCs w:val="21"/>
                <w:highlight w:val="none"/>
                <w:lang w:val="zh-CN"/>
              </w:rPr>
              <w:t>，对本地区的认识熟悉程度</w:t>
            </w:r>
            <w:r>
              <w:rPr>
                <w:rFonts w:hint="eastAsia" w:ascii="宋体" w:hAnsi="宋体" w:eastAsia="宋体" w:cs="宋体"/>
                <w:color w:val="auto"/>
                <w:szCs w:val="21"/>
                <w:highlight w:val="none"/>
                <w:lang w:val="en-US" w:eastAsia="zh-CN"/>
              </w:rPr>
              <w:t>一般</w:t>
            </w:r>
            <w:r>
              <w:rPr>
                <w:rFonts w:hint="eastAsia" w:ascii="宋体" w:hAnsi="宋体" w:eastAsia="宋体" w:cs="宋体"/>
                <w:color w:val="auto"/>
                <w:szCs w:val="21"/>
                <w:highlight w:val="none"/>
                <w:lang w:val="zh-CN"/>
              </w:rPr>
              <w:t>、对检测项目的认知</w:t>
            </w:r>
            <w:r>
              <w:rPr>
                <w:rFonts w:hint="eastAsia" w:ascii="宋体" w:hAnsi="宋体" w:eastAsia="宋体" w:cs="宋体"/>
                <w:color w:val="auto"/>
                <w:szCs w:val="21"/>
                <w:highlight w:val="none"/>
                <w:lang w:val="en-US" w:eastAsia="zh-CN"/>
              </w:rPr>
              <w:t>基本理解</w:t>
            </w:r>
            <w:r>
              <w:rPr>
                <w:rFonts w:hint="eastAsia" w:ascii="宋体" w:hAnsi="宋体" w:eastAsia="宋体" w:cs="宋体"/>
                <w:color w:val="auto"/>
                <w:szCs w:val="21"/>
                <w:highlight w:val="none"/>
                <w:lang w:val="zh-CN"/>
              </w:rPr>
              <w:t>，检测质量的保障措施、配合施工进度的检测实施措施等</w:t>
            </w:r>
            <w:r>
              <w:rPr>
                <w:rFonts w:hint="eastAsia" w:ascii="宋体" w:hAnsi="宋体" w:eastAsia="宋体" w:cs="宋体"/>
                <w:color w:val="auto"/>
                <w:szCs w:val="21"/>
                <w:highlight w:val="none"/>
                <w:lang w:val="en-US" w:eastAsia="zh-CN"/>
              </w:rPr>
              <w:t>可操作性一般</w:t>
            </w:r>
            <w:r>
              <w:rPr>
                <w:rFonts w:hint="eastAsia" w:ascii="宋体" w:hAnsi="宋体" w:eastAsia="宋体" w:cs="宋体"/>
                <w:color w:val="auto"/>
                <w:szCs w:val="21"/>
                <w:highlight w:val="none"/>
                <w:lang w:val="zh-CN"/>
              </w:rPr>
              <w:t>，检测目标</w:t>
            </w:r>
            <w:r>
              <w:rPr>
                <w:rFonts w:hint="eastAsia" w:ascii="宋体" w:hAnsi="宋体" w:eastAsia="宋体" w:cs="宋体"/>
                <w:color w:val="auto"/>
                <w:szCs w:val="21"/>
                <w:highlight w:val="none"/>
                <w:lang w:val="en-US" w:eastAsia="zh-CN"/>
              </w:rPr>
              <w:t>基本</w:t>
            </w:r>
            <w:r>
              <w:rPr>
                <w:rFonts w:hint="eastAsia" w:ascii="宋体" w:hAnsi="宋体" w:eastAsia="宋体" w:cs="宋体"/>
                <w:color w:val="auto"/>
                <w:szCs w:val="21"/>
                <w:highlight w:val="none"/>
                <w:lang w:val="zh-CN"/>
              </w:rPr>
              <w:t>明确，实施方法可行</w:t>
            </w:r>
            <w:r>
              <w:rPr>
                <w:rFonts w:hint="eastAsia" w:ascii="宋体" w:hAnsi="宋体" w:eastAsia="宋体" w:cs="宋体"/>
                <w:color w:val="auto"/>
                <w:szCs w:val="21"/>
                <w:highlight w:val="none"/>
                <w:lang w:val="en-US" w:eastAsia="zh-CN"/>
              </w:rPr>
              <w:t>性一般的，得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0.75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分；</w:t>
            </w:r>
          </w:p>
          <w:p w14:paraId="1C2C3501">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lang w:val="zh-CN" w:eastAsia="zh-CN"/>
              </w:rPr>
              <w:t>差</w:t>
            </w:r>
            <w:r>
              <w:rPr>
                <w:rFonts w:hint="eastAsia" w:ascii="宋体" w:hAnsi="宋体" w:eastAsia="宋体" w:cs="宋体"/>
                <w:color w:val="auto"/>
                <w:szCs w:val="21"/>
                <w:highlight w:val="none"/>
                <w:lang w:val="en-US" w:eastAsia="zh-CN"/>
              </w:rPr>
              <w:t>：整体</w:t>
            </w:r>
            <w:r>
              <w:rPr>
                <w:rFonts w:hint="eastAsia" w:ascii="宋体" w:hAnsi="宋体" w:eastAsia="宋体" w:cs="宋体"/>
                <w:color w:val="auto"/>
                <w:szCs w:val="21"/>
                <w:highlight w:val="none"/>
                <w:lang w:val="zh-CN"/>
              </w:rPr>
              <w:t>检测方案</w:t>
            </w:r>
            <w:r>
              <w:rPr>
                <w:rFonts w:hint="eastAsia" w:ascii="宋体" w:hAnsi="宋体" w:eastAsia="宋体" w:cs="宋体"/>
                <w:color w:val="auto"/>
                <w:szCs w:val="21"/>
                <w:highlight w:val="none"/>
                <w:lang w:val="en-US" w:eastAsia="zh-CN"/>
              </w:rPr>
              <w:t>不全面、思路不清晰</w:t>
            </w:r>
            <w:r>
              <w:rPr>
                <w:rFonts w:hint="eastAsia" w:ascii="宋体" w:hAnsi="宋体" w:eastAsia="宋体" w:cs="宋体"/>
                <w:color w:val="auto"/>
                <w:szCs w:val="21"/>
                <w:highlight w:val="none"/>
                <w:lang w:val="zh-CN"/>
              </w:rPr>
              <w:t>，对本地区的认识熟悉程度</w:t>
            </w:r>
            <w:r>
              <w:rPr>
                <w:rFonts w:hint="eastAsia" w:ascii="宋体" w:hAnsi="宋体" w:eastAsia="宋体" w:cs="宋体"/>
                <w:color w:val="auto"/>
                <w:szCs w:val="21"/>
                <w:highlight w:val="none"/>
                <w:lang w:val="en-US" w:eastAsia="zh-CN"/>
              </w:rPr>
              <w:t>较差</w:t>
            </w:r>
            <w:r>
              <w:rPr>
                <w:rFonts w:hint="eastAsia" w:ascii="宋体" w:hAnsi="宋体" w:eastAsia="宋体" w:cs="宋体"/>
                <w:color w:val="auto"/>
                <w:szCs w:val="21"/>
                <w:highlight w:val="none"/>
                <w:lang w:val="zh-CN"/>
              </w:rPr>
              <w:t>、对检测项目的认知</w:t>
            </w:r>
            <w:r>
              <w:rPr>
                <w:rFonts w:hint="eastAsia" w:ascii="宋体" w:hAnsi="宋体" w:eastAsia="宋体" w:cs="宋体"/>
                <w:color w:val="auto"/>
                <w:szCs w:val="21"/>
                <w:highlight w:val="none"/>
                <w:lang w:val="en-US" w:eastAsia="zh-CN"/>
              </w:rPr>
              <w:t>不够准确</w:t>
            </w:r>
            <w:r>
              <w:rPr>
                <w:rFonts w:hint="eastAsia" w:ascii="宋体" w:hAnsi="宋体" w:eastAsia="宋体" w:cs="宋体"/>
                <w:color w:val="auto"/>
                <w:szCs w:val="21"/>
                <w:highlight w:val="none"/>
                <w:lang w:val="zh-CN"/>
              </w:rPr>
              <w:t>，检测质量的保障措施、配合施工进度的检测实施措施等</w:t>
            </w:r>
            <w:r>
              <w:rPr>
                <w:rFonts w:hint="eastAsia" w:ascii="宋体" w:hAnsi="宋体" w:eastAsia="宋体" w:cs="宋体"/>
                <w:color w:val="auto"/>
                <w:szCs w:val="21"/>
                <w:highlight w:val="none"/>
                <w:lang w:val="en-US" w:eastAsia="zh-CN"/>
              </w:rPr>
              <w:t>可操作性较差</w:t>
            </w:r>
            <w:r>
              <w:rPr>
                <w:rFonts w:hint="eastAsia" w:ascii="宋体" w:hAnsi="宋体" w:eastAsia="宋体" w:cs="宋体"/>
                <w:color w:val="auto"/>
                <w:szCs w:val="21"/>
                <w:highlight w:val="none"/>
                <w:lang w:val="zh-CN"/>
              </w:rPr>
              <w:t>，检测目标</w:t>
            </w:r>
            <w:r>
              <w:rPr>
                <w:rFonts w:hint="eastAsia" w:ascii="宋体" w:hAnsi="宋体" w:eastAsia="宋体" w:cs="宋体"/>
                <w:color w:val="auto"/>
                <w:szCs w:val="21"/>
                <w:highlight w:val="none"/>
                <w:lang w:val="en-US" w:eastAsia="zh-CN"/>
              </w:rPr>
              <w:t>不</w:t>
            </w:r>
            <w:r>
              <w:rPr>
                <w:rFonts w:hint="eastAsia" w:ascii="宋体" w:hAnsi="宋体" w:eastAsia="宋体" w:cs="宋体"/>
                <w:color w:val="auto"/>
                <w:szCs w:val="21"/>
                <w:highlight w:val="none"/>
                <w:lang w:val="zh-CN"/>
              </w:rPr>
              <w:t>明确，实施方法可行</w:t>
            </w:r>
            <w:r>
              <w:rPr>
                <w:rFonts w:hint="eastAsia" w:ascii="宋体" w:hAnsi="宋体" w:eastAsia="宋体" w:cs="宋体"/>
                <w:color w:val="auto"/>
                <w:szCs w:val="21"/>
                <w:highlight w:val="none"/>
                <w:lang w:val="en-US" w:eastAsia="zh-CN"/>
              </w:rPr>
              <w:t>性较差的，得</w:t>
            </w:r>
            <w:r>
              <w:rPr>
                <w:rFonts w:hint="eastAsia" w:ascii="宋体" w:hAnsi="宋体" w:eastAsia="宋体" w:cs="宋体"/>
                <w:color w:val="auto"/>
                <w:szCs w:val="21"/>
                <w:highlight w:val="none"/>
                <w:lang w:val="zh-CN"/>
              </w:rPr>
              <w:t>[0，</w:t>
            </w:r>
            <w:r>
              <w:rPr>
                <w:rFonts w:hint="eastAsia" w:ascii="宋体" w:hAnsi="宋体" w:eastAsia="宋体" w:cs="宋体"/>
                <w:color w:val="auto"/>
                <w:szCs w:val="21"/>
                <w:highlight w:val="none"/>
                <w:lang w:val="en-US" w:eastAsia="zh-CN"/>
              </w:rPr>
              <w:t>0.75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分；</w:t>
            </w:r>
          </w:p>
        </w:tc>
        <w:tc>
          <w:tcPr>
            <w:tcW w:w="907" w:type="dxa"/>
            <w:tcBorders>
              <w:top w:val="single" w:color="auto" w:sz="4" w:space="0"/>
              <w:left w:val="single" w:color="auto" w:sz="4" w:space="0"/>
              <w:bottom w:val="single" w:color="auto" w:sz="4" w:space="0"/>
              <w:right w:val="single" w:color="auto" w:sz="4" w:space="0"/>
            </w:tcBorders>
            <w:vAlign w:val="center"/>
          </w:tcPr>
          <w:p w14:paraId="0900E1B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tr w14:paraId="506FC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7F801CE8">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1133" w:type="dxa"/>
            <w:tcBorders>
              <w:top w:val="single" w:color="auto" w:sz="4" w:space="0"/>
              <w:left w:val="single" w:color="auto" w:sz="4" w:space="0"/>
              <w:bottom w:val="single" w:color="auto" w:sz="4" w:space="0"/>
              <w:right w:val="single" w:color="auto" w:sz="4" w:space="0"/>
            </w:tcBorders>
            <w:vAlign w:val="center"/>
          </w:tcPr>
          <w:p w14:paraId="684050FD">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检测</w:t>
            </w:r>
            <w:r>
              <w:rPr>
                <w:rFonts w:hint="eastAsia" w:ascii="宋体" w:hAnsi="宋体" w:eastAsia="宋体" w:cs="宋体"/>
                <w:color w:val="auto"/>
                <w:szCs w:val="21"/>
                <w:highlight w:val="none"/>
              </w:rPr>
              <w:t>设备</w:t>
            </w:r>
          </w:p>
        </w:tc>
        <w:tc>
          <w:tcPr>
            <w:tcW w:w="7659" w:type="dxa"/>
            <w:tcBorders>
              <w:top w:val="single" w:color="auto" w:sz="4" w:space="0"/>
              <w:left w:val="single" w:color="auto" w:sz="4" w:space="0"/>
              <w:bottom w:val="single" w:color="auto" w:sz="4" w:space="0"/>
              <w:right w:val="single" w:color="auto" w:sz="4" w:space="0"/>
            </w:tcBorders>
            <w:vAlign w:val="center"/>
          </w:tcPr>
          <w:p w14:paraId="377FD257">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横向比较各投标人拟投入检测项目的主要设备（包含但不限于低应变检测仪、全自动静载测试分析仪、液压千斤顶、混凝土回弹仪、混凝土钻芯机、锚杆拉力计、数字式超声波探伤仪、磁粉探伤仪、涂层测厚仪、混凝土搅拌机、桩基动测仪等设备等）：</w:t>
            </w:r>
          </w:p>
          <w:p w14:paraId="336AF5E5">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优：检测设备最齐全，数量最多，设备最先进的，得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2.25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eastAsia="zh-CN"/>
              </w:rPr>
              <w:t>分；</w:t>
            </w:r>
          </w:p>
          <w:p w14:paraId="389F8549">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良：检测设备齐全，数量多，设备先进的，得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2.25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eastAsia="zh-CN"/>
              </w:rPr>
              <w:t>分；</w:t>
            </w:r>
          </w:p>
          <w:p w14:paraId="3ED03441">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中：检测设备较齐全，数量较多，设备较先进的，得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0.75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eastAsia="zh-CN"/>
              </w:rPr>
              <w:t>分；</w:t>
            </w:r>
          </w:p>
          <w:p w14:paraId="1785A4D0">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eastAsia="zh-CN"/>
              </w:rPr>
              <w:t>差：检测设备不齐全，数量少，设备不够先进的，得</w:t>
            </w:r>
            <w:r>
              <w:rPr>
                <w:rFonts w:hint="eastAsia" w:ascii="宋体" w:hAnsi="宋体" w:eastAsia="宋体" w:cs="宋体"/>
                <w:color w:val="auto"/>
                <w:szCs w:val="21"/>
                <w:highlight w:val="none"/>
                <w:lang w:val="zh-CN"/>
              </w:rPr>
              <w:t>[0，</w:t>
            </w:r>
            <w:r>
              <w:rPr>
                <w:rFonts w:hint="eastAsia" w:ascii="宋体" w:hAnsi="宋体" w:eastAsia="宋体" w:cs="宋体"/>
                <w:color w:val="auto"/>
                <w:szCs w:val="21"/>
                <w:highlight w:val="none"/>
                <w:lang w:val="en-US" w:eastAsia="zh-CN"/>
              </w:rPr>
              <w:t>0.75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eastAsia="zh-CN"/>
              </w:rPr>
              <w:t>分。</w:t>
            </w:r>
          </w:p>
          <w:p w14:paraId="3E3155FE">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lang w:val="zh-CN" w:eastAsia="zh-CN"/>
              </w:rPr>
            </w:pPr>
            <w:r>
              <w:rPr>
                <w:rFonts w:hint="eastAsia" w:ascii="宋体" w:hAnsi="宋体" w:eastAsia="宋体" w:cs="宋体"/>
                <w:b/>
                <w:bCs/>
                <w:color w:val="auto"/>
                <w:szCs w:val="21"/>
                <w:highlight w:val="none"/>
                <w:lang w:val="zh-CN" w:eastAsia="zh-CN"/>
              </w:rPr>
              <w:t>注:需提供投标人购置设备的发票复印件，及设备照片/图片打印件(照片/图片须清晰显示拍摄时间为2024年10月1日或以后)。设备发票、证书的文字描述与以上设备名称描述不完全一致，但技术能力，含义一致的，均视为满足，无提供不得分。</w:t>
            </w:r>
          </w:p>
        </w:tc>
        <w:tc>
          <w:tcPr>
            <w:tcW w:w="907" w:type="dxa"/>
            <w:tcBorders>
              <w:top w:val="single" w:color="auto" w:sz="4" w:space="0"/>
              <w:left w:val="single" w:color="auto" w:sz="4" w:space="0"/>
              <w:bottom w:val="single" w:color="auto" w:sz="4" w:space="0"/>
              <w:right w:val="single" w:color="auto" w:sz="4" w:space="0"/>
            </w:tcBorders>
            <w:vAlign w:val="center"/>
          </w:tcPr>
          <w:p w14:paraId="4E433108">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r>
      <w:tr w14:paraId="02C60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2227BFF2">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1133" w:type="dxa"/>
            <w:tcBorders>
              <w:top w:val="single" w:color="auto" w:sz="4" w:space="0"/>
              <w:left w:val="single" w:color="auto" w:sz="4" w:space="0"/>
              <w:bottom w:val="single" w:color="auto" w:sz="4" w:space="0"/>
              <w:right w:val="single" w:color="auto" w:sz="4" w:space="0"/>
            </w:tcBorders>
            <w:vAlign w:val="center"/>
          </w:tcPr>
          <w:p w14:paraId="21D851C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检测场所及环境</w:t>
            </w:r>
          </w:p>
        </w:tc>
        <w:tc>
          <w:tcPr>
            <w:tcW w:w="7659" w:type="dxa"/>
            <w:tcBorders>
              <w:top w:val="single" w:color="auto" w:sz="4" w:space="0"/>
              <w:left w:val="single" w:color="auto" w:sz="4" w:space="0"/>
              <w:bottom w:val="single" w:color="auto" w:sz="4" w:space="0"/>
              <w:right w:val="single" w:color="auto" w:sz="4" w:space="0"/>
            </w:tcBorders>
            <w:vAlign w:val="center"/>
          </w:tcPr>
          <w:p w14:paraId="04D60FC0">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横向比较</w:t>
            </w:r>
            <w:r>
              <w:rPr>
                <w:rFonts w:hint="eastAsia" w:ascii="宋体" w:hAnsi="宋体" w:eastAsia="宋体" w:cs="宋体"/>
                <w:color w:val="auto"/>
                <w:szCs w:val="21"/>
                <w:highlight w:val="none"/>
                <w:lang w:val="zh-CN"/>
              </w:rPr>
              <w:t>各投标人</w:t>
            </w:r>
            <w:r>
              <w:rPr>
                <w:rFonts w:hint="eastAsia" w:ascii="宋体" w:hAnsi="宋体" w:eastAsia="宋体" w:cs="宋体"/>
                <w:color w:val="auto"/>
                <w:sz w:val="21"/>
                <w:szCs w:val="21"/>
                <w:highlight w:val="none"/>
                <w:lang w:val="zh-CN"/>
              </w:rPr>
              <w:t>的</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lang w:val="zh-CN"/>
              </w:rPr>
              <w:t>场地规模、</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lang w:val="zh-CN"/>
              </w:rPr>
              <w:t>环境资料等</w:t>
            </w:r>
            <w:r>
              <w:rPr>
                <w:rFonts w:hint="eastAsia" w:ascii="宋体" w:hAnsi="宋体" w:eastAsia="宋体" w:cs="宋体"/>
                <w:color w:val="auto"/>
                <w:sz w:val="21"/>
                <w:szCs w:val="21"/>
                <w:highlight w:val="none"/>
                <w:lang w:val="en-US" w:eastAsia="zh-CN"/>
              </w:rPr>
              <w:t>进行评审</w:t>
            </w:r>
            <w:r>
              <w:rPr>
                <w:rFonts w:hint="eastAsia" w:ascii="宋体" w:hAnsi="宋体" w:eastAsia="宋体" w:cs="宋体"/>
                <w:color w:val="auto"/>
                <w:sz w:val="21"/>
                <w:szCs w:val="21"/>
                <w:highlight w:val="none"/>
                <w:lang w:val="zh-CN"/>
              </w:rPr>
              <w:t>：</w:t>
            </w:r>
          </w:p>
          <w:p w14:paraId="437977B9">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优：</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lang w:val="zh-CN"/>
              </w:rPr>
              <w:t>场地规模</w:t>
            </w:r>
            <w:r>
              <w:rPr>
                <w:rFonts w:hint="eastAsia" w:ascii="宋体" w:hAnsi="宋体" w:eastAsia="宋体" w:cs="宋体"/>
                <w:color w:val="auto"/>
                <w:sz w:val="21"/>
                <w:szCs w:val="21"/>
                <w:highlight w:val="none"/>
                <w:lang w:val="en-US" w:eastAsia="zh-CN"/>
              </w:rPr>
              <w:t>大</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lang w:val="zh-CN"/>
              </w:rPr>
              <w:t>环境</w:t>
            </w:r>
            <w:r>
              <w:rPr>
                <w:rFonts w:hint="eastAsia" w:ascii="宋体" w:hAnsi="宋体" w:eastAsia="宋体" w:cs="宋体"/>
                <w:color w:val="auto"/>
                <w:sz w:val="21"/>
                <w:szCs w:val="21"/>
                <w:highlight w:val="none"/>
                <w:lang w:val="en-US" w:eastAsia="zh-CN"/>
              </w:rPr>
              <w:t>好的，得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2.25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w:t>
            </w:r>
            <w:r>
              <w:rPr>
                <w:rFonts w:hint="eastAsia" w:ascii="宋体" w:hAnsi="宋体" w:eastAsia="宋体" w:cs="宋体"/>
                <w:color w:val="auto"/>
                <w:sz w:val="21"/>
                <w:szCs w:val="21"/>
                <w:highlight w:val="none"/>
                <w:lang w:val="zh-CN"/>
              </w:rPr>
              <w:t>分；</w:t>
            </w:r>
          </w:p>
          <w:p w14:paraId="5A5969B0">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良：检测场地规模较大、检测环境较好的，得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2.25</w:t>
            </w:r>
            <w:r>
              <w:rPr>
                <w:rFonts w:hint="eastAsia" w:ascii="宋体" w:hAnsi="宋体" w:eastAsia="宋体" w:cs="宋体"/>
                <w:color w:val="auto"/>
                <w:szCs w:val="21"/>
                <w:highlight w:val="none"/>
                <w:lang w:val="zh-CN"/>
              </w:rPr>
              <w:t>]</w:t>
            </w:r>
            <w:r>
              <w:rPr>
                <w:rFonts w:hint="eastAsia" w:ascii="宋体" w:hAnsi="宋体" w:eastAsia="宋体" w:cs="宋体"/>
                <w:color w:val="auto"/>
                <w:sz w:val="21"/>
                <w:szCs w:val="21"/>
                <w:highlight w:val="none"/>
                <w:lang w:val="zh-CN"/>
              </w:rPr>
              <w:t>分；</w:t>
            </w:r>
          </w:p>
          <w:p w14:paraId="0B49BC0C">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中：</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lang w:val="zh-CN"/>
              </w:rPr>
              <w:t>场地规模</w:t>
            </w:r>
            <w:r>
              <w:rPr>
                <w:rFonts w:hint="eastAsia" w:ascii="宋体" w:hAnsi="宋体" w:eastAsia="宋体" w:cs="宋体"/>
                <w:color w:val="auto"/>
                <w:sz w:val="21"/>
                <w:szCs w:val="21"/>
                <w:highlight w:val="none"/>
                <w:lang w:val="en-US" w:eastAsia="zh-CN"/>
              </w:rPr>
              <w:t>一般</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lang w:val="zh-CN"/>
              </w:rPr>
              <w:t>环境</w:t>
            </w:r>
            <w:r>
              <w:rPr>
                <w:rFonts w:hint="eastAsia" w:ascii="宋体" w:hAnsi="宋体" w:eastAsia="宋体" w:cs="宋体"/>
                <w:color w:val="auto"/>
                <w:sz w:val="21"/>
                <w:szCs w:val="21"/>
                <w:highlight w:val="none"/>
                <w:lang w:val="en-US" w:eastAsia="zh-CN"/>
              </w:rPr>
              <w:t>一般的，得</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0.75</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1.5</w:t>
            </w:r>
            <w:r>
              <w:rPr>
                <w:rFonts w:hint="eastAsia" w:ascii="宋体" w:hAnsi="宋体" w:eastAsia="宋体" w:cs="宋体"/>
                <w:color w:val="auto"/>
                <w:szCs w:val="21"/>
                <w:highlight w:val="none"/>
                <w:lang w:val="zh-CN"/>
              </w:rPr>
              <w:t>]</w:t>
            </w:r>
            <w:r>
              <w:rPr>
                <w:rFonts w:hint="eastAsia" w:ascii="宋体" w:hAnsi="宋体" w:eastAsia="宋体" w:cs="宋体"/>
                <w:color w:val="auto"/>
                <w:sz w:val="21"/>
                <w:szCs w:val="21"/>
                <w:highlight w:val="none"/>
                <w:lang w:val="zh-CN"/>
              </w:rPr>
              <w:t>分；</w:t>
            </w:r>
          </w:p>
          <w:p w14:paraId="143EC9DE">
            <w:pPr>
              <w:keepNext w:val="0"/>
              <w:keepLines w:val="0"/>
              <w:suppressLineNumbers w:val="0"/>
              <w:snapToGrid w:val="0"/>
              <w:spacing w:before="0" w:beforeAutospacing="0" w:after="0" w:afterAutospacing="0" w:line="360" w:lineRule="auto"/>
              <w:ind w:left="0" w:right="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差：</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lang w:val="zh-CN"/>
              </w:rPr>
              <w:t>场地规模</w:t>
            </w:r>
            <w:r>
              <w:rPr>
                <w:rFonts w:hint="eastAsia" w:ascii="宋体" w:hAnsi="宋体" w:eastAsia="宋体" w:cs="宋体"/>
                <w:color w:val="auto"/>
                <w:sz w:val="21"/>
                <w:szCs w:val="21"/>
                <w:highlight w:val="none"/>
                <w:lang w:val="en-US" w:eastAsia="zh-CN"/>
              </w:rPr>
              <w:t>小</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检测</w:t>
            </w:r>
            <w:r>
              <w:rPr>
                <w:rFonts w:hint="eastAsia" w:ascii="宋体" w:hAnsi="宋体" w:eastAsia="宋体" w:cs="宋体"/>
                <w:color w:val="auto"/>
                <w:sz w:val="21"/>
                <w:szCs w:val="21"/>
                <w:highlight w:val="none"/>
                <w:lang w:val="zh-CN"/>
              </w:rPr>
              <w:t>环境</w:t>
            </w:r>
            <w:r>
              <w:rPr>
                <w:rFonts w:hint="eastAsia" w:ascii="宋体" w:hAnsi="宋体" w:eastAsia="宋体" w:cs="宋体"/>
                <w:color w:val="auto"/>
                <w:sz w:val="21"/>
                <w:szCs w:val="21"/>
                <w:highlight w:val="none"/>
                <w:lang w:val="en-US" w:eastAsia="zh-CN"/>
              </w:rPr>
              <w:t>简陋</w:t>
            </w:r>
            <w:r>
              <w:rPr>
                <w:rFonts w:hint="eastAsia" w:ascii="宋体" w:hAnsi="宋体" w:eastAsia="宋体" w:cs="宋体"/>
                <w:color w:val="auto"/>
                <w:kern w:val="2"/>
                <w:sz w:val="21"/>
                <w:szCs w:val="21"/>
                <w:highlight w:val="none"/>
                <w:lang w:val="en-US" w:eastAsia="zh-CN"/>
              </w:rPr>
              <w:t>的</w:t>
            </w:r>
            <w:r>
              <w:rPr>
                <w:rFonts w:hint="eastAsia" w:ascii="宋体" w:hAnsi="宋体" w:eastAsia="宋体" w:cs="宋体"/>
                <w:color w:val="auto"/>
                <w:sz w:val="21"/>
                <w:szCs w:val="21"/>
                <w:highlight w:val="none"/>
                <w:lang w:val="en-US" w:eastAsia="zh-CN"/>
              </w:rPr>
              <w:t>，得</w:t>
            </w:r>
            <w:r>
              <w:rPr>
                <w:rFonts w:hint="eastAsia" w:ascii="宋体" w:hAnsi="宋体" w:eastAsia="宋体" w:cs="宋体"/>
                <w:color w:val="auto"/>
                <w:szCs w:val="21"/>
                <w:highlight w:val="none"/>
                <w:lang w:val="zh-CN"/>
              </w:rPr>
              <w:t>[0，</w:t>
            </w:r>
            <w:r>
              <w:rPr>
                <w:rFonts w:hint="eastAsia" w:ascii="宋体" w:hAnsi="宋体" w:eastAsia="宋体" w:cs="宋体"/>
                <w:color w:val="auto"/>
                <w:szCs w:val="21"/>
                <w:highlight w:val="none"/>
                <w:lang w:val="en-US" w:eastAsia="zh-CN"/>
              </w:rPr>
              <w:t>0.75</w:t>
            </w:r>
            <w:r>
              <w:rPr>
                <w:rFonts w:hint="eastAsia" w:ascii="宋体" w:hAnsi="宋体" w:eastAsia="宋体" w:cs="宋体"/>
                <w:color w:val="auto"/>
                <w:szCs w:val="21"/>
                <w:highlight w:val="none"/>
                <w:lang w:val="zh-CN"/>
              </w:rPr>
              <w:t>]</w:t>
            </w:r>
            <w:r>
              <w:rPr>
                <w:rFonts w:hint="eastAsia" w:ascii="宋体" w:hAnsi="宋体" w:eastAsia="宋体" w:cs="宋体"/>
                <w:color w:val="auto"/>
                <w:sz w:val="21"/>
                <w:szCs w:val="21"/>
                <w:highlight w:val="none"/>
                <w:lang w:val="zh-CN"/>
              </w:rPr>
              <w:t>分。</w:t>
            </w:r>
          </w:p>
          <w:p w14:paraId="4994A5D9">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备注：</w:t>
            </w:r>
          </w:p>
          <w:p w14:paraId="31176E49">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（1）提供</w:t>
            </w:r>
            <w:r>
              <w:rPr>
                <w:rFonts w:hint="eastAsia" w:ascii="宋体" w:hAnsi="宋体" w:eastAsia="宋体" w:cs="宋体"/>
                <w:b/>
                <w:color w:val="auto"/>
                <w:sz w:val="21"/>
                <w:szCs w:val="21"/>
                <w:highlight w:val="none"/>
                <w:lang w:val="en-US" w:eastAsia="zh-CN"/>
              </w:rPr>
              <w:t>投标人检测</w:t>
            </w:r>
            <w:r>
              <w:rPr>
                <w:rFonts w:hint="eastAsia" w:ascii="宋体" w:hAnsi="宋体" w:eastAsia="宋体" w:cs="宋体"/>
                <w:b/>
                <w:color w:val="auto"/>
                <w:sz w:val="21"/>
                <w:szCs w:val="21"/>
                <w:highlight w:val="none"/>
                <w:lang w:val="zh-CN"/>
              </w:rPr>
              <w:t>场地自有产权证明复印件（或非自有产权时提供租赁合同复印件），产权证明或租赁合同的有效期须至202</w:t>
            </w:r>
            <w:r>
              <w:rPr>
                <w:rFonts w:hint="eastAsia" w:ascii="宋体" w:hAnsi="宋体" w:eastAsia="宋体" w:cs="宋体"/>
                <w:b/>
                <w:color w:val="auto"/>
                <w:sz w:val="21"/>
                <w:szCs w:val="21"/>
                <w:highlight w:val="none"/>
                <w:lang w:val="en-US" w:eastAsia="zh-CN"/>
              </w:rPr>
              <w:t>5</w:t>
            </w:r>
            <w:r>
              <w:rPr>
                <w:rFonts w:hint="eastAsia" w:ascii="宋体" w:hAnsi="宋体" w:eastAsia="宋体" w:cs="宋体"/>
                <w:b/>
                <w:color w:val="auto"/>
                <w:sz w:val="21"/>
                <w:szCs w:val="21"/>
                <w:highlight w:val="none"/>
                <w:lang w:val="zh-CN"/>
              </w:rPr>
              <w:t>年12月31日或以后，否则在评标时将不予考虑；</w:t>
            </w:r>
          </w:p>
          <w:p w14:paraId="3DA22114">
            <w:pPr>
              <w:keepNext w:val="0"/>
              <w:keepLines w:val="0"/>
              <w:suppressLineNumbers w:val="0"/>
              <w:snapToGrid w:val="0"/>
              <w:spacing w:before="0" w:beforeAutospacing="0" w:after="0" w:afterAutospacing="0" w:line="360" w:lineRule="auto"/>
              <w:ind w:left="0" w:right="0"/>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（2）提供</w:t>
            </w:r>
            <w:r>
              <w:rPr>
                <w:rFonts w:hint="eastAsia" w:ascii="宋体" w:hAnsi="宋体" w:eastAsia="宋体" w:cs="宋体"/>
                <w:b/>
                <w:color w:val="auto"/>
                <w:sz w:val="21"/>
                <w:szCs w:val="21"/>
                <w:highlight w:val="none"/>
                <w:lang w:val="en-US" w:eastAsia="zh-CN"/>
              </w:rPr>
              <w:t>投标人检测</w:t>
            </w:r>
            <w:r>
              <w:rPr>
                <w:rFonts w:hint="eastAsia" w:ascii="宋体" w:hAnsi="宋体" w:eastAsia="宋体" w:cs="宋体"/>
                <w:b/>
                <w:color w:val="auto"/>
                <w:sz w:val="21"/>
                <w:szCs w:val="21"/>
                <w:highlight w:val="none"/>
                <w:lang w:val="zh-CN"/>
              </w:rPr>
              <w:t>场地现场、</w:t>
            </w:r>
            <w:r>
              <w:rPr>
                <w:rFonts w:hint="eastAsia" w:ascii="宋体" w:hAnsi="宋体" w:eastAsia="宋体" w:cs="宋体"/>
                <w:b/>
                <w:color w:val="auto"/>
                <w:sz w:val="21"/>
                <w:szCs w:val="21"/>
                <w:highlight w:val="none"/>
                <w:lang w:val="en-US" w:eastAsia="zh-CN"/>
              </w:rPr>
              <w:t>检测</w:t>
            </w:r>
            <w:r>
              <w:rPr>
                <w:rFonts w:hint="eastAsia" w:ascii="宋体" w:hAnsi="宋体" w:eastAsia="宋体" w:cs="宋体"/>
                <w:b/>
                <w:color w:val="auto"/>
                <w:sz w:val="21"/>
                <w:szCs w:val="21"/>
                <w:highlight w:val="none"/>
                <w:lang w:val="zh-CN"/>
              </w:rPr>
              <w:t>环境的照片/图片打印件（照片/图片须清晰显示拍摄时间为202</w:t>
            </w:r>
            <w:r>
              <w:rPr>
                <w:rFonts w:hint="eastAsia" w:ascii="宋体" w:hAnsi="宋体" w:eastAsia="宋体" w:cs="宋体"/>
                <w:b/>
                <w:color w:val="auto"/>
                <w:sz w:val="21"/>
                <w:szCs w:val="21"/>
                <w:highlight w:val="none"/>
                <w:lang w:val="en-US" w:eastAsia="zh-CN"/>
              </w:rPr>
              <w:t>4</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lang w:val="zh-CN"/>
              </w:rPr>
              <w:t>月1日或以后）；</w:t>
            </w:r>
          </w:p>
          <w:p w14:paraId="0B63128A">
            <w:pPr>
              <w:keepNext w:val="0"/>
              <w:keepLines w:val="0"/>
              <w:suppressLineNumbers w:val="0"/>
              <w:spacing w:before="0" w:beforeAutospacing="0" w:after="0" w:afterAutospacing="0" w:line="360" w:lineRule="auto"/>
              <w:ind w:left="0" w:right="0"/>
              <w:contextualSpacing/>
              <w:rPr>
                <w:rFonts w:hint="eastAsia" w:ascii="宋体" w:hAnsi="宋体" w:eastAsia="宋体" w:cs="宋体"/>
                <w:color w:val="auto"/>
                <w:szCs w:val="21"/>
                <w:highlight w:val="none"/>
                <w:lang w:val="zh-CN" w:eastAsia="zh-CN"/>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3</w:t>
            </w:r>
            <w:r>
              <w:rPr>
                <w:rFonts w:hint="eastAsia" w:ascii="宋体" w:hAnsi="宋体" w:eastAsia="宋体" w:cs="宋体"/>
                <w:b/>
                <w:color w:val="auto"/>
                <w:sz w:val="21"/>
                <w:szCs w:val="21"/>
                <w:highlight w:val="none"/>
                <w:lang w:val="zh-CN"/>
              </w:rPr>
              <w:t>）投标人除文字介绍外，必须按要求提供以上证明材料。</w:t>
            </w:r>
          </w:p>
        </w:tc>
        <w:tc>
          <w:tcPr>
            <w:tcW w:w="907" w:type="dxa"/>
            <w:tcBorders>
              <w:top w:val="single" w:color="auto" w:sz="4" w:space="0"/>
              <w:left w:val="single" w:color="auto" w:sz="4" w:space="0"/>
              <w:bottom w:val="single" w:color="auto" w:sz="4" w:space="0"/>
              <w:right w:val="single" w:color="auto" w:sz="4" w:space="0"/>
            </w:tcBorders>
            <w:vAlign w:val="center"/>
          </w:tcPr>
          <w:p w14:paraId="7C214E7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3分</w:t>
            </w:r>
          </w:p>
        </w:tc>
      </w:tr>
      <w:tr w14:paraId="0C06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13EC2A9F">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val="en-US" w:eastAsia="zh-CN"/>
              </w:rPr>
              <w:t>5</w:t>
            </w:r>
          </w:p>
        </w:tc>
        <w:tc>
          <w:tcPr>
            <w:tcW w:w="1133" w:type="dxa"/>
            <w:tcBorders>
              <w:top w:val="single" w:color="auto" w:sz="4" w:space="0"/>
              <w:left w:val="single" w:color="auto" w:sz="4" w:space="0"/>
              <w:bottom w:val="single" w:color="auto" w:sz="4" w:space="0"/>
              <w:right w:val="single" w:color="auto" w:sz="4" w:space="0"/>
            </w:tcBorders>
            <w:vAlign w:val="center"/>
          </w:tcPr>
          <w:p w14:paraId="673BEAF6">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承诺检测成果的准确性</w:t>
            </w:r>
          </w:p>
        </w:tc>
        <w:tc>
          <w:tcPr>
            <w:tcW w:w="7659" w:type="dxa"/>
            <w:tcBorders>
              <w:top w:val="single" w:color="auto" w:sz="4" w:space="0"/>
              <w:left w:val="single" w:color="auto" w:sz="4" w:space="0"/>
              <w:bottom w:val="single" w:color="auto" w:sz="4" w:space="0"/>
              <w:right w:val="single" w:color="auto" w:sz="4" w:space="0"/>
            </w:tcBorders>
            <w:vAlign w:val="center"/>
          </w:tcPr>
          <w:p w14:paraId="23979D57">
            <w:pPr>
              <w:keepNext w:val="0"/>
              <w:keepLines w:val="0"/>
              <w:suppressLineNumbers w:val="0"/>
              <w:spacing w:before="0" w:beforeAutospacing="0" w:after="0" w:afterAutospacing="0" w:line="240" w:lineRule="auto"/>
              <w:ind w:left="0" w:right="0"/>
              <w:contextualSpacing w:val="0"/>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（1）承诺所有检测成果按实检测，错误点数0个（含）以内，得3分；</w:t>
            </w:r>
          </w:p>
          <w:p w14:paraId="7BDD3204">
            <w:pPr>
              <w:keepNext w:val="0"/>
              <w:keepLines w:val="0"/>
              <w:suppressLineNumbers w:val="0"/>
              <w:spacing w:before="0" w:beforeAutospacing="0" w:after="0" w:afterAutospacing="0" w:line="240" w:lineRule="auto"/>
              <w:ind w:left="0" w:right="0"/>
              <w:contextualSpacing w:val="0"/>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（2）承诺所有检测成果按实检测，错误点数1个（含）以内，得2分；</w:t>
            </w:r>
          </w:p>
          <w:p w14:paraId="3FE51BDC">
            <w:pPr>
              <w:keepNext w:val="0"/>
              <w:keepLines w:val="0"/>
              <w:suppressLineNumbers w:val="0"/>
              <w:spacing w:before="0" w:beforeAutospacing="0" w:after="0" w:afterAutospacing="0" w:line="240" w:lineRule="auto"/>
              <w:ind w:left="0" w:right="0"/>
              <w:contextualSpacing w:val="0"/>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（3）承诺所有检测成果按实检测，错误点数2个（含）以内，得1分；</w:t>
            </w:r>
          </w:p>
          <w:p w14:paraId="73240759">
            <w:pPr>
              <w:keepNext w:val="0"/>
              <w:keepLines w:val="0"/>
              <w:suppressLineNumbers w:val="0"/>
              <w:spacing w:before="0" w:beforeAutospacing="0" w:after="0" w:afterAutospacing="0" w:line="240" w:lineRule="auto"/>
              <w:ind w:left="0" w:right="0"/>
              <w:contextualSpacing w:val="0"/>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（4）承诺所有检测成果按实检测，错误点数大于或等于3个的，得0分。</w:t>
            </w:r>
          </w:p>
          <w:p w14:paraId="436F2CA1">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备注：</w:t>
            </w:r>
          </w:p>
          <w:p w14:paraId="40BCDF45">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（1）</w:t>
            </w:r>
            <w:r>
              <w:rPr>
                <w:rFonts w:hint="eastAsia" w:ascii="宋体" w:hAnsi="宋体" w:eastAsia="宋体" w:cs="宋体"/>
                <w:b/>
                <w:bCs/>
                <w:color w:val="auto"/>
                <w:kern w:val="2"/>
                <w:sz w:val="21"/>
                <w:szCs w:val="21"/>
                <w:highlight w:val="none"/>
                <w:lang w:val="en-US" w:eastAsia="zh-CN" w:bidi="ar"/>
              </w:rPr>
              <w:t>根据《检测成果准确性承诺书》对应的内容进行评审。提供承诺函加盖投标人公章；</w:t>
            </w:r>
          </w:p>
          <w:p w14:paraId="213AF6B1">
            <w:pPr>
              <w:keepNext w:val="0"/>
              <w:keepLines w:val="0"/>
              <w:suppressLineNumbers w:val="0"/>
              <w:spacing w:before="0" w:beforeAutospacing="0" w:after="0" w:afterAutospacing="0" w:line="240" w:lineRule="auto"/>
              <w:ind w:left="0" w:right="0"/>
              <w:contextualSpacing w:val="0"/>
              <w:rPr>
                <w:rFonts w:hint="default" w:ascii="宋体" w:hAnsi="宋体" w:eastAsia="宋体" w:cs="宋体"/>
                <w:color w:val="auto"/>
                <w:kern w:val="0"/>
                <w:szCs w:val="21"/>
                <w:highlight w:val="none"/>
              </w:rPr>
            </w:pPr>
            <w:r>
              <w:rPr>
                <w:rFonts w:hint="eastAsia" w:ascii="宋体" w:hAnsi="宋体" w:eastAsia="宋体" w:cs="宋体"/>
                <w:b/>
                <w:bCs w:val="0"/>
                <w:color w:val="auto"/>
                <w:kern w:val="2"/>
                <w:sz w:val="21"/>
                <w:szCs w:val="21"/>
                <w:highlight w:val="none"/>
                <w:lang w:val="en-US" w:eastAsia="zh-CN" w:bidi="ar"/>
              </w:rPr>
              <w:t>（2）</w:t>
            </w:r>
            <w:r>
              <w:rPr>
                <w:rFonts w:hint="eastAsia" w:ascii="宋体" w:hAnsi="宋体" w:eastAsia="宋体" w:cs="宋体"/>
                <w:b/>
                <w:bCs/>
                <w:color w:val="auto"/>
                <w:kern w:val="2"/>
                <w:sz w:val="21"/>
                <w:szCs w:val="21"/>
                <w:highlight w:val="none"/>
                <w:lang w:val="en-US" w:eastAsia="zh-CN" w:bidi="ar"/>
              </w:rPr>
              <w:t>本项按最高得分计算一次，不重复得分。</w:t>
            </w:r>
          </w:p>
        </w:tc>
        <w:tc>
          <w:tcPr>
            <w:tcW w:w="907" w:type="dxa"/>
            <w:tcBorders>
              <w:top w:val="single" w:color="auto" w:sz="4" w:space="0"/>
              <w:left w:val="single" w:color="auto" w:sz="4" w:space="0"/>
              <w:bottom w:val="single" w:color="auto" w:sz="4" w:space="0"/>
              <w:right w:val="single" w:color="auto" w:sz="4" w:space="0"/>
            </w:tcBorders>
            <w:vAlign w:val="center"/>
          </w:tcPr>
          <w:p w14:paraId="2BC3F21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3分</w:t>
            </w:r>
          </w:p>
        </w:tc>
      </w:tr>
      <w:tr w14:paraId="707C3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71" w:type="dxa"/>
            <w:tcBorders>
              <w:top w:val="single" w:color="auto" w:sz="4" w:space="0"/>
              <w:left w:val="single" w:color="auto" w:sz="4" w:space="0"/>
              <w:bottom w:val="single" w:color="auto" w:sz="4" w:space="0"/>
              <w:right w:val="single" w:color="auto" w:sz="4" w:space="0"/>
            </w:tcBorders>
            <w:vAlign w:val="center"/>
          </w:tcPr>
          <w:p w14:paraId="17BEFC89">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szCs w:val="21"/>
                <w:highlight w:val="none"/>
                <w:lang w:val="en-US" w:eastAsia="zh-CN"/>
              </w:rPr>
              <w:t>6</w:t>
            </w:r>
          </w:p>
        </w:tc>
        <w:tc>
          <w:tcPr>
            <w:tcW w:w="1133" w:type="dxa"/>
            <w:tcBorders>
              <w:top w:val="single" w:color="auto" w:sz="4" w:space="0"/>
              <w:left w:val="single" w:color="auto" w:sz="4" w:space="0"/>
              <w:bottom w:val="single" w:color="auto" w:sz="4" w:space="0"/>
              <w:right w:val="single" w:color="auto" w:sz="4" w:space="0"/>
            </w:tcBorders>
            <w:vAlign w:val="center"/>
          </w:tcPr>
          <w:p w14:paraId="6FF9A58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服务及时性承诺</w:t>
            </w:r>
          </w:p>
        </w:tc>
        <w:tc>
          <w:tcPr>
            <w:tcW w:w="7659" w:type="dxa"/>
            <w:tcBorders>
              <w:top w:val="single" w:color="auto" w:sz="4" w:space="0"/>
              <w:left w:val="single" w:color="auto" w:sz="4" w:space="0"/>
              <w:bottom w:val="single" w:color="auto" w:sz="4" w:space="0"/>
              <w:right w:val="single" w:color="auto" w:sz="4" w:space="0"/>
            </w:tcBorders>
            <w:vAlign w:val="center"/>
          </w:tcPr>
          <w:p w14:paraId="2D20DE7E">
            <w:pPr>
              <w:keepNext w:val="0"/>
              <w:keepLines w:val="0"/>
              <w:suppressLineNumbers w:val="0"/>
              <w:spacing w:before="0" w:beforeAutospacing="0" w:after="0" w:afterAutospacing="0" w:line="240" w:lineRule="auto"/>
              <w:ind w:left="0" w:right="0"/>
              <w:contextualSpacing w:val="0"/>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（1）承诺接到招标人电话通知后1小时（含）内机械设备、人员进场服务的，得3分；</w:t>
            </w:r>
          </w:p>
          <w:p w14:paraId="0EEDDEC5">
            <w:pPr>
              <w:keepNext w:val="0"/>
              <w:keepLines w:val="0"/>
              <w:suppressLineNumbers w:val="0"/>
              <w:spacing w:before="0" w:beforeAutospacing="0" w:after="0" w:afterAutospacing="0" w:line="240" w:lineRule="auto"/>
              <w:ind w:left="0" w:right="0"/>
              <w:contextualSpacing w:val="0"/>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（2）承诺接到招标人电话通知后2小时（含）内机械设备、人员进场服务的，得2分；</w:t>
            </w:r>
          </w:p>
          <w:p w14:paraId="35FF550E">
            <w:pPr>
              <w:keepNext w:val="0"/>
              <w:keepLines w:val="0"/>
              <w:suppressLineNumbers w:val="0"/>
              <w:spacing w:before="0" w:beforeAutospacing="0" w:after="0" w:afterAutospacing="0" w:line="240" w:lineRule="auto"/>
              <w:ind w:left="0" w:right="0"/>
              <w:contextualSpacing w:val="0"/>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（3）承诺接到招标人电话通知后4小时（含）内机械设备、人员进场服务的，得1分；</w:t>
            </w:r>
          </w:p>
          <w:p w14:paraId="357AFFCC">
            <w:pPr>
              <w:keepNext w:val="0"/>
              <w:keepLines w:val="0"/>
              <w:suppressLineNumbers w:val="0"/>
              <w:spacing w:before="0" w:beforeAutospacing="0" w:after="0" w:afterAutospacing="0" w:line="240" w:lineRule="auto"/>
              <w:ind w:left="0" w:right="0"/>
              <w:contextualSpacing w:val="0"/>
              <w:rPr>
                <w:rFonts w:hint="default"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（4）承诺接到招标人电话通知后超过4小时机械设备、人员进场服务的，得0分。</w:t>
            </w:r>
          </w:p>
          <w:p w14:paraId="49D8B6EB">
            <w:pPr>
              <w:keepNext w:val="0"/>
              <w:keepLines w:val="0"/>
              <w:widowControl w:val="0"/>
              <w:suppressLineNumbers w:val="0"/>
              <w:spacing w:before="0" w:beforeAutospacing="0" w:after="0" w:afterAutospacing="0" w:line="240" w:lineRule="auto"/>
              <w:ind w:left="0" w:right="0"/>
              <w:contextualSpacing w:val="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备注：</w:t>
            </w:r>
          </w:p>
          <w:p w14:paraId="34FA2BAC">
            <w:pPr>
              <w:keepNext w:val="0"/>
              <w:keepLines w:val="0"/>
              <w:widowControl w:val="0"/>
              <w:suppressLineNumbers w:val="0"/>
              <w:spacing w:before="0" w:beforeAutospacing="0" w:after="0" w:afterAutospacing="0" w:line="240" w:lineRule="auto"/>
              <w:ind w:left="0" w:right="0"/>
              <w:contextualSpacing w:val="0"/>
              <w:jc w:val="both"/>
              <w:rPr>
                <w:rFonts w:hint="eastAsia" w:ascii="宋体" w:hAnsi="宋体" w:eastAsia="宋体" w:cs="宋体"/>
                <w:b/>
                <w:bCs/>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（1）</w:t>
            </w:r>
            <w:r>
              <w:rPr>
                <w:rFonts w:hint="eastAsia" w:ascii="宋体" w:hAnsi="宋体" w:eastAsia="宋体" w:cs="宋体"/>
                <w:b/>
                <w:bCs/>
                <w:color w:val="auto"/>
                <w:kern w:val="2"/>
                <w:sz w:val="21"/>
                <w:szCs w:val="21"/>
                <w:highlight w:val="none"/>
                <w:lang w:val="en-US" w:eastAsia="zh-CN" w:bidi="ar"/>
              </w:rPr>
              <w:t>根据《服务响应时间承诺书》对应的内容进行评审。提供承诺函加盖投标人公章；</w:t>
            </w:r>
          </w:p>
          <w:p w14:paraId="7962FA0F">
            <w:pPr>
              <w:keepNext w:val="0"/>
              <w:keepLines w:val="0"/>
              <w:suppressLineNumbers w:val="0"/>
              <w:spacing w:before="0" w:beforeAutospacing="0" w:after="0" w:afterAutospacing="0" w:line="240" w:lineRule="auto"/>
              <w:ind w:left="0" w:right="0"/>
              <w:contextualSpacing w:val="0"/>
              <w:rPr>
                <w:rFonts w:hint="default" w:ascii="宋体" w:hAnsi="宋体" w:eastAsia="宋体" w:cs="宋体"/>
                <w:color w:val="auto"/>
                <w:kern w:val="0"/>
                <w:szCs w:val="21"/>
                <w:highlight w:val="none"/>
              </w:rPr>
            </w:pPr>
            <w:r>
              <w:rPr>
                <w:rFonts w:hint="eastAsia" w:ascii="宋体" w:hAnsi="宋体" w:eastAsia="宋体" w:cs="宋体"/>
                <w:b/>
                <w:bCs w:val="0"/>
                <w:color w:val="auto"/>
                <w:kern w:val="2"/>
                <w:sz w:val="21"/>
                <w:szCs w:val="21"/>
                <w:highlight w:val="none"/>
                <w:lang w:val="en-US" w:eastAsia="zh-CN" w:bidi="ar"/>
              </w:rPr>
              <w:t>（2）</w:t>
            </w:r>
            <w:r>
              <w:rPr>
                <w:rFonts w:hint="eastAsia" w:ascii="宋体" w:hAnsi="宋体" w:eastAsia="宋体" w:cs="宋体"/>
                <w:b/>
                <w:bCs/>
                <w:color w:val="auto"/>
                <w:kern w:val="2"/>
                <w:sz w:val="21"/>
                <w:szCs w:val="21"/>
                <w:highlight w:val="none"/>
                <w:lang w:val="en-US" w:eastAsia="zh-CN" w:bidi="ar"/>
              </w:rPr>
              <w:t>本项按最高得分计算一次，不重复得分。</w:t>
            </w:r>
          </w:p>
        </w:tc>
        <w:tc>
          <w:tcPr>
            <w:tcW w:w="907" w:type="dxa"/>
            <w:tcBorders>
              <w:top w:val="single" w:color="auto" w:sz="4" w:space="0"/>
              <w:left w:val="single" w:color="auto" w:sz="4" w:space="0"/>
              <w:bottom w:val="single" w:color="auto" w:sz="4" w:space="0"/>
              <w:right w:val="single" w:color="auto" w:sz="4" w:space="0"/>
            </w:tcBorders>
            <w:vAlign w:val="center"/>
          </w:tcPr>
          <w:p w14:paraId="6A684052">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highlight w:val="none"/>
              </w:rPr>
            </w:pPr>
            <w:r>
              <w:rPr>
                <w:rFonts w:hint="eastAsia" w:ascii="宋体" w:hAnsi="宋体" w:eastAsia="宋体" w:cs="宋体"/>
                <w:color w:val="auto"/>
                <w:szCs w:val="21"/>
                <w:highlight w:val="none"/>
              </w:rPr>
              <w:t>3分</w:t>
            </w:r>
          </w:p>
        </w:tc>
      </w:tr>
      <w:tr w14:paraId="076D5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463" w:type="dxa"/>
            <w:gridSpan w:val="3"/>
            <w:tcBorders>
              <w:top w:val="single" w:color="auto" w:sz="4" w:space="0"/>
              <w:left w:val="single" w:color="auto" w:sz="4" w:space="0"/>
              <w:right w:val="single" w:color="auto" w:sz="4" w:space="0"/>
            </w:tcBorders>
            <w:vAlign w:val="center"/>
          </w:tcPr>
          <w:p w14:paraId="2B18C11D">
            <w:pPr>
              <w:pStyle w:val="73"/>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cs="宋体"/>
                <w:b/>
                <w:color w:val="auto"/>
                <w:szCs w:val="21"/>
                <w:highlight w:val="none"/>
                <w:lang w:val="zh-CN"/>
              </w:rPr>
              <w:t>技术总分</w:t>
            </w:r>
          </w:p>
        </w:tc>
        <w:tc>
          <w:tcPr>
            <w:tcW w:w="907" w:type="dxa"/>
            <w:tcBorders>
              <w:top w:val="single" w:color="auto" w:sz="4" w:space="0"/>
              <w:left w:val="single" w:color="auto" w:sz="4" w:space="0"/>
              <w:right w:val="single" w:color="auto" w:sz="4" w:space="0"/>
            </w:tcBorders>
            <w:vAlign w:val="center"/>
          </w:tcPr>
          <w:p w14:paraId="052883B3">
            <w:pPr>
              <w:pStyle w:val="73"/>
              <w:keepLines w:val="0"/>
              <w:suppressLineNumbers w:val="0"/>
              <w:tabs>
                <w:tab w:val="left" w:pos="585"/>
                <w:tab w:val="left" w:pos="680"/>
              </w:tabs>
              <w:spacing w:before="0" w:beforeAutospacing="0" w:after="0" w:afterAutospacing="0" w:line="360" w:lineRule="auto"/>
              <w:ind w:left="0" w:right="0"/>
              <w:jc w:val="center"/>
              <w:rPr>
                <w:rFonts w:hint="default" w:ascii="宋体" w:hAnsi="宋体" w:eastAsia="宋体" w:cs="宋体"/>
                <w:color w:val="auto"/>
                <w:kern w:val="0"/>
                <w:szCs w:val="21"/>
                <w:highlight w:val="none"/>
              </w:rPr>
            </w:pP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lang w:val="zh-CN"/>
              </w:rPr>
              <w:t>分</w:t>
            </w:r>
          </w:p>
        </w:tc>
      </w:tr>
      <w:bookmarkEnd w:id="934"/>
    </w:tbl>
    <w:p w14:paraId="3D2D3C61">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61068F29">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w:t>
      </w:r>
      <w:r>
        <w:rPr>
          <w:rFonts w:ascii="宋体" w:hAnsi="宋体" w:eastAsia="宋体" w:cs="宋体"/>
          <w:color w:val="auto"/>
          <w:szCs w:val="24"/>
          <w:highlight w:val="none"/>
          <w:lang w:val="zh-CN"/>
        </w:rPr>
        <w:t>[”代表闭区间，“]”代表闭区间，如[0，1]代表该分数段范围为大于等</w:t>
      </w:r>
      <w:r>
        <w:rPr>
          <w:rFonts w:hint="eastAsia" w:ascii="宋体" w:hAnsi="宋体" w:eastAsia="宋体" w:cs="宋体"/>
          <w:color w:val="auto"/>
          <w:szCs w:val="24"/>
          <w:highlight w:val="none"/>
          <w:lang w:val="zh-CN"/>
        </w:rPr>
        <w:t>于</w:t>
      </w:r>
      <w:r>
        <w:rPr>
          <w:rFonts w:ascii="宋体" w:hAnsi="宋体" w:eastAsia="宋体" w:cs="宋体"/>
          <w:color w:val="auto"/>
          <w:szCs w:val="24"/>
          <w:highlight w:val="none"/>
          <w:lang w:val="zh-CN"/>
        </w:rPr>
        <w:t>0且小于等于1。表中“（”代表开区间，“]”代表闭区间，如（1，2]代表该分数段范</w:t>
      </w:r>
      <w:r>
        <w:rPr>
          <w:rFonts w:hint="eastAsia" w:ascii="宋体" w:hAnsi="宋体" w:eastAsia="宋体" w:cs="宋体"/>
          <w:color w:val="auto"/>
          <w:szCs w:val="24"/>
          <w:highlight w:val="none"/>
          <w:lang w:val="zh-CN"/>
        </w:rPr>
        <w:t>围为大于</w:t>
      </w:r>
      <w:r>
        <w:rPr>
          <w:rFonts w:ascii="宋体" w:hAnsi="宋体" w:eastAsia="宋体" w:cs="宋体"/>
          <w:color w:val="auto"/>
          <w:szCs w:val="24"/>
          <w:highlight w:val="none"/>
          <w:lang w:val="zh-CN"/>
        </w:rPr>
        <w:t>1且小于等于2。</w:t>
      </w:r>
    </w:p>
    <w:p w14:paraId="33A69F38">
      <w:pPr>
        <w:autoSpaceDE w:val="0"/>
        <w:autoSpaceDN w:val="0"/>
        <w:adjustRightInd w:val="0"/>
        <w:spacing w:line="360" w:lineRule="auto"/>
        <w:ind w:left="420" w:leftChars="200" w:firstLine="420" w:firstLineChars="200"/>
        <w:rPr>
          <w:rFonts w:ascii="宋体" w:hAnsi="宋体" w:eastAsia="宋体" w:cs="宋体"/>
          <w:color w:val="auto"/>
          <w:szCs w:val="24"/>
          <w:highlight w:val="none"/>
          <w:lang w:val="zh-CN"/>
        </w:rPr>
      </w:pPr>
      <w:r>
        <w:rPr>
          <w:rFonts w:ascii="宋体" w:hAnsi="宋体" w:eastAsia="宋体" w:cs="宋体"/>
          <w:color w:val="auto"/>
          <w:szCs w:val="24"/>
          <w:highlight w:val="none"/>
          <w:lang w:val="zh-CN"/>
        </w:rPr>
        <w:t>②分数出现小数点，保留小数点后2位，从小数点后第3位四</w:t>
      </w:r>
      <w:r>
        <w:rPr>
          <w:rFonts w:hint="eastAsia" w:ascii="宋体" w:hAnsi="宋体" w:eastAsia="宋体" w:cs="宋体"/>
          <w:color w:val="auto"/>
          <w:szCs w:val="24"/>
          <w:highlight w:val="none"/>
          <w:lang w:val="zh-CN"/>
        </w:rPr>
        <w:t>舍五入。</w:t>
      </w:r>
    </w:p>
    <w:p w14:paraId="554B1453">
      <w:pPr>
        <w:autoSpaceDE w:val="0"/>
        <w:autoSpaceDN w:val="0"/>
        <w:adjustRightInd w:val="0"/>
        <w:spacing w:line="360" w:lineRule="auto"/>
        <w:ind w:left="420" w:leftChars="200" w:firstLine="422" w:firstLineChars="200"/>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w:t>
      </w:r>
      <w:r>
        <w:rPr>
          <w:rFonts w:ascii="宋体" w:hAnsi="宋体" w:eastAsia="宋体" w:cs="宋体"/>
          <w:b/>
          <w:color w:val="auto"/>
          <w:szCs w:val="24"/>
          <w:highlight w:val="none"/>
          <w:lang w:val="zh-CN"/>
        </w:rPr>
        <w:t>60%时，评标专家需详细填写该项低分的充分理由，例如：该项目内容存在违反国家有关标</w:t>
      </w:r>
      <w:r>
        <w:rPr>
          <w:rFonts w:hint="eastAsia" w:ascii="宋体" w:hAnsi="宋体" w:eastAsia="宋体" w:cs="宋体"/>
          <w:b/>
          <w:color w:val="auto"/>
          <w:szCs w:val="24"/>
          <w:highlight w:val="none"/>
          <w:lang w:val="zh-CN"/>
        </w:rPr>
        <w:t>准和规范或与项目实际不符等原则性问题。</w:t>
      </w:r>
    </w:p>
    <w:p w14:paraId="6AC47424">
      <w:pPr>
        <w:autoSpaceDE w:val="0"/>
        <w:autoSpaceDN w:val="0"/>
        <w:adjustRightInd w:val="0"/>
        <w:spacing w:line="360" w:lineRule="auto"/>
        <w:ind w:left="420" w:leftChars="200" w:firstLine="422" w:firstLineChars="200"/>
        <w:rPr>
          <w:rFonts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6ABFDBED">
      <w:pPr>
        <w:tabs>
          <w:tab w:val="left" w:pos="1701"/>
        </w:tabs>
        <w:autoSpaceDE w:val="0"/>
        <w:autoSpaceDN w:val="0"/>
        <w:adjustRightInd w:val="0"/>
        <w:spacing w:line="360" w:lineRule="auto"/>
        <w:rPr>
          <w:rFonts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6A2F5A87">
      <w:pPr>
        <w:spacing w:line="360" w:lineRule="auto"/>
        <w:ind w:left="480" w:firstLine="211" w:firstLineChars="100"/>
        <w:rPr>
          <w:rFonts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6AE2ED36">
      <w:pPr>
        <w:spacing w:line="360" w:lineRule="auto"/>
        <w:ind w:left="420" w:leftChars="200" w:firstLine="420" w:firstLineChars="200"/>
        <w:rPr>
          <w:rFonts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56D8D8AC">
      <w:pPr>
        <w:autoSpaceDE w:val="0"/>
        <w:autoSpaceDN w:val="0"/>
        <w:adjustRightInd w:val="0"/>
        <w:spacing w:line="360" w:lineRule="auto"/>
        <w:ind w:left="420" w:leftChars="200" w:firstLine="420" w:firstLineChars="200"/>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241E0D92">
      <w:pPr>
        <w:spacing w:line="360" w:lineRule="auto"/>
        <w:ind w:left="420" w:leftChars="200" w:firstLine="422" w:firstLineChars="200"/>
        <w:rPr>
          <w:rFonts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12AECEAD">
      <w:pPr>
        <w:spacing w:line="360" w:lineRule="auto"/>
        <w:ind w:left="420" w:leftChars="200" w:firstLine="420" w:firstLineChars="200"/>
        <w:rPr>
          <w:rFonts w:ascii="宋体" w:hAnsi="宋体" w:eastAsia="宋体" w:cs="宋体"/>
          <w:color w:val="auto"/>
          <w:kern w:val="0"/>
          <w:szCs w:val="21"/>
          <w:highlight w:val="none"/>
          <w:lang w:val="zh-CN"/>
        </w:rPr>
      </w:pPr>
    </w:p>
    <w:p w14:paraId="0FE2B2BE">
      <w:pPr>
        <w:spacing w:line="360" w:lineRule="auto"/>
        <w:ind w:left="480" w:firstLine="211" w:firstLineChars="100"/>
        <w:rPr>
          <w:rFonts w:ascii="宋体" w:hAnsi="宋体" w:eastAsia="宋体" w:cs="宋体"/>
          <w:b/>
          <w:bCs/>
          <w:color w:val="auto"/>
          <w:kern w:val="0"/>
          <w:szCs w:val="21"/>
          <w:highlight w:val="none"/>
        </w:rPr>
      </w:pPr>
      <w:r>
        <w:rPr>
          <w:rFonts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1"/>
          <w:highlight w:val="none"/>
          <w:lang w:val="zh-CN"/>
        </w:rPr>
        <w:t>）</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50</w:t>
      </w:r>
      <w:r>
        <w:rPr>
          <w:rFonts w:hint="eastAsia" w:ascii="宋体" w:hAnsi="宋体" w:eastAsia="宋体" w:cs="宋体"/>
          <w:b/>
          <w:bCs/>
          <w:color w:val="auto"/>
          <w:kern w:val="0"/>
          <w:szCs w:val="21"/>
          <w:highlight w:val="none"/>
          <w:lang w:val="zh-CN"/>
        </w:rPr>
        <w:t>分</w:t>
      </w:r>
    </w:p>
    <w:p w14:paraId="236C1EC0">
      <w:pPr>
        <w:autoSpaceDN w:val="0"/>
        <w:adjustRightInd w:val="0"/>
        <w:snapToGrid w:val="0"/>
        <w:spacing w:line="360" w:lineRule="auto"/>
        <w:ind w:left="420" w:leftChars="100" w:hanging="210" w:hangingChars="100"/>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A、根据有效投标人的</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服务系数，最低</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服务系数作为基准系数（Y）。投标人</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服务系数（X）等于基准系数的得满分</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分，其他投标人的价格得分统一按照下列公式计算：</w:t>
      </w:r>
    </w:p>
    <w:p w14:paraId="4F62940C">
      <w:pPr>
        <w:autoSpaceDN w:val="0"/>
        <w:adjustRightInd w:val="0"/>
        <w:snapToGrid w:val="0"/>
        <w:spacing w:line="360" w:lineRule="auto"/>
        <w:ind w:left="420" w:leftChars="100" w:hanging="210" w:hangingChars="1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 xml:space="preserve">    价格得分=(基准系数／</w:t>
      </w:r>
      <w:r>
        <w:rPr>
          <w:rFonts w:hint="eastAsia" w:ascii="宋体" w:hAnsi="宋体" w:eastAsia="宋体" w:cs="宋体"/>
          <w:color w:val="auto"/>
          <w:kern w:val="0"/>
          <w:szCs w:val="21"/>
          <w:highlight w:val="none"/>
          <w:lang w:val="en-US" w:eastAsia="zh-CN"/>
        </w:rPr>
        <w:t>检测</w:t>
      </w:r>
      <w:r>
        <w:rPr>
          <w:rFonts w:hint="eastAsia" w:ascii="宋体" w:hAnsi="宋体" w:eastAsia="宋体" w:cs="宋体"/>
          <w:color w:val="auto"/>
          <w:kern w:val="0"/>
          <w:szCs w:val="21"/>
          <w:highlight w:val="none"/>
        </w:rPr>
        <w:t>服务系数)×</w:t>
      </w:r>
      <w:r>
        <w:rPr>
          <w:rFonts w:hint="eastAsia" w:ascii="宋体" w:hAnsi="宋体" w:eastAsia="宋体" w:cs="宋体"/>
          <w:color w:val="auto"/>
          <w:kern w:val="0"/>
          <w:szCs w:val="21"/>
          <w:highlight w:val="none"/>
          <w:lang w:val="en-US" w:eastAsia="zh-CN"/>
        </w:rPr>
        <w:t>50</w:t>
      </w:r>
    </w:p>
    <w:p w14:paraId="5E56654C">
      <w:pPr>
        <w:autoSpaceDN w:val="0"/>
        <w:adjustRightInd w:val="0"/>
        <w:snapToGrid w:val="0"/>
        <w:spacing w:line="360" w:lineRule="auto"/>
        <w:ind w:firstLine="210" w:firstLineChars="10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101C0C46">
      <w:pPr>
        <w:tabs>
          <w:tab w:val="left" w:pos="585"/>
        </w:tabs>
        <w:autoSpaceDE w:val="0"/>
        <w:autoSpaceDN w:val="0"/>
        <w:adjustRightInd w:val="0"/>
        <w:spacing w:line="400" w:lineRule="exact"/>
        <w:rPr>
          <w:rFonts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7B46FC99">
      <w:pPr>
        <w:spacing w:line="400" w:lineRule="exact"/>
        <w:ind w:firstLine="848" w:firstLineChars="404"/>
        <w:rPr>
          <w:rFonts w:ascii="宋体" w:hAnsi="宋体" w:eastAsia="宋体" w:cs="宋体"/>
          <w:color w:val="auto"/>
          <w:kern w:val="0"/>
          <w:szCs w:val="28"/>
          <w:highlight w:val="none"/>
          <w:lang w:val="zh-CN"/>
        </w:rPr>
      </w:pPr>
      <w:bookmarkStart w:id="935" w:name="_Toc31624_WPSOffice_Level2"/>
      <w:r>
        <w:rPr>
          <w:rFonts w:hint="eastAsia" w:ascii="宋体" w:hAnsi="宋体" w:eastAsia="宋体" w:cs="宋体"/>
          <w:color w:val="auto"/>
          <w:kern w:val="0"/>
          <w:szCs w:val="28"/>
          <w:highlight w:val="none"/>
          <w:lang w:val="zh-CN"/>
        </w:rPr>
        <w:t>评标总得分=F1＋F2＋……+Fn</w:t>
      </w:r>
      <w:bookmarkEnd w:id="935"/>
    </w:p>
    <w:p w14:paraId="305DD6BD">
      <w:pPr>
        <w:widowControl/>
        <w:autoSpaceDE w:val="0"/>
        <w:autoSpaceDN w:val="0"/>
        <w:adjustRightInd w:val="0"/>
        <w:spacing w:line="400" w:lineRule="exact"/>
        <w:ind w:firstLine="840" w:firstLineChars="400"/>
        <w:jc w:val="left"/>
        <w:rPr>
          <w:rFonts w:ascii="宋体" w:hAnsi="宋体" w:eastAsia="宋体" w:cs="宋体"/>
          <w:color w:val="auto"/>
          <w:kern w:val="0"/>
          <w:szCs w:val="21"/>
          <w:highlight w:val="none"/>
        </w:rPr>
      </w:pPr>
      <w:bookmarkStart w:id="936" w:name="_Toc13236_WPSOffice_Level2"/>
      <w:r>
        <w:rPr>
          <w:rFonts w:hint="eastAsia" w:ascii="宋体" w:hAnsi="宋体" w:eastAsia="宋体" w:cs="宋体"/>
          <w:color w:val="auto"/>
          <w:kern w:val="0"/>
          <w:szCs w:val="21"/>
          <w:highlight w:val="none"/>
        </w:rPr>
        <w:t>F1、F2、……Fn分别为各项评分因素的得分</w:t>
      </w:r>
      <w:bookmarkEnd w:id="936"/>
      <w:r>
        <w:rPr>
          <w:rFonts w:hint="eastAsia" w:ascii="宋体" w:hAnsi="宋体" w:eastAsia="宋体" w:cs="宋体"/>
          <w:color w:val="auto"/>
          <w:kern w:val="0"/>
          <w:szCs w:val="21"/>
          <w:highlight w:val="none"/>
        </w:rPr>
        <w:t>。</w:t>
      </w:r>
    </w:p>
    <w:p w14:paraId="6B508E22">
      <w:pPr>
        <w:autoSpaceDE w:val="0"/>
        <w:autoSpaceDN w:val="0"/>
        <w:adjustRightInd w:val="0"/>
        <w:spacing w:line="360" w:lineRule="auto"/>
        <w:ind w:left="564" w:leftChars="1" w:hanging="562" w:hangingChars="200"/>
        <w:rPr>
          <w:rFonts w:ascii="宋体" w:hAnsi="宋体" w:eastAsia="宋体" w:cs="宋体"/>
          <w:b/>
          <w:bCs/>
          <w:color w:val="auto"/>
          <w:sz w:val="28"/>
          <w:szCs w:val="28"/>
          <w:highlight w:val="none"/>
        </w:rPr>
      </w:pPr>
    </w:p>
    <w:p w14:paraId="569A53C8">
      <w:pPr>
        <w:autoSpaceDE w:val="0"/>
        <w:autoSpaceDN w:val="0"/>
        <w:adjustRightInd w:val="0"/>
        <w:spacing w:line="360" w:lineRule="auto"/>
        <w:jc w:val="center"/>
        <w:rPr>
          <w:rFonts w:ascii="宋体" w:hAnsi="宋体" w:eastAsia="宋体" w:cs="宋体"/>
          <w:b/>
          <w:bCs/>
          <w:color w:val="auto"/>
          <w:sz w:val="28"/>
          <w:szCs w:val="28"/>
          <w:highlight w:val="none"/>
        </w:rPr>
      </w:pPr>
      <w:bookmarkStart w:id="937" w:name="_Toc518_WPSOffice_Level1"/>
      <w:r>
        <w:rPr>
          <w:rFonts w:hint="eastAsia" w:ascii="宋体" w:hAnsi="宋体" w:eastAsia="宋体" w:cs="宋体"/>
          <w:b/>
          <w:bCs/>
          <w:color w:val="auto"/>
          <w:sz w:val="28"/>
          <w:szCs w:val="28"/>
          <w:highlight w:val="none"/>
          <w:lang w:val="zh-CN"/>
        </w:rPr>
        <w:t>五、推荐中标人</w:t>
      </w:r>
      <w:bookmarkEnd w:id="937"/>
    </w:p>
    <w:p w14:paraId="197B2A8D">
      <w:pPr>
        <w:autoSpaceDE w:val="0"/>
        <w:autoSpaceDN w:val="0"/>
        <w:adjustRightInd w:val="0"/>
        <w:spacing w:line="360" w:lineRule="auto"/>
        <w:ind w:left="420" w:hanging="420" w:hangingChars="200"/>
        <w:jc w:val="left"/>
        <w:rPr>
          <w:rFonts w:ascii="宋体" w:hAnsi="宋体" w:eastAsia="宋体" w:cs="Times New Roman"/>
          <w:color w:val="auto"/>
          <w:kern w:val="0"/>
          <w:szCs w:val="21"/>
          <w:highlight w:val="none"/>
        </w:rPr>
      </w:pPr>
      <w:r>
        <w:rPr>
          <w:rFonts w:ascii="宋体" w:hAnsi="宋体" w:eastAsia="宋体" w:cs="宋体"/>
          <w:color w:val="auto"/>
          <w:kern w:val="0"/>
          <w:szCs w:val="21"/>
          <w:highlight w:val="none"/>
        </w:rPr>
        <w:t>13</w:t>
      </w:r>
      <w:r>
        <w:rPr>
          <w:rFonts w:hint="eastAsia" w:ascii="宋体" w:hAnsi="宋体" w:eastAsia="宋体" w:cs="宋体"/>
          <w:color w:val="auto"/>
          <w:kern w:val="0"/>
          <w:szCs w:val="21"/>
          <w:highlight w:val="none"/>
        </w:rPr>
        <w:t>、</w:t>
      </w:r>
      <w:r>
        <w:rPr>
          <w:rFonts w:hint="eastAsia" w:ascii="宋体" w:hAnsi="宋体" w:eastAsia="宋体" w:cs="Times New Roman"/>
          <w:color w:val="auto"/>
          <w:szCs w:val="24"/>
          <w:highlight w:val="none"/>
          <w:lang w:val="zh-CN"/>
        </w:rPr>
        <w:t>评标委员会按评审后得分由高到低顺序排列</w:t>
      </w:r>
      <w:r>
        <w:rPr>
          <w:rFonts w:hint="eastAsia" w:ascii="宋体" w:hAnsi="宋体" w:eastAsia="宋体" w:cs="Times New Roman"/>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75F6C989">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highlight w:val="none"/>
          <w:lang w:val="zh-CN"/>
        </w:rPr>
      </w:pPr>
      <w:r>
        <w:rPr>
          <w:rFonts w:hint="eastAsia" w:ascii="宋体" w:hAnsi="宋体" w:eastAsia="宋体" w:cs="Times New Roman"/>
          <w:color w:val="auto"/>
          <w:kern w:val="0"/>
          <w:szCs w:val="21"/>
          <w:highlight w:val="none"/>
        </w:rPr>
        <w:t>如果有两个或以上的投标人的最后综合得分相同，则在最后综合得分相同的投标人中按投标报价</w:t>
      </w:r>
      <w:r>
        <w:rPr>
          <w:rFonts w:hint="eastAsia" w:ascii="宋体" w:hAnsi="宋体" w:eastAsia="宋体" w:cs="Times New Roman"/>
          <w:color w:val="auto"/>
          <w:kern w:val="0"/>
          <w:szCs w:val="21"/>
          <w:highlight w:val="none"/>
          <w:lang w:val="zh-CN"/>
        </w:rPr>
        <w:t>由低到高顺序排出次序，报价低的排前，报价高的排后。</w:t>
      </w:r>
      <w:r>
        <w:rPr>
          <w:rFonts w:hint="eastAsia" w:ascii="宋体" w:hAnsi="宋体" w:eastAsia="宋体" w:cs="Times New Roman"/>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67A5A97F">
      <w:pPr>
        <w:widowControl/>
        <w:spacing w:line="360" w:lineRule="auto"/>
        <w:jc w:val="left"/>
        <w:rPr>
          <w:rFonts w:ascii="宋体" w:hAnsi="宋体" w:eastAsia="宋体" w:cs="宋体"/>
          <w:color w:val="auto"/>
          <w:kern w:val="0"/>
          <w:szCs w:val="21"/>
          <w:highlight w:val="none"/>
        </w:rPr>
      </w:pPr>
    </w:p>
    <w:p w14:paraId="6A11BBD2">
      <w:pPr>
        <w:autoSpaceDE w:val="0"/>
        <w:autoSpaceDN w:val="0"/>
        <w:adjustRightInd w:val="0"/>
        <w:spacing w:line="360" w:lineRule="auto"/>
        <w:ind w:left="185" w:leftChars="88" w:firstLine="3443" w:firstLineChars="1225"/>
        <w:rPr>
          <w:rFonts w:ascii="宋体" w:hAnsi="宋体" w:eastAsia="宋体" w:cs="宋体"/>
          <w:b/>
          <w:bCs/>
          <w:color w:val="auto"/>
          <w:sz w:val="28"/>
          <w:szCs w:val="28"/>
          <w:highlight w:val="none"/>
          <w:lang w:val="zh-CN"/>
        </w:rPr>
      </w:pPr>
      <w:bookmarkStart w:id="938" w:name="_Toc22724_WPSOffice_Level1"/>
      <w:r>
        <w:rPr>
          <w:rFonts w:hint="eastAsia" w:ascii="宋体" w:hAnsi="宋体" w:eastAsia="宋体" w:cs="宋体"/>
          <w:b/>
          <w:bCs/>
          <w:color w:val="auto"/>
          <w:sz w:val="28"/>
          <w:szCs w:val="28"/>
          <w:highlight w:val="none"/>
          <w:lang w:val="zh-CN"/>
        </w:rPr>
        <w:t>六、编写评标报告</w:t>
      </w:r>
      <w:bookmarkEnd w:id="938"/>
    </w:p>
    <w:p w14:paraId="2704F26A">
      <w:pPr>
        <w:autoSpaceDE w:val="0"/>
        <w:autoSpaceDN w:val="0"/>
        <w:adjustRightInd w:val="0"/>
        <w:spacing w:line="360" w:lineRule="auto"/>
        <w:ind w:left="420" w:hanging="420" w:hangingChars="200"/>
        <w:jc w:val="left"/>
        <w:rPr>
          <w:rFonts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4</w:t>
      </w:r>
      <w:r>
        <w:rPr>
          <w:rFonts w:hint="eastAsia" w:ascii="宋体" w:hAnsi="宋体" w:eastAsia="宋体" w:cs="宋体"/>
          <w:color w:val="auto"/>
          <w:szCs w:val="24"/>
          <w:highlight w:val="none"/>
          <w:lang w:val="zh-CN"/>
        </w:rPr>
        <w:t>、评标委员会根据评审结果撰写评标报告。评标报告是评标委员会根据全体评标委员会成员签字的原始评审记录和评审结果编写的报告，其主要内容包括：</w:t>
      </w:r>
    </w:p>
    <w:p w14:paraId="5972DE9D">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66C8C771">
      <w:pPr>
        <w:autoSpaceDE w:val="0"/>
        <w:autoSpaceDN w:val="0"/>
        <w:adjustRightInd w:val="0"/>
        <w:spacing w:line="360" w:lineRule="auto"/>
        <w:jc w:val="left"/>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78B2498A">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2DB7FB93">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5A92C0F1">
      <w:pPr>
        <w:autoSpaceDE w:val="0"/>
        <w:autoSpaceDN w:val="0"/>
        <w:adjustRightInd w:val="0"/>
        <w:spacing w:line="360" w:lineRule="auto"/>
        <w:jc w:val="left"/>
        <w:rPr>
          <w:rFonts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6F78E593">
      <w:pPr>
        <w:autoSpaceDE w:val="0"/>
        <w:autoSpaceDN w:val="0"/>
        <w:adjustRightInd w:val="0"/>
        <w:spacing w:line="360" w:lineRule="auto"/>
        <w:jc w:val="left"/>
        <w:rPr>
          <w:rFonts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033EF363">
      <w:pPr>
        <w:autoSpaceDE w:val="0"/>
        <w:autoSpaceDN w:val="0"/>
        <w:adjustRightInd w:val="0"/>
        <w:spacing w:line="360" w:lineRule="auto"/>
        <w:jc w:val="center"/>
        <w:rPr>
          <w:rFonts w:ascii="宋体" w:hAnsi="宋体" w:eastAsia="宋体" w:cs="宋体"/>
          <w:b/>
          <w:bCs/>
          <w:color w:val="auto"/>
          <w:sz w:val="28"/>
          <w:szCs w:val="28"/>
          <w:highlight w:val="none"/>
          <w:lang w:val="zh-CN"/>
        </w:rPr>
      </w:pPr>
    </w:p>
    <w:p w14:paraId="1F002168">
      <w:pPr>
        <w:autoSpaceDE w:val="0"/>
        <w:autoSpaceDN w:val="0"/>
        <w:adjustRightInd w:val="0"/>
        <w:spacing w:line="360" w:lineRule="auto"/>
        <w:jc w:val="center"/>
        <w:rPr>
          <w:rFonts w:ascii="宋体" w:hAnsi="宋体" w:eastAsia="宋体" w:cs="宋体"/>
          <w:b/>
          <w:bCs/>
          <w:color w:val="auto"/>
          <w:sz w:val="30"/>
          <w:szCs w:val="30"/>
          <w:highlight w:val="none"/>
          <w:lang w:val="zh-CN"/>
        </w:rPr>
      </w:pPr>
      <w:bookmarkStart w:id="939" w:name="_Toc23773_WPSOffice_Level1"/>
      <w:r>
        <w:rPr>
          <w:rFonts w:hint="eastAsia" w:ascii="宋体" w:hAnsi="宋体" w:eastAsia="宋体" w:cs="宋体"/>
          <w:b/>
          <w:bCs/>
          <w:color w:val="auto"/>
          <w:sz w:val="28"/>
          <w:szCs w:val="28"/>
          <w:highlight w:val="none"/>
          <w:lang w:val="zh-CN"/>
        </w:rPr>
        <w:t>七、注意事项</w:t>
      </w:r>
      <w:bookmarkEnd w:id="939"/>
    </w:p>
    <w:p w14:paraId="7C91C7F6">
      <w:pPr>
        <w:autoSpaceDE w:val="0"/>
        <w:autoSpaceDN w:val="0"/>
        <w:adjustRightInd w:val="0"/>
        <w:spacing w:line="360" w:lineRule="auto"/>
        <w:ind w:left="420" w:hanging="420" w:hangingChars="200"/>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w:t>
      </w:r>
      <w:r>
        <w:rPr>
          <w:rFonts w:ascii="宋体" w:hAnsi="宋体" w:eastAsia="宋体" w:cs="宋体"/>
          <w:color w:val="auto"/>
          <w:szCs w:val="24"/>
          <w:highlight w:val="none"/>
          <w:lang w:val="zh-CN"/>
        </w:rPr>
        <w:t>5</w:t>
      </w:r>
      <w:r>
        <w:rPr>
          <w:rFonts w:hint="eastAsia" w:ascii="宋体" w:hAnsi="宋体" w:eastAsia="宋体" w:cs="宋体"/>
          <w:color w:val="auto"/>
          <w:szCs w:val="24"/>
          <w:highlight w:val="none"/>
          <w:lang w:val="zh-CN"/>
        </w:rPr>
        <w:t>、为确保评审工作的顺利进行，防止因泄密或其它意外而造成的不良后果及影响，凡参加评审工作的人员都必须认真执行本规定：</w:t>
      </w:r>
    </w:p>
    <w:p w14:paraId="0EBC7E67">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574D6252">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3E07A68A">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6C345828">
      <w:pPr>
        <w:autoSpaceDE w:val="0"/>
        <w:autoSpaceDN w:val="0"/>
        <w:adjustRightInd w:val="0"/>
        <w:spacing w:line="360" w:lineRule="auto"/>
        <w:ind w:left="436" w:leftChars="-59" w:hanging="560" w:hangingChars="267"/>
        <w:rPr>
          <w:rFonts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55597D0C">
      <w:pPr>
        <w:widowControl/>
        <w:jc w:val="left"/>
        <w:rPr>
          <w:rFonts w:ascii="宋体" w:hAnsi="宋体" w:eastAsia="宋体" w:cs="Times New Roman"/>
          <w:b/>
          <w:bCs/>
          <w:color w:val="auto"/>
          <w:kern w:val="0"/>
          <w:szCs w:val="21"/>
          <w:highlight w:val="none"/>
        </w:rPr>
      </w:pPr>
      <w:r>
        <w:rPr>
          <w:rFonts w:hint="eastAsia" w:ascii="宋体" w:hAnsi="宋体" w:eastAsia="宋体" w:cs="宋体"/>
          <w:color w:val="auto"/>
          <w:szCs w:val="24"/>
          <w:highlight w:val="none"/>
          <w:lang w:val="zh-CN"/>
        </w:rPr>
        <w:t>（5）任何评审人员和工作人员不得对外公布评审的一切内容。</w:t>
      </w:r>
    </w:p>
    <w:bookmarkEnd w:id="894"/>
    <w:bookmarkEnd w:id="912"/>
    <w:bookmarkEnd w:id="913"/>
    <w:bookmarkEnd w:id="914"/>
    <w:p w14:paraId="02E2B923">
      <w:pPr>
        <w:widowControl/>
        <w:jc w:val="left"/>
        <w:rPr>
          <w:rFonts w:ascii="宋体" w:hAnsi="宋体" w:eastAsia="宋体" w:cs="宋体"/>
          <w:color w:val="auto"/>
          <w:szCs w:val="24"/>
          <w:highlight w:val="none"/>
          <w:lang w:val="zh-CN"/>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FrutigerNext LT Light">
    <w:altName w:val="宋体"/>
    <w:panose1 w:val="00000000000000000000"/>
    <w:charset w:val="86"/>
    <w:family w:val="auto"/>
    <w:pitch w:val="default"/>
    <w:sig w:usb0="00000000" w:usb1="00000000" w:usb2="00000010" w:usb3="00000000" w:csb0="00040001" w:csb1="00000000"/>
  </w:font>
  <w:font w:name="Cambria">
    <w:panose1 w:val="02040503050406030204"/>
    <w:charset w:val="00"/>
    <w:family w:val="auto"/>
    <w:pitch w:val="default"/>
    <w:sig w:usb0="E00002FF" w:usb1="400004FF" w:usb2="00000000"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auto"/>
    <w:pitch w:val="default"/>
    <w:sig w:usb0="A10006FF" w:usb1="4000205B" w:usb2="00000010" w:usb3="00000000" w:csb0="200001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EF222">
    <w:pPr>
      <w:pStyle w:val="25"/>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B2B4B">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6AFB20">
    <w:pPr>
      <w:pStyle w:val="25"/>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C82CB">
    <w:pPr>
      <w:pStyle w:val="25"/>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7A26">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622D3081">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2BAED"/>
    <w:multiLevelType w:val="singleLevel"/>
    <w:tmpl w:val="91C2BAED"/>
    <w:lvl w:ilvl="0" w:tentative="0">
      <w:start w:val="11"/>
      <w:numFmt w:val="chineseCounting"/>
      <w:suff w:val="nothing"/>
      <w:lvlText w:val="%1、"/>
      <w:lvlJc w:val="left"/>
      <w:rPr>
        <w:rFonts w:hint="eastAsia"/>
      </w:rPr>
    </w:lvl>
  </w:abstractNum>
  <w:abstractNum w:abstractNumId="1">
    <w:nsid w:val="112975A4"/>
    <w:multiLevelType w:val="multilevel"/>
    <w:tmpl w:val="112975A4"/>
    <w:lvl w:ilvl="0" w:tentative="0">
      <w:start w:val="1"/>
      <w:numFmt w:val="japaneseCounting"/>
      <w:lvlText w:val="（%1）"/>
      <w:lvlJc w:val="left"/>
      <w:pPr>
        <w:ind w:left="1700" w:hanging="108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860C59F"/>
    <w:multiLevelType w:val="singleLevel"/>
    <w:tmpl w:val="5860C59F"/>
    <w:lvl w:ilvl="0" w:tentative="0">
      <w:start w:val="3"/>
      <w:numFmt w:val="chineseCounting"/>
      <w:suff w:val="nothing"/>
      <w:lvlText w:val="%1、"/>
      <w:lvlJc w:val="left"/>
    </w:lvl>
  </w:abstractNum>
  <w:abstractNum w:abstractNumId="5">
    <w:nsid w:val="5860D940"/>
    <w:multiLevelType w:val="singleLevel"/>
    <w:tmpl w:val="5860D940"/>
    <w:lvl w:ilvl="0" w:tentative="0">
      <w:start w:val="1"/>
      <w:numFmt w:val="chineseCounting"/>
      <w:suff w:val="nothing"/>
      <w:lvlText w:val="%1、"/>
      <w:lvlJc w:val="left"/>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f885b62e-38d9-4ea0-bdc3-ebc527872538"/>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03A"/>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B6A57"/>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54C87"/>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15C1"/>
    <w:rsid w:val="00A03414"/>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D14E0A"/>
    <w:rsid w:val="02094F64"/>
    <w:rsid w:val="02780A9B"/>
    <w:rsid w:val="02D307EE"/>
    <w:rsid w:val="03082744"/>
    <w:rsid w:val="037D28C8"/>
    <w:rsid w:val="045B1853"/>
    <w:rsid w:val="0493460E"/>
    <w:rsid w:val="04B5265A"/>
    <w:rsid w:val="058F7720"/>
    <w:rsid w:val="06466218"/>
    <w:rsid w:val="06A75D00"/>
    <w:rsid w:val="06F139B4"/>
    <w:rsid w:val="07565116"/>
    <w:rsid w:val="078B7B6F"/>
    <w:rsid w:val="07CF228A"/>
    <w:rsid w:val="08493425"/>
    <w:rsid w:val="0A9A32F9"/>
    <w:rsid w:val="0AAA09FD"/>
    <w:rsid w:val="0AF349B8"/>
    <w:rsid w:val="0AFD7516"/>
    <w:rsid w:val="0DCB6F7B"/>
    <w:rsid w:val="0EC304F7"/>
    <w:rsid w:val="0F241091"/>
    <w:rsid w:val="0F295C3C"/>
    <w:rsid w:val="0FCA38F7"/>
    <w:rsid w:val="10BC03C7"/>
    <w:rsid w:val="10FE7849"/>
    <w:rsid w:val="11FD0B9C"/>
    <w:rsid w:val="12541464"/>
    <w:rsid w:val="128F1748"/>
    <w:rsid w:val="130F4A87"/>
    <w:rsid w:val="13306EC2"/>
    <w:rsid w:val="13BB7C32"/>
    <w:rsid w:val="14237C67"/>
    <w:rsid w:val="14CB202B"/>
    <w:rsid w:val="14DD044C"/>
    <w:rsid w:val="15A13C38"/>
    <w:rsid w:val="15C42012"/>
    <w:rsid w:val="16B60189"/>
    <w:rsid w:val="17582E48"/>
    <w:rsid w:val="176F4EEF"/>
    <w:rsid w:val="17BF7077"/>
    <w:rsid w:val="1811183D"/>
    <w:rsid w:val="182745FA"/>
    <w:rsid w:val="19814B1F"/>
    <w:rsid w:val="19FE509D"/>
    <w:rsid w:val="1A2569C7"/>
    <w:rsid w:val="1A440EA4"/>
    <w:rsid w:val="1A5E42D0"/>
    <w:rsid w:val="1A907657"/>
    <w:rsid w:val="1AD733B8"/>
    <w:rsid w:val="1B0940FF"/>
    <w:rsid w:val="1B0A6763"/>
    <w:rsid w:val="1B2C1F1C"/>
    <w:rsid w:val="1B956E0A"/>
    <w:rsid w:val="1C7F1780"/>
    <w:rsid w:val="1CDD0E6C"/>
    <w:rsid w:val="1D247B75"/>
    <w:rsid w:val="1D6F2828"/>
    <w:rsid w:val="1D9E327C"/>
    <w:rsid w:val="1DAF6046"/>
    <w:rsid w:val="1DE336BF"/>
    <w:rsid w:val="1DE47C02"/>
    <w:rsid w:val="1E627640"/>
    <w:rsid w:val="1EA43346"/>
    <w:rsid w:val="1F0E6B82"/>
    <w:rsid w:val="1F667210"/>
    <w:rsid w:val="1FA855FD"/>
    <w:rsid w:val="1FAC1F03"/>
    <w:rsid w:val="20271AE1"/>
    <w:rsid w:val="20627B58"/>
    <w:rsid w:val="207A1985"/>
    <w:rsid w:val="20B523B5"/>
    <w:rsid w:val="211749D8"/>
    <w:rsid w:val="22A0638A"/>
    <w:rsid w:val="22C62CF4"/>
    <w:rsid w:val="22CF3D2A"/>
    <w:rsid w:val="232632CE"/>
    <w:rsid w:val="234D46A6"/>
    <w:rsid w:val="23A06120"/>
    <w:rsid w:val="24A15F64"/>
    <w:rsid w:val="2585551C"/>
    <w:rsid w:val="260625F3"/>
    <w:rsid w:val="26127169"/>
    <w:rsid w:val="26AE4CD1"/>
    <w:rsid w:val="26CA10A6"/>
    <w:rsid w:val="271A0E36"/>
    <w:rsid w:val="27923612"/>
    <w:rsid w:val="280B7C22"/>
    <w:rsid w:val="286E02B3"/>
    <w:rsid w:val="28AC24C6"/>
    <w:rsid w:val="28AE124C"/>
    <w:rsid w:val="28CD7B64"/>
    <w:rsid w:val="28DA73F5"/>
    <w:rsid w:val="29522F35"/>
    <w:rsid w:val="29AE6B2F"/>
    <w:rsid w:val="29C57E70"/>
    <w:rsid w:val="2A9E4307"/>
    <w:rsid w:val="2B156096"/>
    <w:rsid w:val="2B415D6C"/>
    <w:rsid w:val="2CFC2BFE"/>
    <w:rsid w:val="2D6830FE"/>
    <w:rsid w:val="2E4862DD"/>
    <w:rsid w:val="2E6A6D6A"/>
    <w:rsid w:val="2F533A00"/>
    <w:rsid w:val="2F6776BF"/>
    <w:rsid w:val="2F912804"/>
    <w:rsid w:val="2FB829D9"/>
    <w:rsid w:val="2FE547A2"/>
    <w:rsid w:val="31164479"/>
    <w:rsid w:val="314D028A"/>
    <w:rsid w:val="32420F62"/>
    <w:rsid w:val="3247571F"/>
    <w:rsid w:val="32652028"/>
    <w:rsid w:val="33056013"/>
    <w:rsid w:val="345E4FCD"/>
    <w:rsid w:val="34CD68D3"/>
    <w:rsid w:val="34E17668"/>
    <w:rsid w:val="34F2196C"/>
    <w:rsid w:val="352A0A0D"/>
    <w:rsid w:val="355530AA"/>
    <w:rsid w:val="35882F60"/>
    <w:rsid w:val="363E3878"/>
    <w:rsid w:val="364631D7"/>
    <w:rsid w:val="368928C2"/>
    <w:rsid w:val="36E44B5A"/>
    <w:rsid w:val="37850378"/>
    <w:rsid w:val="37941ADC"/>
    <w:rsid w:val="37E6353D"/>
    <w:rsid w:val="38A25892"/>
    <w:rsid w:val="38F00B77"/>
    <w:rsid w:val="397A4E8A"/>
    <w:rsid w:val="39BC436E"/>
    <w:rsid w:val="39DB1DF9"/>
    <w:rsid w:val="3B1F29B6"/>
    <w:rsid w:val="3B9C1971"/>
    <w:rsid w:val="3BD21BCF"/>
    <w:rsid w:val="3C050185"/>
    <w:rsid w:val="3C0A2B36"/>
    <w:rsid w:val="3C1771A5"/>
    <w:rsid w:val="3C9B7C8C"/>
    <w:rsid w:val="3DB76614"/>
    <w:rsid w:val="3E444F53"/>
    <w:rsid w:val="3EFA21A2"/>
    <w:rsid w:val="3F5B255F"/>
    <w:rsid w:val="408D7A18"/>
    <w:rsid w:val="40DC5A18"/>
    <w:rsid w:val="417B0E8C"/>
    <w:rsid w:val="41B36482"/>
    <w:rsid w:val="41C276F1"/>
    <w:rsid w:val="42D84661"/>
    <w:rsid w:val="42E40008"/>
    <w:rsid w:val="437917F6"/>
    <w:rsid w:val="4389125B"/>
    <w:rsid w:val="43B50E83"/>
    <w:rsid w:val="43EB1920"/>
    <w:rsid w:val="44310EC3"/>
    <w:rsid w:val="447034BE"/>
    <w:rsid w:val="447A65E5"/>
    <w:rsid w:val="44F97BD6"/>
    <w:rsid w:val="453C1F26"/>
    <w:rsid w:val="45C00B37"/>
    <w:rsid w:val="47306580"/>
    <w:rsid w:val="48212E6F"/>
    <w:rsid w:val="4922188C"/>
    <w:rsid w:val="49684651"/>
    <w:rsid w:val="496B76AC"/>
    <w:rsid w:val="49A11F60"/>
    <w:rsid w:val="49AA5FD4"/>
    <w:rsid w:val="4A123335"/>
    <w:rsid w:val="4A6873F9"/>
    <w:rsid w:val="4BC8467F"/>
    <w:rsid w:val="4CFE53E3"/>
    <w:rsid w:val="4D16138E"/>
    <w:rsid w:val="4DA67BFE"/>
    <w:rsid w:val="4E2E1272"/>
    <w:rsid w:val="4F0A4599"/>
    <w:rsid w:val="4F3A3B8D"/>
    <w:rsid w:val="4F9662AF"/>
    <w:rsid w:val="4FE63648"/>
    <w:rsid w:val="5018666B"/>
    <w:rsid w:val="5161236A"/>
    <w:rsid w:val="52C5188C"/>
    <w:rsid w:val="53E75365"/>
    <w:rsid w:val="54031CF0"/>
    <w:rsid w:val="54806E61"/>
    <w:rsid w:val="54977258"/>
    <w:rsid w:val="54D3527F"/>
    <w:rsid w:val="54F06565"/>
    <w:rsid w:val="55274662"/>
    <w:rsid w:val="56632611"/>
    <w:rsid w:val="56637494"/>
    <w:rsid w:val="56AE2995"/>
    <w:rsid w:val="56B37004"/>
    <w:rsid w:val="570F757A"/>
    <w:rsid w:val="579E50CE"/>
    <w:rsid w:val="59017256"/>
    <w:rsid w:val="59522196"/>
    <w:rsid w:val="59633BAD"/>
    <w:rsid w:val="597C40B4"/>
    <w:rsid w:val="59FB128F"/>
    <w:rsid w:val="5A244C37"/>
    <w:rsid w:val="5A31681B"/>
    <w:rsid w:val="5AE90FB3"/>
    <w:rsid w:val="5B9532E5"/>
    <w:rsid w:val="5BE12FA3"/>
    <w:rsid w:val="5C4D6613"/>
    <w:rsid w:val="5D684FC1"/>
    <w:rsid w:val="5D7F72F1"/>
    <w:rsid w:val="5D8866EC"/>
    <w:rsid w:val="5EBF421E"/>
    <w:rsid w:val="5F4C65B2"/>
    <w:rsid w:val="5F6B72E5"/>
    <w:rsid w:val="5FF63581"/>
    <w:rsid w:val="60193068"/>
    <w:rsid w:val="60692272"/>
    <w:rsid w:val="60C47A4D"/>
    <w:rsid w:val="62636276"/>
    <w:rsid w:val="62B13874"/>
    <w:rsid w:val="62C34F0C"/>
    <w:rsid w:val="62D4107D"/>
    <w:rsid w:val="63672753"/>
    <w:rsid w:val="64461314"/>
    <w:rsid w:val="64B704C7"/>
    <w:rsid w:val="65E62E7A"/>
    <w:rsid w:val="66EC7F6C"/>
    <w:rsid w:val="675E72EA"/>
    <w:rsid w:val="67BB5990"/>
    <w:rsid w:val="67E46BB2"/>
    <w:rsid w:val="69F452BC"/>
    <w:rsid w:val="6AAD178D"/>
    <w:rsid w:val="6AB3020B"/>
    <w:rsid w:val="6AB73874"/>
    <w:rsid w:val="6BFB4563"/>
    <w:rsid w:val="6C4830BF"/>
    <w:rsid w:val="6C626005"/>
    <w:rsid w:val="6CC649E7"/>
    <w:rsid w:val="6D6043C7"/>
    <w:rsid w:val="6DA03611"/>
    <w:rsid w:val="6DDA5CDD"/>
    <w:rsid w:val="6F5F71DE"/>
    <w:rsid w:val="6F6F2C0C"/>
    <w:rsid w:val="6FC4095F"/>
    <w:rsid w:val="70630D09"/>
    <w:rsid w:val="70B51F27"/>
    <w:rsid w:val="70C82BD8"/>
    <w:rsid w:val="70DB0BCC"/>
    <w:rsid w:val="713C2AC7"/>
    <w:rsid w:val="715C648F"/>
    <w:rsid w:val="71737D57"/>
    <w:rsid w:val="724C75E6"/>
    <w:rsid w:val="72760518"/>
    <w:rsid w:val="73427930"/>
    <w:rsid w:val="73A66718"/>
    <w:rsid w:val="73D50338"/>
    <w:rsid w:val="745646B7"/>
    <w:rsid w:val="746A7B67"/>
    <w:rsid w:val="751D3132"/>
    <w:rsid w:val="75414E2E"/>
    <w:rsid w:val="75CC6367"/>
    <w:rsid w:val="765B6A0C"/>
    <w:rsid w:val="7690601D"/>
    <w:rsid w:val="76B92B53"/>
    <w:rsid w:val="77130569"/>
    <w:rsid w:val="77281627"/>
    <w:rsid w:val="779978FF"/>
    <w:rsid w:val="78070277"/>
    <w:rsid w:val="78EA670B"/>
    <w:rsid w:val="790D22C6"/>
    <w:rsid w:val="79CD5792"/>
    <w:rsid w:val="7A964D73"/>
    <w:rsid w:val="7ABE3E64"/>
    <w:rsid w:val="7ADA3322"/>
    <w:rsid w:val="7B5F352B"/>
    <w:rsid w:val="7B6A6DDB"/>
    <w:rsid w:val="7BCC2375"/>
    <w:rsid w:val="7C1A27E6"/>
    <w:rsid w:val="7C210F34"/>
    <w:rsid w:val="7C882495"/>
    <w:rsid w:val="7D3C14FA"/>
    <w:rsid w:val="7D630A43"/>
    <w:rsid w:val="7D6457E7"/>
    <w:rsid w:val="7D660F31"/>
    <w:rsid w:val="7E5B0F82"/>
    <w:rsid w:val="7EE06A06"/>
    <w:rsid w:val="7F625F8B"/>
    <w:rsid w:val="7FB44C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黑体"/>
      <w:kern w:val="2"/>
      <w:sz w:val="21"/>
      <w:szCs w:val="22"/>
      <w:lang w:val="en-US" w:eastAsia="zh-CN" w:bidi="ar-SA"/>
    </w:rPr>
  </w:style>
  <w:style w:type="paragraph" w:styleId="3">
    <w:name w:val="heading 1"/>
    <w:basedOn w:val="1"/>
    <w:next w:val="1"/>
    <w:link w:val="175"/>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82"/>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2">
    <w:name w:val="heading 3"/>
    <w:basedOn w:val="1"/>
    <w:next w:val="1"/>
    <w:link w:val="169"/>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84"/>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58"/>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67"/>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87"/>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88"/>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89"/>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autoRedefine/>
    <w:unhideWhenUsed/>
    <w:qFormat/>
    <w:uiPriority w:val="1"/>
  </w:style>
  <w:style w:type="table" w:default="1" w:styleId="36">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模板正文"/>
    <w:basedOn w:val="1"/>
    <w:link w:val="123"/>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3">
    <w:name w:val="caption"/>
    <w:basedOn w:val="1"/>
    <w:next w:val="1"/>
    <w:link w:val="113"/>
    <w:autoRedefine/>
    <w:qFormat/>
    <w:uiPriority w:val="0"/>
    <w:pPr>
      <w:autoSpaceDE w:val="0"/>
      <w:autoSpaceDN w:val="0"/>
      <w:adjustRightInd w:val="0"/>
      <w:spacing w:before="152" w:after="160"/>
      <w:jc w:val="left"/>
    </w:pPr>
    <w:rPr>
      <w:rFonts w:ascii="Arial" w:hAnsi="Arial" w:eastAsia="黑体" w:cs="Arial"/>
    </w:rPr>
  </w:style>
  <w:style w:type="paragraph" w:styleId="14">
    <w:name w:val="Document Map"/>
    <w:basedOn w:val="1"/>
    <w:link w:val="144"/>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5">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6">
    <w:name w:val="annotation text"/>
    <w:basedOn w:val="1"/>
    <w:link w:val="186"/>
    <w:autoRedefine/>
    <w:unhideWhenUsed/>
    <w:qFormat/>
    <w:uiPriority w:val="99"/>
    <w:pPr>
      <w:jc w:val="left"/>
    </w:pPr>
  </w:style>
  <w:style w:type="paragraph" w:styleId="17">
    <w:name w:val="Body Text 3"/>
    <w:basedOn w:val="1"/>
    <w:link w:val="181"/>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next w:val="19"/>
    <w:link w:val="146"/>
    <w:autoRedefine/>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next w:val="1"/>
    <w:link w:val="121"/>
    <w:autoRedefine/>
    <w:qFormat/>
    <w:uiPriority w:val="0"/>
    <w:pPr>
      <w:ind w:left="567" w:leftChars="270"/>
    </w:pPr>
    <w:rPr>
      <w:rFonts w:ascii="Times New Roman" w:hAnsi="Times New Roman" w:eastAsia="宋体" w:cs="Times New Roman"/>
      <w:szCs w:val="20"/>
    </w:rPr>
  </w:style>
  <w:style w:type="paragraph" w:styleId="20">
    <w:name w:val="toc 3"/>
    <w:basedOn w:val="1"/>
    <w:next w:val="1"/>
    <w:autoRedefine/>
    <w:unhideWhenUsed/>
    <w:qFormat/>
    <w:uiPriority w:val="39"/>
    <w:pPr>
      <w:tabs>
        <w:tab w:val="right" w:leader="dot" w:pos="10144"/>
      </w:tabs>
      <w:ind w:left="840" w:leftChars="400"/>
    </w:pPr>
  </w:style>
  <w:style w:type="paragraph" w:styleId="21">
    <w:name w:val="Plain Text"/>
    <w:basedOn w:val="1"/>
    <w:link w:val="129"/>
    <w:autoRedefine/>
    <w:qFormat/>
    <w:uiPriority w:val="0"/>
    <w:rPr>
      <w:rFonts w:ascii="宋体" w:hAnsi="Courier New" w:eastAsia="宋体"/>
    </w:rPr>
  </w:style>
  <w:style w:type="paragraph" w:styleId="22">
    <w:name w:val="Date"/>
    <w:basedOn w:val="1"/>
    <w:next w:val="1"/>
    <w:link w:val="136"/>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130"/>
    <w:autoRedefine/>
    <w:qFormat/>
    <w:uiPriority w:val="0"/>
    <w:pPr>
      <w:tabs>
        <w:tab w:val="left" w:pos="8640"/>
      </w:tabs>
      <w:ind w:left="1260"/>
    </w:pPr>
    <w:rPr>
      <w:rFonts w:ascii="宋体" w:hAnsi="Times New Roman" w:eastAsia="宋体" w:cs="Times New Roman"/>
      <w:szCs w:val="20"/>
    </w:rPr>
  </w:style>
  <w:style w:type="paragraph" w:styleId="24">
    <w:name w:val="Balloon Text"/>
    <w:basedOn w:val="1"/>
    <w:link w:val="105"/>
    <w:autoRedefine/>
    <w:qFormat/>
    <w:uiPriority w:val="0"/>
    <w:rPr>
      <w:rFonts w:ascii="Times New Roman" w:hAnsi="Times New Roman" w:eastAsia="宋体" w:cs="Times New Roman"/>
      <w:sz w:val="18"/>
      <w:szCs w:val="18"/>
    </w:rPr>
  </w:style>
  <w:style w:type="paragraph" w:styleId="25">
    <w:name w:val="footer"/>
    <w:basedOn w:val="1"/>
    <w:link w:val="109"/>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48"/>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autoRedefine/>
    <w:unhideWhenUsed/>
    <w:qFormat/>
    <w:uiPriority w:val="39"/>
  </w:style>
  <w:style w:type="paragraph" w:styleId="28">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79"/>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68"/>
    <w:autoRedefine/>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116"/>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122"/>
    <w:autoRedefine/>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92"/>
    <w:autoRedefine/>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38"/>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201"/>
    <w:autoRedefine/>
    <w:unhideWhenUsed/>
    <w:qFormat/>
    <w:uiPriority w:val="99"/>
    <w:pPr>
      <w:adjustRightInd/>
      <w:spacing w:after="120"/>
      <w:ind w:right="0" w:firstLine="420" w:firstLineChars="100"/>
      <w:jc w:val="both"/>
    </w:pPr>
    <w:rPr>
      <w:rFonts w:ascii="等线" w:eastAsia="等线"/>
      <w:b w:val="0"/>
      <w:bCs w:val="0"/>
      <w:sz w:val="21"/>
      <w:szCs w:val="22"/>
      <w:lang w:val="en-US"/>
    </w:rPr>
  </w:style>
  <w:style w:type="table" w:styleId="37">
    <w:name w:val="Table Grid"/>
    <w:basedOn w:val="36"/>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autoRedefine/>
    <w:qFormat/>
    <w:uiPriority w:val="0"/>
    <w:rPr>
      <w:b/>
      <w:bCs/>
    </w:rPr>
  </w:style>
  <w:style w:type="character" w:styleId="40">
    <w:name w:val="FollowedHyperlink"/>
    <w:autoRedefine/>
    <w:unhideWhenUsed/>
    <w:qFormat/>
    <w:uiPriority w:val="99"/>
    <w:rPr>
      <w:color w:val="954F72"/>
      <w:u w:val="single"/>
    </w:rPr>
  </w:style>
  <w:style w:type="character" w:styleId="41">
    <w:name w:val="Emphasis"/>
    <w:autoRedefine/>
    <w:qFormat/>
    <w:uiPriority w:val="0"/>
    <w:rPr>
      <w:i/>
      <w:iCs/>
    </w:rPr>
  </w:style>
  <w:style w:type="character" w:styleId="42">
    <w:name w:val="Hyperlink"/>
    <w:basedOn w:val="38"/>
    <w:autoRedefine/>
    <w:qFormat/>
    <w:uiPriority w:val="99"/>
    <w:rPr>
      <w:rFonts w:hint="default" w:ascii="Arial" w:hAnsi="Arial" w:cs="Arial"/>
      <w:color w:val="000000"/>
      <w:sz w:val="20"/>
      <w:szCs w:val="20"/>
      <w:u w:val="none"/>
    </w:rPr>
  </w:style>
  <w:style w:type="character" w:styleId="43">
    <w:name w:val="annotation reference"/>
    <w:autoRedefine/>
    <w:qFormat/>
    <w:uiPriority w:val="99"/>
    <w:rPr>
      <w:sz w:val="21"/>
      <w:szCs w:val="21"/>
    </w:rPr>
  </w:style>
  <w:style w:type="paragraph" w:customStyle="1" w:styleId="44">
    <w:name w:val="文档正文"/>
    <w:basedOn w:val="1"/>
    <w:autoRedefine/>
    <w:qFormat/>
    <w:uiPriority w:val="0"/>
    <w:pPr>
      <w:spacing w:line="360" w:lineRule="auto"/>
    </w:pPr>
    <w:rPr>
      <w:rFonts w:ascii="宋体" w:cs="Arial"/>
      <w:bCs/>
    </w:rPr>
  </w:style>
  <w:style w:type="paragraph" w:customStyle="1" w:styleId="45">
    <w:name w:val="首行缩进"/>
    <w:basedOn w:val="1"/>
    <w:autoRedefine/>
    <w:qFormat/>
    <w:uiPriority w:val="0"/>
    <w:pPr>
      <w:ind w:firstLine="480" w:firstLineChars="200"/>
    </w:pPr>
    <w:rPr>
      <w:lang w:val="zh-CN"/>
    </w:rPr>
  </w:style>
  <w:style w:type="paragraph" w:customStyle="1" w:styleId="46">
    <w:name w:val="正文缩进2格"/>
    <w:basedOn w:val="1"/>
    <w:link w:val="96"/>
    <w:autoRedefine/>
    <w:qFormat/>
    <w:uiPriority w:val="0"/>
    <w:pPr>
      <w:spacing w:line="600" w:lineRule="exact"/>
      <w:ind w:firstLine="639" w:firstLineChars="206"/>
    </w:pPr>
    <w:rPr>
      <w:rFonts w:ascii="仿宋_GB2312" w:hAnsi="宋体" w:eastAsia="仿宋_GB2312"/>
      <w:sz w:val="31"/>
      <w:szCs w:val="28"/>
    </w:rPr>
  </w:style>
  <w:style w:type="paragraph" w:customStyle="1" w:styleId="47">
    <w:name w:val="列出段落1"/>
    <w:basedOn w:val="1"/>
    <w:link w:val="100"/>
    <w:autoRedefine/>
    <w:qFormat/>
    <w:uiPriority w:val="34"/>
    <w:pPr>
      <w:ind w:firstLine="420" w:firstLineChars="200"/>
    </w:pPr>
    <w:rPr>
      <w:rFonts w:ascii="Calibri" w:hAnsi="Calibri"/>
    </w:rPr>
  </w:style>
  <w:style w:type="paragraph" w:customStyle="1" w:styleId="48">
    <w:name w:val="标书正文"/>
    <w:basedOn w:val="1"/>
    <w:link w:val="101"/>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paragraph" w:customStyle="1" w:styleId="49">
    <w:name w:val="吉奥正文"/>
    <w:basedOn w:val="1"/>
    <w:link w:val="110"/>
    <w:autoRedefine/>
    <w:qFormat/>
    <w:uiPriority w:val="0"/>
    <w:pPr>
      <w:adjustRightInd w:val="0"/>
      <w:snapToGrid w:val="0"/>
      <w:spacing w:before="120" w:line="360" w:lineRule="auto"/>
      <w:ind w:firstLine="200" w:firstLineChars="200"/>
      <w:textAlignment w:val="baseline"/>
    </w:pPr>
    <w:rPr>
      <w:rFonts w:eastAsia="仿宋_GB2312"/>
      <w:sz w:val="28"/>
    </w:rPr>
  </w:style>
  <w:style w:type="paragraph" w:customStyle="1" w:styleId="50">
    <w:name w:val="标题 3.1"/>
    <w:basedOn w:val="2"/>
    <w:link w:val="117"/>
    <w:autoRedefine/>
    <w:qFormat/>
    <w:uiPriority w:val="0"/>
    <w:pPr>
      <w:keepNext/>
      <w:keepLines/>
      <w:pageBreakBefore/>
      <w:tabs>
        <w:tab w:val="left" w:pos="1440"/>
        <w:tab w:val="left" w:pos="1620"/>
      </w:tabs>
      <w:adjustRightInd/>
      <w:spacing w:before="260" w:after="260" w:line="600" w:lineRule="exact"/>
      <w:jc w:val="both"/>
    </w:pPr>
    <w:rPr>
      <w:rFonts w:hAnsi="宋体" w:eastAsia="等线" w:cs="黑体"/>
      <w:b/>
      <w:bCs/>
      <w:kern w:val="2"/>
      <w:sz w:val="32"/>
      <w:szCs w:val="32"/>
    </w:rPr>
  </w:style>
  <w:style w:type="paragraph" w:customStyle="1" w:styleId="51">
    <w:name w:val="表头文字"/>
    <w:basedOn w:val="1"/>
    <w:link w:val="135"/>
    <w:autoRedefine/>
    <w:qFormat/>
    <w:uiPriority w:val="0"/>
    <w:pPr>
      <w:adjustRightInd w:val="0"/>
      <w:snapToGrid w:val="0"/>
      <w:spacing w:before="120" w:line="360" w:lineRule="auto"/>
      <w:jc w:val="center"/>
      <w:textAlignment w:val="baseline"/>
    </w:pPr>
    <w:rPr>
      <w:rFonts w:eastAsia="仿宋_GB2312"/>
      <w:b/>
      <w:sz w:val="28"/>
      <w:szCs w:val="21"/>
    </w:rPr>
  </w:style>
  <w:style w:type="paragraph" w:customStyle="1" w:styleId="52">
    <w:name w:val="表格文字"/>
    <w:basedOn w:val="1"/>
    <w:link w:val="149"/>
    <w:autoRedefine/>
    <w:qFormat/>
    <w:uiPriority w:val="0"/>
    <w:rPr>
      <w:rFonts w:eastAsia="仿宋_GB2312"/>
      <w:sz w:val="28"/>
      <w:szCs w:val="24"/>
    </w:rPr>
  </w:style>
  <w:style w:type="paragraph" w:customStyle="1" w:styleId="53">
    <w:name w:val="List Paragraph"/>
    <w:basedOn w:val="1"/>
    <w:link w:val="155"/>
    <w:autoRedefine/>
    <w:qFormat/>
    <w:uiPriority w:val="34"/>
    <w:pPr>
      <w:ind w:firstLine="420" w:firstLineChars="200"/>
    </w:pPr>
  </w:style>
  <w:style w:type="paragraph" w:customStyle="1" w:styleId="54">
    <w:name w:val="彩色列表 - 着色 11"/>
    <w:basedOn w:val="1"/>
    <w:link w:val="165"/>
    <w:autoRedefine/>
    <w:qFormat/>
    <w:uiPriority w:val="0"/>
    <w:pPr>
      <w:ind w:firstLine="420" w:firstLineChars="200"/>
    </w:pPr>
    <w:rPr>
      <w:rFonts w:ascii="Calibri" w:hAnsi="Calibri"/>
    </w:rPr>
  </w:style>
  <w:style w:type="paragraph" w:customStyle="1" w:styleId="55">
    <w:name w:val="彩色列表 - 强调文字颜色 11"/>
    <w:basedOn w:val="1"/>
    <w:link w:val="183"/>
    <w:autoRedefine/>
    <w:qFormat/>
    <w:uiPriority w:val="0"/>
    <w:pPr>
      <w:autoSpaceDE w:val="0"/>
      <w:autoSpaceDN w:val="0"/>
      <w:adjustRightInd w:val="0"/>
      <w:ind w:firstLine="420" w:firstLineChars="200"/>
      <w:jc w:val="left"/>
    </w:pPr>
    <w:rPr>
      <w:rFonts w:ascii="宋体"/>
      <w:sz w:val="24"/>
      <w:szCs w:val="24"/>
    </w:rPr>
  </w:style>
  <w:style w:type="paragraph" w:customStyle="1" w:styleId="56">
    <w:name w:val="_Style 123"/>
    <w:basedOn w:val="1"/>
    <w:next w:val="53"/>
    <w:autoRedefine/>
    <w:qFormat/>
    <w:uiPriority w:val="34"/>
    <w:pPr>
      <w:spacing w:line="360" w:lineRule="auto"/>
      <w:ind w:firstLine="420" w:firstLineChars="200"/>
    </w:pPr>
    <w:rPr>
      <w:rFonts w:ascii="Calibri" w:hAnsi="Calibri" w:eastAsia="宋体" w:cs="Times New Roman"/>
    </w:rPr>
  </w:style>
  <w:style w:type="paragraph" w:customStyle="1" w:styleId="57">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58">
    <w:name w:val="列表段落1"/>
    <w:basedOn w:val="1"/>
    <w:autoRedefine/>
    <w:qFormat/>
    <w:uiPriority w:val="0"/>
    <w:pPr>
      <w:ind w:firstLine="420" w:firstLineChars="200"/>
    </w:pPr>
    <w:rPr>
      <w:rFonts w:ascii="Times New Roman" w:hAnsi="Times New Roman" w:eastAsia="宋体" w:cs="Times New Roman"/>
      <w:szCs w:val="20"/>
    </w:rPr>
  </w:style>
  <w:style w:type="paragraph" w:customStyle="1" w:styleId="59">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60">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61">
    <w:name w:val="修订1"/>
    <w:autoRedefine/>
    <w:semiHidden/>
    <w:qFormat/>
    <w:uiPriority w:val="99"/>
    <w:rPr>
      <w:rFonts w:ascii="宋体" w:hAnsi="Calibri" w:eastAsia="宋体" w:cs="Times New Roman"/>
      <w:sz w:val="24"/>
      <w:szCs w:val="24"/>
      <w:lang w:val="en-US" w:eastAsia="zh-CN" w:bidi="ar-SA"/>
    </w:rPr>
  </w:style>
  <w:style w:type="paragraph" w:customStyle="1" w:styleId="62">
    <w:name w:val="图/图注"/>
    <w:basedOn w:val="8"/>
    <w:autoRedefine/>
    <w:qFormat/>
    <w:uiPriority w:val="0"/>
    <w:pPr>
      <w:wordWrap/>
      <w:adjustRightInd/>
      <w:spacing w:before="50"/>
      <w:ind w:firstLine="0" w:firstLineChars="0"/>
      <w:jc w:val="center"/>
    </w:pPr>
    <w:rPr>
      <w:rFonts w:ascii="Times New Roman" w:eastAsia="黑体"/>
      <w:b/>
      <w:sz w:val="21"/>
      <w:szCs w:val="22"/>
    </w:rPr>
  </w:style>
  <w:style w:type="paragraph" w:customStyle="1" w:styleId="63">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64">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65">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66">
    <w:name w:val="p0"/>
    <w:basedOn w:val="1"/>
    <w:autoRedefine/>
    <w:qFormat/>
    <w:uiPriority w:val="0"/>
    <w:pPr>
      <w:widowControl/>
    </w:pPr>
    <w:rPr>
      <w:rFonts w:ascii="Times New Roman" w:hAnsi="Calibri" w:eastAsia="宋体" w:cs="Times New Roman"/>
      <w:kern w:val="0"/>
      <w:szCs w:val="20"/>
    </w:rPr>
  </w:style>
  <w:style w:type="paragraph" w:customStyle="1" w:styleId="67">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68">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69">
    <w:name w:val="网格表 32"/>
    <w:basedOn w:val="3"/>
    <w:next w:val="1"/>
    <w:autoRedefine/>
    <w:qFormat/>
    <w:uiPriority w:val="39"/>
    <w:pPr>
      <w:keepNext/>
      <w:keepLines/>
      <w:widowControl/>
      <w:adjustRightInd/>
      <w:spacing w:before="480" w:line="276" w:lineRule="auto"/>
      <w:outlineLvl w:val="9"/>
    </w:pPr>
    <w:rPr>
      <w:rFonts w:ascii="Cambria" w:hAnsi="Cambria"/>
      <w:b/>
      <w:bCs/>
      <w:color w:val="365F91"/>
      <w:sz w:val="28"/>
      <w:szCs w:val="28"/>
    </w:rPr>
  </w:style>
  <w:style w:type="paragraph" w:customStyle="1" w:styleId="70">
    <w:name w:val="WPSOffice手动目录 1"/>
    <w:autoRedefine/>
    <w:qFormat/>
    <w:uiPriority w:val="0"/>
    <w:rPr>
      <w:rFonts w:ascii="Calibri" w:hAnsi="Calibri" w:eastAsia="宋体" w:cs="Times New Roman"/>
      <w:lang w:val="en-US" w:eastAsia="zh-CN" w:bidi="ar-SA"/>
    </w:rPr>
  </w:style>
  <w:style w:type="paragraph" w:customStyle="1" w:styleId="71">
    <w:name w:val="_Style 69"/>
    <w:basedOn w:val="1"/>
    <w:next w:val="53"/>
    <w:autoRedefine/>
    <w:qFormat/>
    <w:uiPriority w:val="34"/>
    <w:pPr>
      <w:spacing w:line="360" w:lineRule="auto"/>
      <w:ind w:firstLine="420" w:firstLineChars="200"/>
    </w:pPr>
    <w:rPr>
      <w:rFonts w:ascii="Calibri" w:hAnsi="Calibri" w:eastAsia="宋体" w:cs="Times New Roman"/>
    </w:rPr>
  </w:style>
  <w:style w:type="paragraph" w:customStyle="1" w:styleId="72">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73">
    <w:name w:val="保留正文"/>
    <w:basedOn w:val="18"/>
    <w:autoRedefine/>
    <w:qFormat/>
    <w:uiPriority w:val="0"/>
    <w:pPr>
      <w:keepNext/>
      <w:adjustRightInd/>
      <w:spacing w:after="160"/>
      <w:ind w:right="0"/>
      <w:jc w:val="both"/>
    </w:pPr>
    <w:rPr>
      <w:rFonts w:ascii="Times New Roman"/>
      <w:b w:val="0"/>
      <w:bCs w:val="0"/>
      <w:sz w:val="21"/>
      <w:szCs w:val="24"/>
      <w:lang w:val="en-US"/>
    </w:rPr>
  </w:style>
  <w:style w:type="paragraph" w:customStyle="1" w:styleId="74">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75">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76">
    <w:name w:val="网格表 31"/>
    <w:basedOn w:val="3"/>
    <w:next w:val="1"/>
    <w:autoRedefine/>
    <w:unhideWhenUsed/>
    <w:qFormat/>
    <w:uiPriority w:val="39"/>
    <w:pPr>
      <w:keepNext/>
      <w:keepLines/>
      <w:widowControl/>
      <w:adjustRightInd/>
      <w:spacing w:before="480" w:line="276" w:lineRule="auto"/>
      <w:outlineLvl w:val="9"/>
    </w:pPr>
    <w:rPr>
      <w:rFonts w:ascii="Cambria" w:hAnsi="Cambria"/>
      <w:b/>
      <w:bCs/>
      <w:color w:val="365F91"/>
      <w:sz w:val="28"/>
      <w:szCs w:val="28"/>
    </w:rPr>
  </w:style>
  <w:style w:type="paragraph" w:customStyle="1" w:styleId="77">
    <w:name w:val="表格文字居中"/>
    <w:basedOn w:val="52"/>
    <w:autoRedefine/>
    <w:qFormat/>
    <w:uiPriority w:val="0"/>
    <w:pPr>
      <w:jc w:val="center"/>
    </w:pPr>
    <w:rPr>
      <w:rFonts w:cs="宋体"/>
      <w:szCs w:val="20"/>
    </w:rPr>
  </w:style>
  <w:style w:type="paragraph" w:customStyle="1" w:styleId="78">
    <w:name w:val="正文缩进4格"/>
    <w:basedOn w:val="46"/>
    <w:autoRedefine/>
    <w:qFormat/>
    <w:uiPriority w:val="0"/>
    <w:pPr>
      <w:spacing w:line="360" w:lineRule="auto"/>
      <w:ind w:left="964" w:leftChars="314" w:hanging="210" w:hangingChars="100"/>
    </w:pPr>
    <w:rPr>
      <w:rFonts w:ascii="宋体" w:eastAsia="宋体"/>
      <w:sz w:val="21"/>
      <w:szCs w:val="21"/>
      <w:lang w:val="zh-CN"/>
    </w:rPr>
  </w:style>
  <w:style w:type="paragraph" w:customStyle="1" w:styleId="79">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paragraph" w:customStyle="1" w:styleId="80">
    <w:name w:val="修订2"/>
    <w:autoRedefine/>
    <w:hidden/>
    <w:semiHidden/>
    <w:qFormat/>
    <w:uiPriority w:val="99"/>
    <w:rPr>
      <w:rFonts w:ascii="等线" w:hAnsi="等线" w:eastAsia="等线" w:cs="黑体"/>
      <w:kern w:val="2"/>
      <w:sz w:val="21"/>
      <w:szCs w:val="22"/>
      <w:lang w:val="en-US" w:eastAsia="zh-CN" w:bidi="ar-SA"/>
    </w:rPr>
  </w:style>
  <w:style w:type="character" w:customStyle="1" w:styleId="81">
    <w:name w:val="标题 1 字符"/>
    <w:basedOn w:val="38"/>
    <w:autoRedefine/>
    <w:qFormat/>
    <w:uiPriority w:val="0"/>
    <w:rPr>
      <w:b/>
      <w:bCs/>
      <w:kern w:val="44"/>
      <w:sz w:val="44"/>
      <w:szCs w:val="44"/>
    </w:rPr>
  </w:style>
  <w:style w:type="character" w:customStyle="1" w:styleId="82">
    <w:name w:val="标题 2 Char"/>
    <w:basedOn w:val="38"/>
    <w:link w:val="4"/>
    <w:autoRedefine/>
    <w:qFormat/>
    <w:uiPriority w:val="0"/>
    <w:rPr>
      <w:rFonts w:ascii="宋体" w:hAnsi="Calibri" w:eastAsia="宋体" w:cs="Times New Roman"/>
      <w:kern w:val="0"/>
      <w:sz w:val="24"/>
      <w:szCs w:val="24"/>
    </w:rPr>
  </w:style>
  <w:style w:type="character" w:customStyle="1" w:styleId="83">
    <w:name w:val="标题 3 字符"/>
    <w:basedOn w:val="38"/>
    <w:autoRedefine/>
    <w:qFormat/>
    <w:uiPriority w:val="0"/>
    <w:rPr>
      <w:b/>
      <w:bCs/>
      <w:sz w:val="32"/>
      <w:szCs w:val="32"/>
    </w:rPr>
  </w:style>
  <w:style w:type="character" w:customStyle="1" w:styleId="84">
    <w:name w:val="标题 4 Char1"/>
    <w:basedOn w:val="38"/>
    <w:link w:val="5"/>
    <w:autoRedefine/>
    <w:qFormat/>
    <w:uiPriority w:val="9"/>
    <w:rPr>
      <w:rFonts w:ascii="Arial" w:hAnsi="Arial" w:eastAsia="黑体" w:cs="Times New Roman"/>
      <w:b/>
      <w:bCs/>
      <w:kern w:val="0"/>
      <w:sz w:val="28"/>
      <w:szCs w:val="28"/>
    </w:rPr>
  </w:style>
  <w:style w:type="character" w:customStyle="1" w:styleId="85">
    <w:name w:val="标题 5 字符"/>
    <w:basedOn w:val="38"/>
    <w:autoRedefine/>
    <w:qFormat/>
    <w:uiPriority w:val="9"/>
    <w:rPr>
      <w:b/>
      <w:bCs/>
      <w:sz w:val="28"/>
      <w:szCs w:val="28"/>
    </w:rPr>
  </w:style>
  <w:style w:type="character" w:customStyle="1" w:styleId="86">
    <w:name w:val="标题 6 字符"/>
    <w:basedOn w:val="38"/>
    <w:autoRedefine/>
    <w:qFormat/>
    <w:uiPriority w:val="0"/>
    <w:rPr>
      <w:rFonts w:ascii="等线 Light" w:hAnsi="等线 Light" w:eastAsia="等线 Light" w:cs="黑体"/>
      <w:b/>
      <w:bCs/>
      <w:sz w:val="24"/>
      <w:szCs w:val="24"/>
    </w:rPr>
  </w:style>
  <w:style w:type="character" w:customStyle="1" w:styleId="87">
    <w:name w:val="标题 7 Char"/>
    <w:basedOn w:val="38"/>
    <w:link w:val="9"/>
    <w:autoRedefine/>
    <w:qFormat/>
    <w:uiPriority w:val="9"/>
    <w:rPr>
      <w:rFonts w:ascii="Times New Roman" w:hAnsi="Calibri" w:eastAsia="黑体" w:cs="Times New Roman"/>
      <w:b/>
      <w:bCs/>
      <w:kern w:val="0"/>
      <w:sz w:val="28"/>
      <w:szCs w:val="24"/>
    </w:rPr>
  </w:style>
  <w:style w:type="character" w:customStyle="1" w:styleId="88">
    <w:name w:val="标题 8 Char"/>
    <w:basedOn w:val="38"/>
    <w:link w:val="10"/>
    <w:autoRedefine/>
    <w:qFormat/>
    <w:uiPriority w:val="9"/>
    <w:rPr>
      <w:rFonts w:ascii="Times New Roman" w:hAnsi="Calibri" w:eastAsia="黑体" w:cs="Times New Roman"/>
      <w:b/>
      <w:kern w:val="0"/>
      <w:sz w:val="28"/>
      <w:szCs w:val="24"/>
    </w:rPr>
  </w:style>
  <w:style w:type="character" w:customStyle="1" w:styleId="89">
    <w:name w:val="标题 9 Char"/>
    <w:basedOn w:val="38"/>
    <w:link w:val="11"/>
    <w:autoRedefine/>
    <w:qFormat/>
    <w:uiPriority w:val="9"/>
    <w:rPr>
      <w:rFonts w:ascii="Times New Roman" w:hAnsi="Calibri" w:eastAsia="黑体" w:cs="Times New Roman"/>
      <w:b/>
      <w:kern w:val="0"/>
      <w:sz w:val="28"/>
      <w:szCs w:val="24"/>
    </w:rPr>
  </w:style>
  <w:style w:type="character" w:customStyle="1" w:styleId="90">
    <w:name w:val="正文文本缩进 字符"/>
    <w:autoRedefine/>
    <w:qFormat/>
    <w:uiPriority w:val="0"/>
    <w:rPr>
      <w:rFonts w:ascii="Times New Roman" w:hAnsi="Times New Roman" w:eastAsia="宋体" w:cs="Times New Roman"/>
      <w:szCs w:val="20"/>
    </w:rPr>
  </w:style>
  <w:style w:type="character" w:customStyle="1" w:styleId="91">
    <w:name w:val="普通(网站) Char"/>
    <w:autoRedefine/>
    <w:qFormat/>
    <w:locked/>
    <w:uiPriority w:val="0"/>
    <w:rPr>
      <w:rFonts w:ascii="宋体" w:hAnsi="宋体"/>
      <w:sz w:val="15"/>
      <w:szCs w:val="15"/>
    </w:rPr>
  </w:style>
  <w:style w:type="character" w:customStyle="1" w:styleId="92">
    <w:name w:val="标题 Char"/>
    <w:link w:val="33"/>
    <w:autoRedefine/>
    <w:qFormat/>
    <w:uiPriority w:val="10"/>
    <w:rPr>
      <w:rFonts w:ascii="等线 Light" w:hAnsi="等线 Light" w:eastAsia="仿宋"/>
      <w:b/>
      <w:bCs/>
      <w:sz w:val="28"/>
      <w:szCs w:val="32"/>
    </w:rPr>
  </w:style>
  <w:style w:type="character" w:customStyle="1" w:styleId="93">
    <w:name w:val="日期 Char"/>
    <w:autoRedefine/>
    <w:semiHidden/>
    <w:qFormat/>
    <w:uiPriority w:val="99"/>
    <w:rPr>
      <w:kern w:val="2"/>
      <w:sz w:val="21"/>
    </w:rPr>
  </w:style>
  <w:style w:type="character" w:customStyle="1" w:styleId="94">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95">
    <w:name w:val="批注文字 Char"/>
    <w:autoRedefine/>
    <w:semiHidden/>
    <w:qFormat/>
    <w:uiPriority w:val="99"/>
    <w:rPr>
      <w:kern w:val="2"/>
      <w:sz w:val="21"/>
    </w:rPr>
  </w:style>
  <w:style w:type="character" w:customStyle="1" w:styleId="96">
    <w:name w:val="正文缩进2格 Char"/>
    <w:link w:val="46"/>
    <w:autoRedefine/>
    <w:qFormat/>
    <w:uiPriority w:val="0"/>
    <w:rPr>
      <w:rFonts w:ascii="仿宋_GB2312" w:hAnsi="宋体" w:eastAsia="仿宋_GB2312"/>
      <w:sz w:val="31"/>
      <w:szCs w:val="28"/>
    </w:rPr>
  </w:style>
  <w:style w:type="character" w:customStyle="1" w:styleId="97">
    <w:name w:val="批注文字 字符"/>
    <w:autoRedefine/>
    <w:semiHidden/>
    <w:qFormat/>
    <w:uiPriority w:val="99"/>
    <w:rPr>
      <w:rFonts w:ascii="Times New Roman" w:hAnsi="Times New Roman"/>
      <w:kern w:val="2"/>
      <w:sz w:val="24"/>
      <w:szCs w:val="24"/>
    </w:rPr>
  </w:style>
  <w:style w:type="character" w:customStyle="1" w:styleId="98">
    <w:name w:val="正文文本缩进 Char"/>
    <w:autoRedefine/>
    <w:qFormat/>
    <w:uiPriority w:val="0"/>
    <w:rPr>
      <w:rFonts w:ascii="Times New Roman" w:hAnsi="Times New Roman" w:eastAsia="宋体" w:cs="Times New Roman"/>
      <w:szCs w:val="20"/>
      <w:lang w:val="en-US" w:eastAsia="zh-CN"/>
    </w:rPr>
  </w:style>
  <w:style w:type="character" w:customStyle="1" w:styleId="99">
    <w:name w:val="批注框文本 字符1"/>
    <w:autoRedefine/>
    <w:semiHidden/>
    <w:qFormat/>
    <w:uiPriority w:val="99"/>
    <w:rPr>
      <w:rFonts w:ascii="宋体" w:hAnsi="Calibri" w:eastAsia="宋体" w:cs="Times New Roman"/>
      <w:kern w:val="0"/>
      <w:sz w:val="18"/>
      <w:szCs w:val="18"/>
    </w:rPr>
  </w:style>
  <w:style w:type="character" w:customStyle="1" w:styleId="100">
    <w:name w:val="List Paragraph Char"/>
    <w:link w:val="47"/>
    <w:autoRedefine/>
    <w:qFormat/>
    <w:uiPriority w:val="34"/>
    <w:rPr>
      <w:rFonts w:ascii="Calibri" w:hAnsi="Calibri"/>
    </w:rPr>
  </w:style>
  <w:style w:type="character" w:customStyle="1" w:styleId="101">
    <w:name w:val="标书正文 字符"/>
    <w:link w:val="48"/>
    <w:autoRedefine/>
    <w:qFormat/>
    <w:uiPriority w:val="0"/>
    <w:rPr>
      <w:rFonts w:ascii="Calibri" w:hAnsi="Calibri" w:eastAsia="仿宋"/>
      <w:sz w:val="24"/>
      <w:szCs w:val="21"/>
    </w:rPr>
  </w:style>
  <w:style w:type="character" w:customStyle="1" w:styleId="102">
    <w:name w:val="正文文本 字符"/>
    <w:autoRedefine/>
    <w:semiHidden/>
    <w:qFormat/>
    <w:uiPriority w:val="99"/>
    <w:rPr>
      <w:rFonts w:ascii="Times New Roman" w:hAnsi="Times New Roman"/>
      <w:kern w:val="2"/>
      <w:sz w:val="24"/>
      <w:szCs w:val="24"/>
    </w:rPr>
  </w:style>
  <w:style w:type="character" w:customStyle="1" w:styleId="103">
    <w:name w:val="页脚 Char"/>
    <w:autoRedefine/>
    <w:qFormat/>
    <w:uiPriority w:val="0"/>
    <w:rPr>
      <w:kern w:val="2"/>
      <w:sz w:val="18"/>
      <w:szCs w:val="18"/>
    </w:rPr>
  </w:style>
  <w:style w:type="character" w:customStyle="1" w:styleId="104">
    <w:name w:val="neir1"/>
    <w:autoRedefine/>
    <w:qFormat/>
    <w:uiPriority w:val="0"/>
    <w:rPr>
      <w:rFonts w:hint="default" w:ascii="ˎ̥" w:hAnsi="ˎ̥"/>
      <w:color w:val="333333"/>
      <w:sz w:val="21"/>
      <w:szCs w:val="21"/>
      <w:u w:val="none"/>
    </w:rPr>
  </w:style>
  <w:style w:type="character" w:customStyle="1" w:styleId="105">
    <w:name w:val="批注框文本 Char1"/>
    <w:link w:val="24"/>
    <w:autoRedefine/>
    <w:qFormat/>
    <w:uiPriority w:val="0"/>
    <w:rPr>
      <w:rFonts w:ascii="Times New Roman" w:hAnsi="Times New Roman" w:eastAsia="宋体" w:cs="Times New Roman"/>
      <w:sz w:val="18"/>
      <w:szCs w:val="18"/>
    </w:rPr>
  </w:style>
  <w:style w:type="character" w:customStyle="1" w:styleId="106">
    <w:name w:val="正文文本 3 字符1"/>
    <w:autoRedefine/>
    <w:semiHidden/>
    <w:qFormat/>
    <w:uiPriority w:val="99"/>
    <w:rPr>
      <w:rFonts w:ascii="宋体" w:hAnsi="Calibri" w:eastAsia="宋体" w:cs="Times New Roman"/>
      <w:kern w:val="0"/>
      <w:sz w:val="16"/>
      <w:szCs w:val="16"/>
    </w:rPr>
  </w:style>
  <w:style w:type="character" w:customStyle="1" w:styleId="107">
    <w:name w:val="正文文本 字符3"/>
    <w:autoRedefine/>
    <w:semiHidden/>
    <w:qFormat/>
    <w:uiPriority w:val="99"/>
    <w:rPr>
      <w:rFonts w:ascii="宋体" w:hAnsi="Calibri" w:eastAsia="宋体" w:cs="Times New Roman"/>
      <w:kern w:val="0"/>
      <w:sz w:val="24"/>
      <w:szCs w:val="24"/>
    </w:rPr>
  </w:style>
  <w:style w:type="character" w:customStyle="1" w:styleId="108">
    <w:name w:val="日期 字符1"/>
    <w:autoRedefine/>
    <w:semiHidden/>
    <w:qFormat/>
    <w:uiPriority w:val="99"/>
    <w:rPr>
      <w:rFonts w:ascii="宋体" w:hAnsi="Calibri" w:eastAsia="宋体" w:cs="Times New Roman"/>
      <w:kern w:val="0"/>
      <w:sz w:val="24"/>
      <w:szCs w:val="24"/>
    </w:rPr>
  </w:style>
  <w:style w:type="character" w:customStyle="1" w:styleId="109">
    <w:name w:val="页脚 Char2"/>
    <w:link w:val="25"/>
    <w:autoRedefine/>
    <w:qFormat/>
    <w:uiPriority w:val="99"/>
    <w:rPr>
      <w:rFonts w:ascii="宋体" w:eastAsia="宋体"/>
      <w:sz w:val="18"/>
      <w:szCs w:val="18"/>
    </w:rPr>
  </w:style>
  <w:style w:type="character" w:customStyle="1" w:styleId="110">
    <w:name w:val="吉奥正文 Char"/>
    <w:link w:val="49"/>
    <w:autoRedefine/>
    <w:qFormat/>
    <w:locked/>
    <w:uiPriority w:val="0"/>
    <w:rPr>
      <w:rFonts w:eastAsia="仿宋_GB2312"/>
      <w:sz w:val="28"/>
    </w:rPr>
  </w:style>
  <w:style w:type="character" w:customStyle="1" w:styleId="111">
    <w:name w:val="页脚 Char1"/>
    <w:autoRedefine/>
    <w:qFormat/>
    <w:uiPriority w:val="99"/>
    <w:rPr>
      <w:rFonts w:ascii="宋体" w:hAnsi="Times New Roman" w:eastAsia="宋体" w:cs="Times New Roman"/>
      <w:kern w:val="0"/>
      <w:sz w:val="18"/>
      <w:szCs w:val="18"/>
    </w:rPr>
  </w:style>
  <w:style w:type="character" w:customStyle="1" w:styleId="112">
    <w:name w:val="标题 字符"/>
    <w:autoRedefine/>
    <w:qFormat/>
    <w:uiPriority w:val="10"/>
    <w:rPr>
      <w:rFonts w:ascii="Cambria" w:hAnsi="Cambria" w:eastAsia="宋体" w:cs="Times New Roman"/>
      <w:b/>
      <w:bCs/>
      <w:kern w:val="0"/>
      <w:sz w:val="32"/>
      <w:szCs w:val="32"/>
      <w:lang w:val="en-US" w:eastAsia="zh-CN"/>
    </w:rPr>
  </w:style>
  <w:style w:type="character" w:customStyle="1" w:styleId="113">
    <w:name w:val="题注 Char"/>
    <w:link w:val="13"/>
    <w:autoRedefine/>
    <w:qFormat/>
    <w:uiPriority w:val="0"/>
    <w:rPr>
      <w:rFonts w:ascii="Arial" w:hAnsi="Arial" w:eastAsia="黑体" w:cs="Arial"/>
    </w:rPr>
  </w:style>
  <w:style w:type="character" w:customStyle="1" w:styleId="114">
    <w:name w:val="批注文字 字符2"/>
    <w:autoRedefine/>
    <w:qFormat/>
    <w:uiPriority w:val="99"/>
    <w:rPr>
      <w:rFonts w:ascii="宋体" w:hAnsi="Times New Roman" w:eastAsia="宋体" w:cs="Times New Roman"/>
      <w:kern w:val="0"/>
      <w:sz w:val="24"/>
      <w:szCs w:val="24"/>
    </w:rPr>
  </w:style>
  <w:style w:type="character" w:customStyle="1" w:styleId="115">
    <w:name w:val="批注主题 字符1"/>
    <w:autoRedefine/>
    <w:semiHidden/>
    <w:qFormat/>
    <w:uiPriority w:val="99"/>
    <w:rPr>
      <w:rFonts w:ascii="宋体" w:hAnsi="Calibri" w:eastAsia="宋体" w:cs="Times New Roman"/>
      <w:b/>
      <w:bCs/>
      <w:kern w:val="0"/>
      <w:sz w:val="24"/>
      <w:szCs w:val="24"/>
    </w:rPr>
  </w:style>
  <w:style w:type="character" w:customStyle="1" w:styleId="116">
    <w:name w:val="HTML 预设格式 Char"/>
    <w:link w:val="31"/>
    <w:autoRedefine/>
    <w:qFormat/>
    <w:uiPriority w:val="99"/>
    <w:rPr>
      <w:rFonts w:ascii="Arial" w:hAnsi="Arial" w:eastAsia="宋体" w:cs="Arial"/>
      <w:szCs w:val="21"/>
    </w:rPr>
  </w:style>
  <w:style w:type="character" w:customStyle="1" w:styleId="117">
    <w:name w:val="标题 3.1 Char"/>
    <w:link w:val="50"/>
    <w:autoRedefine/>
    <w:qFormat/>
    <w:uiPriority w:val="0"/>
    <w:rPr>
      <w:rFonts w:ascii="宋体" w:hAnsi="宋体"/>
      <w:b/>
      <w:bCs/>
      <w:sz w:val="32"/>
      <w:szCs w:val="32"/>
    </w:rPr>
  </w:style>
  <w:style w:type="character" w:customStyle="1" w:styleId="118">
    <w:name w:val="HTML 预设格式 Char1"/>
    <w:autoRedefine/>
    <w:semiHidden/>
    <w:qFormat/>
    <w:uiPriority w:val="99"/>
    <w:rPr>
      <w:rFonts w:ascii="Courier New" w:hAnsi="Courier New" w:eastAsia="宋体" w:cs="Courier New"/>
      <w:kern w:val="0"/>
      <w:sz w:val="20"/>
      <w:szCs w:val="20"/>
    </w:rPr>
  </w:style>
  <w:style w:type="character" w:customStyle="1" w:styleId="119">
    <w:name w:val="批注文字 字符1"/>
    <w:autoRedefine/>
    <w:qFormat/>
    <w:uiPriority w:val="0"/>
    <w:rPr>
      <w:rFonts w:eastAsia="宋体"/>
      <w:kern w:val="2"/>
      <w:sz w:val="24"/>
      <w:szCs w:val="24"/>
      <w:lang w:val="en-US" w:eastAsia="zh-CN" w:bidi="ar-SA"/>
    </w:rPr>
  </w:style>
  <w:style w:type="character" w:customStyle="1" w:styleId="120">
    <w:name w:val="正文文本缩进 字符2"/>
    <w:autoRedefine/>
    <w:semiHidden/>
    <w:qFormat/>
    <w:uiPriority w:val="99"/>
    <w:rPr>
      <w:rFonts w:ascii="宋体" w:hAnsi="Calibri" w:eastAsia="宋体" w:cs="Times New Roman"/>
      <w:kern w:val="0"/>
      <w:sz w:val="24"/>
      <w:szCs w:val="24"/>
    </w:rPr>
  </w:style>
  <w:style w:type="character" w:customStyle="1" w:styleId="121">
    <w:name w:val="正文文本缩进 Char1"/>
    <w:link w:val="19"/>
    <w:autoRedefine/>
    <w:qFormat/>
    <w:uiPriority w:val="0"/>
    <w:rPr>
      <w:rFonts w:ascii="Times New Roman" w:hAnsi="Times New Roman" w:eastAsia="宋体" w:cs="Times New Roman"/>
      <w:szCs w:val="20"/>
    </w:rPr>
  </w:style>
  <w:style w:type="character" w:customStyle="1" w:styleId="122">
    <w:name w:val="普通(网站) Char1"/>
    <w:link w:val="32"/>
    <w:autoRedefine/>
    <w:qFormat/>
    <w:locked/>
    <w:uiPriority w:val="0"/>
    <w:rPr>
      <w:rFonts w:ascii="宋体" w:hAnsi="宋体"/>
      <w:sz w:val="15"/>
      <w:szCs w:val="15"/>
    </w:rPr>
  </w:style>
  <w:style w:type="character" w:customStyle="1" w:styleId="123">
    <w:name w:val="模板正文 Char"/>
    <w:link w:val="8"/>
    <w:autoRedefine/>
    <w:qFormat/>
    <w:uiPriority w:val="0"/>
    <w:rPr>
      <w:rFonts w:ascii="宋体" w:eastAsia="仿宋"/>
      <w:sz w:val="24"/>
      <w:szCs w:val="21"/>
    </w:rPr>
  </w:style>
  <w:style w:type="character" w:customStyle="1" w:styleId="124">
    <w:name w:val="批注主题 Char"/>
    <w:autoRedefine/>
    <w:semiHidden/>
    <w:qFormat/>
    <w:uiPriority w:val="99"/>
    <w:rPr>
      <w:b/>
      <w:bCs/>
      <w:kern w:val="2"/>
      <w:sz w:val="21"/>
    </w:rPr>
  </w:style>
  <w:style w:type="character" w:customStyle="1" w:styleId="125">
    <w:name w:val="正文文本 Char1"/>
    <w:autoRedefine/>
    <w:qFormat/>
    <w:uiPriority w:val="0"/>
    <w:rPr>
      <w:rFonts w:ascii="宋体" w:hAnsi="Times New Roman" w:eastAsia="宋体" w:cs="Times New Roman"/>
      <w:kern w:val="0"/>
      <w:sz w:val="24"/>
      <w:szCs w:val="24"/>
    </w:rPr>
  </w:style>
  <w:style w:type="character" w:customStyle="1" w:styleId="126">
    <w:name w:val="正文文本 字符1"/>
    <w:autoRedefine/>
    <w:qFormat/>
    <w:uiPriority w:val="99"/>
    <w:rPr>
      <w:rFonts w:ascii="宋体" w:eastAsia="宋体"/>
      <w:b/>
      <w:bCs/>
      <w:sz w:val="84"/>
      <w:szCs w:val="84"/>
      <w:lang w:val="zh-CN"/>
    </w:rPr>
  </w:style>
  <w:style w:type="character" w:customStyle="1" w:styleId="127">
    <w:name w:val="标题 1 Char"/>
    <w:autoRedefine/>
    <w:qFormat/>
    <w:uiPriority w:val="9"/>
    <w:rPr>
      <w:rFonts w:ascii="宋体" w:hAnsi="Times New Roman" w:eastAsia="宋体" w:cs="Times New Roman"/>
      <w:kern w:val="0"/>
      <w:sz w:val="24"/>
      <w:szCs w:val="24"/>
    </w:rPr>
  </w:style>
  <w:style w:type="character" w:customStyle="1" w:styleId="128">
    <w:name w:val="正文文本 Char2"/>
    <w:autoRedefine/>
    <w:qFormat/>
    <w:uiPriority w:val="99"/>
    <w:rPr>
      <w:rFonts w:ascii="宋体" w:eastAsia="宋体"/>
      <w:b/>
      <w:bCs/>
      <w:sz w:val="84"/>
      <w:szCs w:val="84"/>
      <w:lang w:val="zh-CN"/>
    </w:rPr>
  </w:style>
  <w:style w:type="character" w:customStyle="1" w:styleId="129">
    <w:name w:val="纯文本 Char2"/>
    <w:link w:val="21"/>
    <w:autoRedefine/>
    <w:qFormat/>
    <w:uiPriority w:val="0"/>
    <w:rPr>
      <w:rFonts w:ascii="宋体" w:hAnsi="Courier New" w:eastAsia="宋体"/>
    </w:rPr>
  </w:style>
  <w:style w:type="character" w:customStyle="1" w:styleId="130">
    <w:name w:val="正文文本缩进 2 Char"/>
    <w:link w:val="23"/>
    <w:autoRedefine/>
    <w:qFormat/>
    <w:uiPriority w:val="0"/>
    <w:rPr>
      <w:rFonts w:ascii="宋体" w:hAnsi="Times New Roman" w:eastAsia="宋体" w:cs="Times New Roman"/>
      <w:szCs w:val="20"/>
    </w:rPr>
  </w:style>
  <w:style w:type="character" w:customStyle="1" w:styleId="131">
    <w:name w:val="HTML Markup"/>
    <w:autoRedefine/>
    <w:qFormat/>
    <w:uiPriority w:val="0"/>
    <w:rPr>
      <w:vanish/>
      <w:color w:val="FF0000"/>
    </w:rPr>
  </w:style>
  <w:style w:type="character" w:customStyle="1" w:styleId="132">
    <w:name w:val="页眉 Char1"/>
    <w:autoRedefine/>
    <w:qFormat/>
    <w:uiPriority w:val="0"/>
    <w:rPr>
      <w:rFonts w:ascii="宋体" w:hAnsi="Times New Roman" w:eastAsia="宋体" w:cs="Times New Roman"/>
      <w:kern w:val="0"/>
      <w:sz w:val="18"/>
      <w:szCs w:val="18"/>
    </w:rPr>
  </w:style>
  <w:style w:type="character" w:customStyle="1" w:styleId="133">
    <w:name w:val="font11"/>
    <w:autoRedefine/>
    <w:qFormat/>
    <w:uiPriority w:val="0"/>
    <w:rPr>
      <w:rFonts w:hint="eastAsia" w:ascii="宋体" w:hAnsi="宋体" w:eastAsia="宋体" w:cs="宋体"/>
      <w:color w:val="FF0000"/>
      <w:sz w:val="22"/>
      <w:szCs w:val="22"/>
      <w:u w:val="none"/>
    </w:rPr>
  </w:style>
  <w:style w:type="character" w:customStyle="1" w:styleId="134">
    <w:name w:val="style61"/>
    <w:autoRedefine/>
    <w:qFormat/>
    <w:uiPriority w:val="0"/>
    <w:rPr>
      <w:b/>
      <w:bCs/>
    </w:rPr>
  </w:style>
  <w:style w:type="character" w:customStyle="1" w:styleId="135">
    <w:name w:val="表头文字 Char"/>
    <w:link w:val="51"/>
    <w:autoRedefine/>
    <w:qFormat/>
    <w:uiPriority w:val="0"/>
    <w:rPr>
      <w:rFonts w:eastAsia="仿宋_GB2312"/>
      <w:b/>
      <w:sz w:val="28"/>
      <w:szCs w:val="21"/>
    </w:rPr>
  </w:style>
  <w:style w:type="character" w:customStyle="1" w:styleId="136">
    <w:name w:val="日期 Char1"/>
    <w:link w:val="22"/>
    <w:autoRedefine/>
    <w:qFormat/>
    <w:uiPriority w:val="99"/>
    <w:rPr>
      <w:rFonts w:ascii="宋体" w:hAnsi="Times New Roman" w:eastAsia="宋体" w:cs="Times New Roman"/>
      <w:b/>
      <w:bCs/>
      <w:szCs w:val="21"/>
      <w:lang w:val="zh-CN"/>
    </w:rPr>
  </w:style>
  <w:style w:type="character" w:customStyle="1" w:styleId="137">
    <w:name w:val="纯文本 Char1"/>
    <w:autoRedefine/>
    <w:qFormat/>
    <w:uiPriority w:val="0"/>
    <w:rPr>
      <w:rFonts w:ascii="宋体" w:hAnsi="Courier New" w:eastAsia="宋体" w:cs="Courier New"/>
      <w:kern w:val="0"/>
      <w:szCs w:val="21"/>
    </w:rPr>
  </w:style>
  <w:style w:type="character" w:customStyle="1" w:styleId="138">
    <w:name w:val="批注主题 Char1"/>
    <w:link w:val="34"/>
    <w:autoRedefine/>
    <w:qFormat/>
    <w:uiPriority w:val="99"/>
    <w:rPr>
      <w:rFonts w:ascii="宋体" w:hAnsi="Times New Roman" w:eastAsia="宋体" w:cs="Times New Roman"/>
      <w:b/>
      <w:bCs/>
      <w:kern w:val="0"/>
      <w:sz w:val="24"/>
      <w:szCs w:val="24"/>
    </w:rPr>
  </w:style>
  <w:style w:type="character" w:customStyle="1" w:styleId="139">
    <w:name w:val="纯文本 字符"/>
    <w:autoRedefine/>
    <w:qFormat/>
    <w:uiPriority w:val="99"/>
    <w:rPr>
      <w:rFonts w:ascii="宋体" w:hAnsi="Courier New" w:eastAsia="宋体" w:cs="Times New Roman"/>
      <w:szCs w:val="20"/>
      <w:lang w:val="en-US" w:eastAsia="zh-CN"/>
    </w:rPr>
  </w:style>
  <w:style w:type="character" w:customStyle="1" w:styleId="140">
    <w:name w:val="font71"/>
    <w:autoRedefine/>
    <w:qFormat/>
    <w:uiPriority w:val="0"/>
    <w:rPr>
      <w:rFonts w:hint="eastAsia" w:ascii="宋体" w:hAnsi="宋体" w:eastAsia="宋体" w:cs="宋体"/>
      <w:color w:val="FF0000"/>
      <w:sz w:val="18"/>
      <w:szCs w:val="18"/>
      <w:u w:val="none"/>
    </w:rPr>
  </w:style>
  <w:style w:type="character" w:customStyle="1" w:styleId="141">
    <w:name w:val="font21"/>
    <w:autoRedefine/>
    <w:qFormat/>
    <w:uiPriority w:val="0"/>
    <w:rPr>
      <w:rFonts w:hint="eastAsia" w:ascii="宋体" w:hAnsi="宋体" w:eastAsia="宋体" w:cs="宋体"/>
      <w:b/>
      <w:color w:val="000000"/>
      <w:sz w:val="21"/>
      <w:szCs w:val="21"/>
      <w:u w:val="none"/>
    </w:rPr>
  </w:style>
  <w:style w:type="character" w:customStyle="1" w:styleId="142">
    <w:name w:val="纯文本 字符3"/>
    <w:autoRedefine/>
    <w:semiHidden/>
    <w:qFormat/>
    <w:uiPriority w:val="99"/>
    <w:rPr>
      <w:rFonts w:ascii="等线" w:hAnsi="Courier New" w:cs="Courier New"/>
      <w:kern w:val="0"/>
      <w:sz w:val="24"/>
      <w:szCs w:val="24"/>
    </w:rPr>
  </w:style>
  <w:style w:type="character" w:customStyle="1" w:styleId="143">
    <w:name w:val="font31"/>
    <w:autoRedefine/>
    <w:qFormat/>
    <w:uiPriority w:val="0"/>
    <w:rPr>
      <w:rFonts w:hint="eastAsia" w:ascii="宋体" w:hAnsi="宋体" w:eastAsia="宋体" w:cs="宋体"/>
      <w:color w:val="000000"/>
      <w:sz w:val="18"/>
      <w:szCs w:val="18"/>
      <w:u w:val="none"/>
    </w:rPr>
  </w:style>
  <w:style w:type="character" w:customStyle="1" w:styleId="144">
    <w:name w:val="文档结构图 Char"/>
    <w:link w:val="14"/>
    <w:autoRedefine/>
    <w:semiHidden/>
    <w:qFormat/>
    <w:uiPriority w:val="99"/>
    <w:rPr>
      <w:rFonts w:ascii="宋体" w:hAnsi="Times New Roman" w:eastAsia="宋体" w:cs="Times New Roman"/>
      <w:kern w:val="0"/>
      <w:sz w:val="24"/>
      <w:szCs w:val="24"/>
      <w:shd w:val="clear" w:color="auto" w:fill="000080"/>
    </w:rPr>
  </w:style>
  <w:style w:type="character" w:customStyle="1" w:styleId="145">
    <w:name w:val="普通(网站) 字符1"/>
    <w:autoRedefine/>
    <w:qFormat/>
    <w:locked/>
    <w:uiPriority w:val="0"/>
    <w:rPr>
      <w:rFonts w:ascii="宋体" w:hAnsi="宋体"/>
      <w:sz w:val="15"/>
      <w:szCs w:val="15"/>
    </w:rPr>
  </w:style>
  <w:style w:type="character" w:customStyle="1" w:styleId="146">
    <w:name w:val="正文文本 Char3"/>
    <w:link w:val="18"/>
    <w:autoRedefine/>
    <w:qFormat/>
    <w:uiPriority w:val="99"/>
    <w:rPr>
      <w:rFonts w:ascii="宋体" w:eastAsia="宋体"/>
      <w:b/>
      <w:bCs/>
      <w:sz w:val="84"/>
      <w:szCs w:val="84"/>
      <w:lang w:val="zh-CN"/>
    </w:rPr>
  </w:style>
  <w:style w:type="character" w:customStyle="1" w:styleId="147">
    <w:name w:val="标题 5 Char"/>
    <w:autoRedefine/>
    <w:semiHidden/>
    <w:qFormat/>
    <w:uiPriority w:val="9"/>
    <w:rPr>
      <w:b/>
      <w:bCs/>
      <w:kern w:val="2"/>
      <w:sz w:val="28"/>
      <w:szCs w:val="28"/>
    </w:rPr>
  </w:style>
  <w:style w:type="character" w:customStyle="1" w:styleId="148">
    <w:name w:val="页眉 Char2"/>
    <w:link w:val="26"/>
    <w:autoRedefine/>
    <w:qFormat/>
    <w:uiPriority w:val="99"/>
    <w:rPr>
      <w:rFonts w:ascii="宋体" w:eastAsia="宋体"/>
      <w:sz w:val="18"/>
      <w:szCs w:val="18"/>
    </w:rPr>
  </w:style>
  <w:style w:type="character" w:customStyle="1" w:styleId="149">
    <w:name w:val="表格文字 Char"/>
    <w:link w:val="52"/>
    <w:autoRedefine/>
    <w:qFormat/>
    <w:uiPriority w:val="0"/>
    <w:rPr>
      <w:rFonts w:eastAsia="仿宋_GB2312"/>
      <w:sz w:val="28"/>
      <w:szCs w:val="24"/>
    </w:rPr>
  </w:style>
  <w:style w:type="character" w:customStyle="1" w:styleId="150">
    <w:name w:val="标题 字符2"/>
    <w:autoRedefine/>
    <w:qFormat/>
    <w:uiPriority w:val="10"/>
    <w:rPr>
      <w:rFonts w:ascii="等线 Light" w:hAnsi="等线 Light" w:eastAsia="等线 Light" w:cs="Times New Roman"/>
      <w:b/>
      <w:bCs/>
      <w:kern w:val="0"/>
      <w:sz w:val="32"/>
      <w:szCs w:val="32"/>
    </w:rPr>
  </w:style>
  <w:style w:type="character" w:customStyle="1" w:styleId="151">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52">
    <w:name w:val="小 Char"/>
    <w:autoRedefine/>
    <w:qFormat/>
    <w:uiPriority w:val="0"/>
    <w:rPr>
      <w:rFonts w:ascii="宋体" w:hAnsi="Courier New" w:eastAsia="宋体"/>
      <w:kern w:val="2"/>
      <w:sz w:val="21"/>
      <w:lang w:val="en-US" w:eastAsia="zh-CN" w:bidi="ar-SA"/>
    </w:rPr>
  </w:style>
  <w:style w:type="character" w:customStyle="1" w:styleId="153">
    <w:name w:val="themebody1"/>
    <w:autoRedefine/>
    <w:qFormat/>
    <w:uiPriority w:val="0"/>
    <w:rPr>
      <w:color w:val="FFFFFF"/>
    </w:rPr>
  </w:style>
  <w:style w:type="character" w:customStyle="1" w:styleId="154">
    <w:name w:val="页脚 字符1"/>
    <w:autoRedefine/>
    <w:semiHidden/>
    <w:qFormat/>
    <w:uiPriority w:val="99"/>
    <w:rPr>
      <w:rFonts w:ascii="宋体" w:hAnsi="Calibri" w:eastAsia="宋体" w:cs="Times New Roman"/>
      <w:kern w:val="0"/>
      <w:sz w:val="18"/>
      <w:szCs w:val="18"/>
    </w:rPr>
  </w:style>
  <w:style w:type="character" w:customStyle="1" w:styleId="155">
    <w:name w:val="列出段落 Char"/>
    <w:link w:val="53"/>
    <w:autoRedefine/>
    <w:qFormat/>
    <w:uiPriority w:val="34"/>
    <w:rPr>
      <w:kern w:val="2"/>
      <w:sz w:val="21"/>
      <w:szCs w:val="22"/>
    </w:rPr>
  </w:style>
  <w:style w:type="character" w:customStyle="1" w:styleId="156">
    <w:name w:val="正文文本 Char"/>
    <w:autoRedefine/>
    <w:qFormat/>
    <w:uiPriority w:val="99"/>
    <w:rPr>
      <w:rFonts w:ascii="宋体" w:eastAsia="宋体"/>
      <w:b/>
      <w:bCs/>
      <w:sz w:val="84"/>
      <w:szCs w:val="84"/>
      <w:lang w:val="zh-CN"/>
    </w:rPr>
  </w:style>
  <w:style w:type="character" w:customStyle="1" w:styleId="157">
    <w:name w:val="页眉 字符1"/>
    <w:autoRedefine/>
    <w:semiHidden/>
    <w:qFormat/>
    <w:uiPriority w:val="99"/>
    <w:rPr>
      <w:rFonts w:ascii="宋体" w:hAnsi="Calibri" w:eastAsia="宋体" w:cs="Times New Roman"/>
      <w:kern w:val="0"/>
      <w:sz w:val="18"/>
      <w:szCs w:val="18"/>
    </w:rPr>
  </w:style>
  <w:style w:type="character" w:customStyle="1" w:styleId="158">
    <w:name w:val="标题 5 Char1"/>
    <w:link w:val="6"/>
    <w:autoRedefine/>
    <w:qFormat/>
    <w:uiPriority w:val="9"/>
    <w:rPr>
      <w:rFonts w:ascii="宋体" w:hAnsi="Calibri" w:eastAsia="宋体" w:cs="Times New Roman"/>
      <w:b/>
      <w:bCs/>
      <w:kern w:val="0"/>
      <w:sz w:val="28"/>
      <w:szCs w:val="28"/>
    </w:rPr>
  </w:style>
  <w:style w:type="character" w:customStyle="1" w:styleId="159">
    <w:name w:val="keyfeatures1"/>
    <w:autoRedefine/>
    <w:qFormat/>
    <w:uiPriority w:val="0"/>
    <w:rPr>
      <w:rFonts w:hint="default" w:ascii="Arial" w:hAnsi="Arial" w:cs="Arial"/>
      <w:color w:val="003366"/>
      <w:sz w:val="17"/>
      <w:szCs w:val="17"/>
      <w:u w:val="none"/>
    </w:rPr>
  </w:style>
  <w:style w:type="character" w:customStyle="1" w:styleId="160">
    <w:name w:val="题注 字符"/>
    <w:autoRedefine/>
    <w:qFormat/>
    <w:uiPriority w:val="0"/>
    <w:rPr>
      <w:rFonts w:ascii="宋体" w:hAnsi="宋体" w:eastAsia="黑体" w:cs="Times New Roman"/>
      <w:b/>
      <w:szCs w:val="21"/>
    </w:rPr>
  </w:style>
  <w:style w:type="character" w:customStyle="1" w:styleId="161">
    <w:name w:val="标题 4 Char"/>
    <w:autoRedefine/>
    <w:qFormat/>
    <w:uiPriority w:val="0"/>
    <w:rPr>
      <w:rFonts w:ascii="宋体" w:hAnsi="宋体" w:eastAsia="宋体"/>
      <w:b/>
      <w:kern w:val="2"/>
      <w:sz w:val="21"/>
      <w:szCs w:val="24"/>
      <w:lang w:val="en-US" w:eastAsia="zh-CN" w:bidi="ar-SA"/>
    </w:rPr>
  </w:style>
  <w:style w:type="character" w:customStyle="1" w:styleId="162">
    <w:name w:val="批注文字 字符3"/>
    <w:autoRedefine/>
    <w:semiHidden/>
    <w:qFormat/>
    <w:uiPriority w:val="99"/>
    <w:rPr>
      <w:rFonts w:ascii="宋体" w:hAnsi="Calibri" w:eastAsia="宋体" w:cs="Times New Roman"/>
      <w:kern w:val="0"/>
      <w:sz w:val="24"/>
      <w:szCs w:val="24"/>
    </w:rPr>
  </w:style>
  <w:style w:type="character" w:customStyle="1" w:styleId="163">
    <w:name w:val="纯文本 字符1"/>
    <w:autoRedefine/>
    <w:qFormat/>
    <w:uiPriority w:val="0"/>
    <w:rPr>
      <w:rFonts w:ascii="宋体" w:hAnsi="Courier New" w:eastAsia="宋体"/>
      <w:kern w:val="2"/>
      <w:sz w:val="21"/>
      <w:szCs w:val="24"/>
      <w:lang w:val="en-US" w:eastAsia="zh-CN" w:bidi="ar-SA"/>
    </w:rPr>
  </w:style>
  <w:style w:type="character" w:customStyle="1" w:styleId="164">
    <w:name w:val="列出段落 Char1"/>
    <w:autoRedefine/>
    <w:qFormat/>
    <w:uiPriority w:val="34"/>
    <w:rPr>
      <w:rFonts w:ascii="宋体"/>
      <w:sz w:val="24"/>
      <w:szCs w:val="24"/>
    </w:rPr>
  </w:style>
  <w:style w:type="character" w:customStyle="1" w:styleId="165">
    <w:name w:val="彩色列表 - 着色 1 字符"/>
    <w:link w:val="54"/>
    <w:autoRedefine/>
    <w:qFormat/>
    <w:uiPriority w:val="0"/>
    <w:rPr>
      <w:rFonts w:ascii="Calibri" w:hAnsi="Calibri"/>
    </w:rPr>
  </w:style>
  <w:style w:type="character" w:customStyle="1" w:styleId="166">
    <w:name w:val="纯文本 Char"/>
    <w:autoRedefine/>
    <w:qFormat/>
    <w:uiPriority w:val="0"/>
    <w:rPr>
      <w:rFonts w:ascii="宋体" w:hAnsi="Courier New" w:eastAsia="宋体" w:cs="Times New Roman"/>
      <w:szCs w:val="20"/>
    </w:rPr>
  </w:style>
  <w:style w:type="character" w:customStyle="1" w:styleId="167">
    <w:name w:val="标题 6 Char"/>
    <w:link w:val="7"/>
    <w:autoRedefine/>
    <w:qFormat/>
    <w:uiPriority w:val="9"/>
    <w:rPr>
      <w:rFonts w:ascii="Times New Roman" w:hAnsi="Calibri" w:eastAsia="黑体" w:cs="Times New Roman"/>
      <w:b/>
      <w:bCs/>
      <w:kern w:val="0"/>
      <w:sz w:val="28"/>
      <w:szCs w:val="24"/>
    </w:rPr>
  </w:style>
  <w:style w:type="character" w:customStyle="1" w:styleId="168">
    <w:name w:val="正文文本 2 Char"/>
    <w:link w:val="30"/>
    <w:autoRedefine/>
    <w:qFormat/>
    <w:uiPriority w:val="0"/>
    <w:rPr>
      <w:rFonts w:ascii="Arial" w:hAnsi="Arial" w:eastAsia="宋体" w:cs="Times New Roman"/>
      <w:color w:val="000000"/>
      <w:szCs w:val="24"/>
    </w:rPr>
  </w:style>
  <w:style w:type="character" w:customStyle="1" w:styleId="169">
    <w:name w:val="标题 3 Char"/>
    <w:link w:val="2"/>
    <w:autoRedefine/>
    <w:qFormat/>
    <w:uiPriority w:val="0"/>
    <w:rPr>
      <w:rFonts w:ascii="宋体" w:hAnsi="Calibri" w:eastAsia="宋体" w:cs="Times New Roman"/>
      <w:kern w:val="0"/>
      <w:sz w:val="24"/>
      <w:szCs w:val="24"/>
    </w:rPr>
  </w:style>
  <w:style w:type="character" w:customStyle="1" w:styleId="170">
    <w:name w:val="正文文本缩进 2 字符1"/>
    <w:autoRedefine/>
    <w:semiHidden/>
    <w:qFormat/>
    <w:uiPriority w:val="99"/>
    <w:rPr>
      <w:rFonts w:ascii="宋体" w:hAnsi="Calibri" w:eastAsia="宋体" w:cs="Times New Roman"/>
      <w:kern w:val="0"/>
      <w:sz w:val="24"/>
      <w:szCs w:val="24"/>
    </w:rPr>
  </w:style>
  <w:style w:type="character" w:customStyle="1" w:styleId="171">
    <w:name w:val="正文文本缩进 3 字符1"/>
    <w:autoRedefine/>
    <w:semiHidden/>
    <w:qFormat/>
    <w:uiPriority w:val="99"/>
    <w:rPr>
      <w:rFonts w:ascii="宋体" w:hAnsi="Calibri" w:eastAsia="宋体" w:cs="Times New Roman"/>
      <w:kern w:val="0"/>
      <w:sz w:val="16"/>
      <w:szCs w:val="16"/>
    </w:rPr>
  </w:style>
  <w:style w:type="character" w:customStyle="1" w:styleId="172">
    <w:name w:val="正文文本 2 字符1"/>
    <w:autoRedefine/>
    <w:semiHidden/>
    <w:qFormat/>
    <w:uiPriority w:val="99"/>
    <w:rPr>
      <w:rFonts w:ascii="宋体" w:hAnsi="Calibri" w:eastAsia="宋体" w:cs="Times New Roman"/>
      <w:kern w:val="0"/>
      <w:sz w:val="24"/>
      <w:szCs w:val="24"/>
    </w:rPr>
  </w:style>
  <w:style w:type="character" w:customStyle="1" w:styleId="173">
    <w:name w:val="eschoolnr"/>
    <w:autoRedefine/>
    <w:qFormat/>
    <w:uiPriority w:val="0"/>
    <w:rPr>
      <w:sz w:val="23"/>
      <w:szCs w:val="23"/>
    </w:rPr>
  </w:style>
  <w:style w:type="character" w:customStyle="1" w:styleId="174">
    <w:name w:val="访问过的超链接1"/>
    <w:autoRedefine/>
    <w:qFormat/>
    <w:uiPriority w:val="0"/>
    <w:rPr>
      <w:rFonts w:ascii="Arial" w:hAnsi="Arial" w:cs="Arial"/>
      <w:color w:val="000000"/>
      <w:sz w:val="20"/>
      <w:szCs w:val="20"/>
      <w:u w:val="none"/>
    </w:rPr>
  </w:style>
  <w:style w:type="character" w:customStyle="1" w:styleId="175">
    <w:name w:val="标题 1 Char1"/>
    <w:link w:val="3"/>
    <w:autoRedefine/>
    <w:qFormat/>
    <w:uiPriority w:val="0"/>
    <w:rPr>
      <w:rFonts w:ascii="宋体" w:hAnsi="Calibri" w:eastAsia="宋体" w:cs="Times New Roman"/>
      <w:kern w:val="0"/>
      <w:sz w:val="24"/>
      <w:szCs w:val="24"/>
    </w:rPr>
  </w:style>
  <w:style w:type="character" w:customStyle="1" w:styleId="176">
    <w:name w:val="批注文字 Char1"/>
    <w:autoRedefine/>
    <w:qFormat/>
    <w:uiPriority w:val="0"/>
    <w:rPr>
      <w:kern w:val="2"/>
      <w:sz w:val="21"/>
      <w:szCs w:val="24"/>
    </w:rPr>
  </w:style>
  <w:style w:type="character" w:customStyle="1" w:styleId="177">
    <w:name w:val="批注框文本 Char"/>
    <w:autoRedefine/>
    <w:semiHidden/>
    <w:qFormat/>
    <w:uiPriority w:val="99"/>
    <w:rPr>
      <w:kern w:val="2"/>
      <w:sz w:val="18"/>
      <w:szCs w:val="18"/>
    </w:rPr>
  </w:style>
  <w:style w:type="character" w:customStyle="1" w:styleId="178">
    <w:name w:val="DAS正文 Char"/>
    <w:autoRedefine/>
    <w:qFormat/>
    <w:uiPriority w:val="0"/>
    <w:rPr>
      <w:rFonts w:ascii="Verdana" w:hAnsi="Verdana" w:eastAsia="宋体"/>
      <w:kern w:val="2"/>
      <w:sz w:val="21"/>
      <w:szCs w:val="21"/>
      <w:lang w:val="en-US" w:eastAsia="zh-CN" w:bidi="ar-SA"/>
    </w:rPr>
  </w:style>
  <w:style w:type="character" w:customStyle="1" w:styleId="179">
    <w:name w:val="正文文本缩进 3 Char"/>
    <w:link w:val="29"/>
    <w:autoRedefine/>
    <w:qFormat/>
    <w:uiPriority w:val="0"/>
    <w:rPr>
      <w:rFonts w:ascii="宋体" w:hAnsi="Times New Roman" w:eastAsia="宋体" w:cs="Times New Roman"/>
      <w:kern w:val="0"/>
      <w:sz w:val="24"/>
      <w:szCs w:val="24"/>
    </w:rPr>
  </w:style>
  <w:style w:type="character" w:customStyle="1" w:styleId="180">
    <w:name w:val="页眉 Char"/>
    <w:autoRedefine/>
    <w:qFormat/>
    <w:uiPriority w:val="99"/>
    <w:rPr>
      <w:kern w:val="2"/>
      <w:sz w:val="18"/>
      <w:szCs w:val="18"/>
    </w:rPr>
  </w:style>
  <w:style w:type="character" w:customStyle="1" w:styleId="181">
    <w:name w:val="正文文本 3 Char"/>
    <w:link w:val="17"/>
    <w:autoRedefine/>
    <w:qFormat/>
    <w:uiPriority w:val="0"/>
    <w:rPr>
      <w:rFonts w:ascii="宋体" w:hAnsi="Times New Roman" w:eastAsia="宋体" w:cs="Times New Roman"/>
      <w:b/>
      <w:bCs/>
      <w:color w:val="3366FF"/>
      <w:sz w:val="52"/>
      <w:szCs w:val="52"/>
      <w:lang w:val="zh-CN"/>
    </w:rPr>
  </w:style>
  <w:style w:type="character" w:customStyle="1" w:styleId="182">
    <w:name w:val="HTML 预设格式 字符1"/>
    <w:autoRedefine/>
    <w:semiHidden/>
    <w:qFormat/>
    <w:uiPriority w:val="99"/>
    <w:rPr>
      <w:rFonts w:ascii="Courier New" w:hAnsi="Courier New" w:eastAsia="宋体" w:cs="Courier New"/>
      <w:kern w:val="0"/>
      <w:sz w:val="20"/>
      <w:szCs w:val="20"/>
    </w:rPr>
  </w:style>
  <w:style w:type="character" w:customStyle="1" w:styleId="183">
    <w:name w:val="彩色列表 - 强调文字颜色 1 Char"/>
    <w:link w:val="55"/>
    <w:autoRedefine/>
    <w:qFormat/>
    <w:uiPriority w:val="0"/>
    <w:rPr>
      <w:rFonts w:ascii="宋体"/>
      <w:sz w:val="24"/>
      <w:szCs w:val="24"/>
    </w:rPr>
  </w:style>
  <w:style w:type="character" w:customStyle="1" w:styleId="184">
    <w:name w:val="普通(网站) 字符"/>
    <w:autoRedefine/>
    <w:qFormat/>
    <w:locked/>
    <w:uiPriority w:val="99"/>
    <w:rPr>
      <w:rFonts w:ascii="宋体" w:hAnsi="宋体" w:eastAsia="宋体" w:cs="Times New Roman"/>
      <w:kern w:val="0"/>
      <w:sz w:val="15"/>
      <w:szCs w:val="15"/>
      <w:lang w:val="en-US" w:eastAsia="zh-CN"/>
    </w:rPr>
  </w:style>
  <w:style w:type="character" w:customStyle="1" w:styleId="185">
    <w:name w:val="纯文本 字符4"/>
    <w:basedOn w:val="38"/>
    <w:autoRedefine/>
    <w:semiHidden/>
    <w:qFormat/>
    <w:uiPriority w:val="99"/>
    <w:rPr>
      <w:rFonts w:ascii="等线" w:hAnsi="Courier New" w:cs="Courier New"/>
    </w:rPr>
  </w:style>
  <w:style w:type="character" w:customStyle="1" w:styleId="186">
    <w:name w:val="批注文字 Char2"/>
    <w:basedOn w:val="38"/>
    <w:link w:val="16"/>
    <w:autoRedefine/>
    <w:semiHidden/>
    <w:qFormat/>
    <w:uiPriority w:val="99"/>
  </w:style>
  <w:style w:type="character" w:customStyle="1" w:styleId="187">
    <w:name w:val="批注主题 字符2"/>
    <w:basedOn w:val="186"/>
    <w:autoRedefine/>
    <w:semiHidden/>
    <w:qFormat/>
    <w:uiPriority w:val="99"/>
    <w:rPr>
      <w:b/>
      <w:bCs/>
    </w:rPr>
  </w:style>
  <w:style w:type="character" w:customStyle="1" w:styleId="188">
    <w:name w:val="标题 字符3"/>
    <w:basedOn w:val="38"/>
    <w:autoRedefine/>
    <w:qFormat/>
    <w:uiPriority w:val="10"/>
    <w:rPr>
      <w:rFonts w:ascii="等线 Light" w:hAnsi="等线 Light" w:eastAsia="等线 Light" w:cs="黑体"/>
      <w:b/>
      <w:bCs/>
      <w:sz w:val="32"/>
      <w:szCs w:val="32"/>
    </w:rPr>
  </w:style>
  <w:style w:type="character" w:customStyle="1" w:styleId="189">
    <w:name w:val="正文文本缩进 字符3"/>
    <w:basedOn w:val="38"/>
    <w:autoRedefine/>
    <w:semiHidden/>
    <w:qFormat/>
    <w:uiPriority w:val="99"/>
  </w:style>
  <w:style w:type="character" w:customStyle="1" w:styleId="190">
    <w:name w:val="正文文本 字符4"/>
    <w:basedOn w:val="38"/>
    <w:autoRedefine/>
    <w:semiHidden/>
    <w:qFormat/>
    <w:uiPriority w:val="99"/>
  </w:style>
  <w:style w:type="character" w:customStyle="1" w:styleId="191">
    <w:name w:val="正文文本缩进 3 字符2"/>
    <w:basedOn w:val="38"/>
    <w:autoRedefine/>
    <w:semiHidden/>
    <w:qFormat/>
    <w:uiPriority w:val="99"/>
    <w:rPr>
      <w:sz w:val="16"/>
      <w:szCs w:val="16"/>
    </w:rPr>
  </w:style>
  <w:style w:type="character" w:customStyle="1" w:styleId="192">
    <w:name w:val="页眉 字符2"/>
    <w:basedOn w:val="38"/>
    <w:autoRedefine/>
    <w:semiHidden/>
    <w:qFormat/>
    <w:uiPriority w:val="99"/>
    <w:rPr>
      <w:sz w:val="18"/>
      <w:szCs w:val="18"/>
    </w:rPr>
  </w:style>
  <w:style w:type="character" w:customStyle="1" w:styleId="193">
    <w:name w:val="批注框文本 字符2"/>
    <w:basedOn w:val="38"/>
    <w:autoRedefine/>
    <w:semiHidden/>
    <w:qFormat/>
    <w:uiPriority w:val="99"/>
    <w:rPr>
      <w:sz w:val="18"/>
      <w:szCs w:val="18"/>
    </w:rPr>
  </w:style>
  <w:style w:type="character" w:customStyle="1" w:styleId="194">
    <w:name w:val="HTML 预设格式 字符2"/>
    <w:basedOn w:val="38"/>
    <w:autoRedefine/>
    <w:semiHidden/>
    <w:qFormat/>
    <w:uiPriority w:val="99"/>
    <w:rPr>
      <w:rFonts w:ascii="Courier New" w:hAnsi="Courier New" w:cs="Courier New"/>
      <w:sz w:val="20"/>
      <w:szCs w:val="20"/>
    </w:rPr>
  </w:style>
  <w:style w:type="character" w:customStyle="1" w:styleId="195">
    <w:name w:val="页脚 字符2"/>
    <w:basedOn w:val="38"/>
    <w:autoRedefine/>
    <w:semiHidden/>
    <w:qFormat/>
    <w:uiPriority w:val="99"/>
    <w:rPr>
      <w:sz w:val="18"/>
      <w:szCs w:val="18"/>
    </w:rPr>
  </w:style>
  <w:style w:type="character" w:customStyle="1" w:styleId="196">
    <w:name w:val="正文文本缩进 2 字符2"/>
    <w:basedOn w:val="38"/>
    <w:autoRedefine/>
    <w:semiHidden/>
    <w:qFormat/>
    <w:uiPriority w:val="99"/>
  </w:style>
  <w:style w:type="character" w:customStyle="1" w:styleId="197">
    <w:name w:val="正文文本 3 字符2"/>
    <w:basedOn w:val="38"/>
    <w:autoRedefine/>
    <w:semiHidden/>
    <w:qFormat/>
    <w:uiPriority w:val="99"/>
    <w:rPr>
      <w:sz w:val="16"/>
      <w:szCs w:val="16"/>
    </w:rPr>
  </w:style>
  <w:style w:type="character" w:customStyle="1" w:styleId="198">
    <w:name w:val="正文文本 2 字符2"/>
    <w:basedOn w:val="38"/>
    <w:autoRedefine/>
    <w:semiHidden/>
    <w:qFormat/>
    <w:uiPriority w:val="99"/>
  </w:style>
  <w:style w:type="character" w:customStyle="1" w:styleId="199">
    <w:name w:val="文档结构图 字符2"/>
    <w:basedOn w:val="38"/>
    <w:autoRedefine/>
    <w:semiHidden/>
    <w:qFormat/>
    <w:uiPriority w:val="99"/>
    <w:rPr>
      <w:rFonts w:ascii="Microsoft YaHei UI" w:eastAsia="Microsoft YaHei UI"/>
      <w:sz w:val="18"/>
      <w:szCs w:val="18"/>
    </w:rPr>
  </w:style>
  <w:style w:type="character" w:customStyle="1" w:styleId="200">
    <w:name w:val="日期 字符2"/>
    <w:basedOn w:val="38"/>
    <w:autoRedefine/>
    <w:semiHidden/>
    <w:qFormat/>
    <w:uiPriority w:val="99"/>
  </w:style>
  <w:style w:type="character" w:customStyle="1" w:styleId="201">
    <w:name w:val="正文首行缩进 Char"/>
    <w:basedOn w:val="146"/>
    <w:link w:val="35"/>
    <w:autoRedefine/>
    <w:semiHidden/>
    <w:qFormat/>
    <w:uiPriority w:val="99"/>
    <w:rPr>
      <w:rFonts w:ascii="宋体" w:eastAsia="宋体"/>
      <w:b w:val="0"/>
      <w:bCs w:val="0"/>
      <w:sz w:val="84"/>
      <w:szCs w:val="84"/>
      <w:lang w:val="zh-CN"/>
    </w:rPr>
  </w:style>
  <w:style w:type="character" w:customStyle="1" w:styleId="202">
    <w:name w:val="10"/>
    <w:basedOn w:val="38"/>
    <w:autoRedefine/>
    <w:qFormat/>
    <w:uiPriority w:val="0"/>
    <w:rPr>
      <w:rFonts w:hint="default" w:ascii="Times New Roman" w:hAnsi="Times New Roman" w:cs="Times New Roman"/>
    </w:rPr>
  </w:style>
  <w:style w:type="character" w:customStyle="1" w:styleId="203">
    <w:name w:val="15"/>
    <w:basedOn w:val="38"/>
    <w:autoRedefine/>
    <w:qFormat/>
    <w:uiPriority w:val="0"/>
    <w:rPr>
      <w:rFonts w:hint="eastAsia" w:ascii="宋体" w:hAnsi="宋体" w:eastAsia="宋体" w:cs="宋体"/>
      <w:color w:val="FF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115</Pages>
  <Words>17539</Words>
  <Characters>18434</Characters>
  <Lines>1</Lines>
  <Paragraphs>1</Paragraphs>
  <TotalTime>43</TotalTime>
  <ScaleCrop>false</ScaleCrop>
  <LinksUpToDate>false</LinksUpToDate>
  <CharactersWithSpaces>18806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WPS_1528900434</cp:lastModifiedBy>
  <cp:lastPrinted>2024-07-01T02:48:00Z</cp:lastPrinted>
  <dcterms:modified xsi:type="dcterms:W3CDTF">2025-04-02T08:58:31Z</dcterms:modified>
  <dc:title>东莞市污泥集中处理处置项目-生产区标段第三方检测（不含基桩完整性检测）服务采购项目</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3829313A215A4034B346378287CDF13F_13</vt:lpwstr>
  </property>
  <property fmtid="{D5CDD505-2E9C-101B-9397-08002B2CF9AE}" pid="4" name="KSOTemplateDocerSaveRecord">
    <vt:lpwstr>eyJoZGlkIjoiOGY5ODE3YmQ4YWE2MTA3ODk4MTRlMWQ3NmVkMTlhZjkiLCJ1c2VySWQiOiIzNzgyNDAxOTUifQ==</vt:lpwstr>
  </property>
</Properties>
</file>