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A579B">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28431A55">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东莞市供水计量设施更新项目(2025年计量仪表采购)－旋翼式远传水表</w:t>
      </w:r>
    </w:p>
    <w:p w14:paraId="3E7DACBB">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135FEF99">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1B24CDA5">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7FDB6A6E">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7544649B">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39028A3B">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06750F47">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48702F3F">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1B200C43">
      <w:pPr>
        <w:autoSpaceDE w:val="0"/>
        <w:autoSpaceDN w:val="0"/>
        <w:adjustRightInd w:val="0"/>
        <w:spacing w:line="480" w:lineRule="auto"/>
        <w:ind w:left="1842" w:leftChars="877" w:firstLine="19" w:firstLineChars="6"/>
        <w:jc w:val="left"/>
        <w:rPr>
          <w:rFonts w:hint="eastAsia" w:ascii="宋体" w:hAnsi="宋体" w:eastAsia="宋体" w:cs="Times New Roman"/>
          <w:b/>
          <w:bCs/>
          <w:color w:val="auto"/>
          <w:sz w:val="32"/>
          <w:szCs w:val="32"/>
          <w:highlight w:val="none"/>
          <w:u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号：SSWSSZ12501144</w:t>
      </w:r>
    </w:p>
    <w:p w14:paraId="72E037FD">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人：东莞市水务集团供水有限公司</w:t>
      </w:r>
    </w:p>
    <w:p w14:paraId="4614B171">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招标代理机构：东莞市达盛招标代理有限公司</w:t>
      </w:r>
    </w:p>
    <w:p w14:paraId="25D0FC3D">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079FB288">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5D506704">
      <w:pPr>
        <w:pageBreakBefore w:val="0"/>
        <w:autoSpaceDE w:val="0"/>
        <w:autoSpaceDN w:val="0"/>
        <w:adjustRightInd w:val="0"/>
        <w:spacing w:line="240" w:lineRule="auto"/>
        <w:ind w:right="-23" w:rightChars="-11"/>
        <w:jc w:val="center"/>
        <w:rPr>
          <w:rFonts w:ascii="宋体" w:hAnsi="宋体" w:eastAsia="宋体" w:cs="宋体"/>
          <w:b/>
          <w:color w:val="auto"/>
          <w:sz w:val="36"/>
          <w:szCs w:val="36"/>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07</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02</w:t>
      </w:r>
      <w:r>
        <w:rPr>
          <w:rFonts w:hint="eastAsia" w:ascii="宋体" w:hAnsi="宋体" w:eastAsia="宋体" w:cs="宋体"/>
          <w:b/>
          <w:bCs/>
          <w:color w:val="auto"/>
          <w:sz w:val="32"/>
          <w:szCs w:val="32"/>
          <w:highlight w:val="none"/>
          <w:lang w:val="zh-CN"/>
        </w:rPr>
        <w:t>日</w:t>
      </w:r>
      <w:r>
        <w:rPr>
          <w:rFonts w:ascii="宋体" w:hAnsi="宋体" w:eastAsia="宋体" w:cs="Times New Roman"/>
          <w:b/>
          <w:bCs/>
          <w:color w:val="auto"/>
          <w:kern w:val="0"/>
          <w:sz w:val="32"/>
          <w:szCs w:val="32"/>
          <w:highlight w:val="none"/>
          <w:lang w:val="zh-CN"/>
        </w:rPr>
        <w:br w:type="page"/>
      </w:r>
      <w:r>
        <w:rPr>
          <w:rFonts w:hint="eastAsia" w:ascii="宋体" w:hAnsi="宋体" w:eastAsia="宋体" w:cs="宋体"/>
          <w:b/>
          <w:color w:val="auto"/>
          <w:sz w:val="36"/>
          <w:szCs w:val="36"/>
          <w:highlight w:val="none"/>
          <w:lang w:bidi="ar"/>
        </w:rPr>
        <w:t>重要提示</w:t>
      </w:r>
    </w:p>
    <w:p w14:paraId="6EB10184">
      <w:pPr>
        <w:widowControl w:val="0"/>
        <w:spacing w:before="0" w:beforeAutospacing="0" w:after="0" w:afterAutospacing="0" w:line="360" w:lineRule="auto"/>
        <w:ind w:firstLine="480" w:firstLineChars="200"/>
        <w:jc w:val="both"/>
        <w:rPr>
          <w:rFonts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 本次招标项目采用电子标书。</w:t>
      </w:r>
    </w:p>
    <w:p w14:paraId="42AE467E">
      <w:pPr>
        <w:widowControl w:val="0"/>
        <w:spacing w:before="0" w:beforeAutospacing="0" w:after="0" w:afterAutospacing="0" w:line="360" w:lineRule="auto"/>
        <w:ind w:firstLine="480" w:firstLineChars="200"/>
        <w:jc w:val="both"/>
        <w:rPr>
          <w:rFonts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 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1C9CEBB6">
      <w:pPr>
        <w:widowControl w:val="0"/>
        <w:spacing w:before="0" w:beforeAutospacing="0" w:after="0" w:afterAutospacing="0" w:line="360" w:lineRule="auto"/>
        <w:ind w:firstLine="480" w:firstLineChars="200"/>
        <w:jc w:val="both"/>
        <w:rPr>
          <w:rFonts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 除特别说明外，招标文件相关条款中提及的以及第六篇“投标文件格式”中包括但不限于“企业数字证书电子签名”及“电子签名”等要求签名的均指由数字证书电子签章或电子签名。</w:t>
      </w:r>
    </w:p>
    <w:p w14:paraId="6C0FE64B">
      <w:pPr>
        <w:widowControl w:val="0"/>
        <w:spacing w:before="0" w:beforeAutospacing="0" w:after="0" w:afterAutospacing="0" w:line="360" w:lineRule="auto"/>
        <w:ind w:firstLine="480" w:firstLineChars="200"/>
        <w:jc w:val="both"/>
        <w:rPr>
          <w:rFonts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 投标人必须使用计算机互联网络（以下简称网络）将投标文件以jjb格式上传提交至东莞市公共资源交易E网通管理平台建设工程交易系统（以下简称交易系统），并在网上签到时，关联到对应的投标项目中。</w:t>
      </w:r>
    </w:p>
    <w:p w14:paraId="3D91DEB4">
      <w:pPr>
        <w:widowControl w:val="0"/>
        <w:spacing w:before="0" w:beforeAutospacing="0" w:after="0" w:afterAutospacing="0" w:line="360" w:lineRule="auto"/>
        <w:ind w:firstLine="480" w:firstLineChars="200"/>
        <w:jc w:val="both"/>
        <w:rPr>
          <w:rFonts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 投标人在交易系统中对投标文件进行解密的电子</w:t>
      </w:r>
      <w:r>
        <w:rPr>
          <w:rFonts w:ascii="宋体" w:hAnsi="宋体" w:eastAsia="宋体" w:cs="宋体"/>
          <w:color w:val="auto"/>
          <w:kern w:val="2"/>
          <w:sz w:val="24"/>
          <w:szCs w:val="24"/>
          <w:highlight w:val="none"/>
          <w:lang w:val="en-US" w:eastAsia="zh-CN" w:bidi="ar"/>
        </w:rPr>
        <w:t>签名</w:t>
      </w:r>
      <w:r>
        <w:rPr>
          <w:rFonts w:hint="eastAsia" w:ascii="宋体" w:hAnsi="宋体" w:eastAsia="宋体" w:cs="宋体"/>
          <w:color w:val="auto"/>
          <w:kern w:val="2"/>
          <w:sz w:val="24"/>
          <w:szCs w:val="24"/>
          <w:highlight w:val="none"/>
          <w:lang w:val="en-US" w:eastAsia="zh-CN" w:bidi="ar"/>
        </w:rPr>
        <w:t>认证证书必须为机构证书或制作本项目投标文件的业务证书。</w:t>
      </w:r>
    </w:p>
    <w:p w14:paraId="34ADD22C">
      <w:pPr>
        <w:widowControl w:val="0"/>
        <w:spacing w:before="0" w:beforeAutospacing="0" w:after="0" w:afterAutospacing="0" w:line="360" w:lineRule="auto"/>
        <w:ind w:firstLine="480" w:firstLineChars="200"/>
        <w:jc w:val="both"/>
        <w:rPr>
          <w:rFonts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6. 投标人应及时提交投标文件，如在投标文件截止时间前因网络等任何原因未能成功上传投标文件，相关后果由投标人自行承担。</w:t>
      </w:r>
    </w:p>
    <w:p w14:paraId="294078EC">
      <w:pPr>
        <w:widowControl w:val="0"/>
        <w:spacing w:before="0" w:beforeAutospacing="0" w:after="0" w:afterAutospacing="0" w:line="360" w:lineRule="auto"/>
        <w:ind w:firstLine="480" w:firstLineChars="200"/>
        <w:jc w:val="both"/>
        <w:rPr>
          <w:rFonts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146C81C9">
      <w:pPr>
        <w:widowControl w:val="0"/>
        <w:spacing w:before="0" w:beforeAutospacing="0" w:after="0" w:afterAutospacing="0" w:line="360" w:lineRule="auto"/>
        <w:ind w:firstLine="480" w:firstLineChars="200"/>
        <w:jc w:val="both"/>
        <w:rPr>
          <w:rFonts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8.如未在投标文件递交截止时间前匹配对应的投标文件，视为投标人未提交。本招标文件中签到、投标文件匹配、投标保证金关联等时间均以东莞市公共资源交易E网通管理平台时间为准。</w:t>
      </w:r>
    </w:p>
    <w:p w14:paraId="3FF4EE48">
      <w:pPr>
        <w:widowControl w:val="0"/>
        <w:spacing w:before="0" w:beforeAutospacing="0" w:after="0" w:afterAutospacing="0" w:line="360" w:lineRule="auto"/>
        <w:ind w:firstLine="480" w:firstLineChars="200"/>
        <w:jc w:val="both"/>
        <w:rPr>
          <w:rFonts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6358A7FD">
      <w:pPr>
        <w:autoSpaceDE w:val="0"/>
        <w:autoSpaceDN w:val="0"/>
        <w:adjustRightInd w:val="0"/>
        <w:spacing w:line="360" w:lineRule="auto"/>
        <w:ind w:left="357" w:leftChars="170" w:right="-23" w:rightChars="-11" w:firstLine="211" w:firstLineChars="100"/>
        <w:jc w:val="center"/>
        <w:rPr>
          <w:rFonts w:ascii="宋体" w:hAnsi="宋体" w:eastAsia="宋体" w:cs="宋体"/>
          <w:b/>
          <w:bCs/>
          <w:color w:val="auto"/>
          <w:kern w:val="0"/>
          <w:sz w:val="52"/>
          <w:szCs w:val="52"/>
          <w:highlight w:val="none"/>
        </w:rPr>
      </w:pPr>
      <w:r>
        <w:rPr>
          <w:rFonts w:ascii="宋体" w:hAnsi="宋体" w:eastAsia="宋体" w:cs="Times New Roman"/>
          <w:b/>
          <w:color w:val="auto"/>
          <w:kern w:val="0"/>
          <w:szCs w:val="21"/>
          <w:highlight w:val="none"/>
        </w:rPr>
        <w:br w:type="page"/>
      </w:r>
    </w:p>
    <w:sdt>
      <w:sdtPr>
        <w:rPr>
          <w:rFonts w:ascii="宋体" w:hAnsi="宋体" w:eastAsia="宋体" w:cstheme="minorBidi"/>
          <w:color w:val="auto"/>
          <w:kern w:val="2"/>
          <w:sz w:val="21"/>
          <w:szCs w:val="22"/>
          <w:highlight w:val="none"/>
          <w:lang w:val="en-US" w:eastAsia="zh-CN" w:bidi="ar-SA"/>
        </w:rPr>
        <w:id w:val="147481920"/>
        <w15:color w:val="DBDBDB"/>
        <w:docPartObj>
          <w:docPartGallery w:val="Table of Contents"/>
          <w:docPartUnique/>
        </w:docPartObj>
      </w:sdtPr>
      <w:sdtEndPr>
        <w:rPr>
          <w:rFonts w:hint="eastAsia" w:ascii="宋体" w:hAnsi="宋体" w:eastAsia="宋体" w:cs="宋体"/>
          <w:color w:val="auto"/>
          <w:kern w:val="2"/>
          <w:sz w:val="21"/>
          <w:szCs w:val="21"/>
          <w:highlight w:val="none"/>
          <w:lang w:val="en-US" w:eastAsia="zh-CN" w:bidi="ar-SA"/>
        </w:rPr>
      </w:sdtEndPr>
      <w:sdtContent>
        <w:p w14:paraId="1FCA9E46">
          <w:pPr>
            <w:spacing w:before="0" w:beforeLines="0" w:after="0" w:afterLines="0" w:line="240" w:lineRule="auto"/>
            <w:ind w:left="0" w:leftChars="0" w:right="0" w:rightChars="0" w:firstLine="0" w:firstLineChars="0"/>
            <w:jc w:val="center"/>
            <w:rPr>
              <w:b/>
              <w:bCs/>
              <w:color w:val="auto"/>
              <w:sz w:val="28"/>
              <w:szCs w:val="28"/>
              <w:highlight w:val="none"/>
            </w:rPr>
          </w:pPr>
          <w:bookmarkStart w:id="0" w:name="_Toc12024"/>
          <w:bookmarkStart w:id="1" w:name="_Toc195714214"/>
          <w:bookmarkStart w:id="2" w:name="_Toc4869"/>
          <w:bookmarkStart w:id="3" w:name="_Toc142508310"/>
          <w:bookmarkStart w:id="4" w:name="_Toc17326"/>
          <w:bookmarkStart w:id="5" w:name="_Toc2723_WPSOffice_Level1"/>
          <w:bookmarkStart w:id="6" w:name="_Toc450662846"/>
          <w:bookmarkStart w:id="7" w:name="_Toc20957"/>
          <w:bookmarkStart w:id="8" w:name="_Toc486167660"/>
          <w:r>
            <w:rPr>
              <w:rFonts w:ascii="宋体" w:hAnsi="宋体" w:eastAsia="宋体"/>
              <w:b/>
              <w:bCs/>
              <w:color w:val="auto"/>
              <w:sz w:val="28"/>
              <w:szCs w:val="28"/>
              <w:highlight w:val="none"/>
            </w:rPr>
            <w:t>目录</w:t>
          </w:r>
        </w:p>
        <w:p w14:paraId="41B2E5D9">
          <w:pPr>
            <w:pStyle w:val="31"/>
            <w:tabs>
              <w:tab w:val="right" w:leader="dot" w:pos="10154"/>
            </w:tabs>
            <w:rPr>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_Toc8588 </w:instrText>
          </w:r>
          <w:r>
            <w:rPr>
              <w:rFonts w:hint="eastAsia" w:ascii="宋体" w:hAnsi="宋体" w:eastAsia="宋体" w:cs="宋体"/>
              <w:color w:val="auto"/>
              <w:szCs w:val="21"/>
              <w:highlight w:val="none"/>
            </w:rPr>
            <w:fldChar w:fldCharType="separate"/>
          </w:r>
          <w:r>
            <w:rPr>
              <w:rFonts w:ascii="宋体" w:hAnsi="宋体" w:eastAsia="宋体" w:cs="Times New Roman"/>
              <w:bCs/>
              <w:color w:val="auto"/>
              <w:kern w:val="44"/>
              <w:szCs w:val="32"/>
              <w:highlight w:val="none"/>
              <w:lang w:val="zh-CN"/>
            </w:rPr>
            <w:t>第一篇 招标公告</w:t>
          </w:r>
          <w:r>
            <w:rPr>
              <w:color w:val="auto"/>
              <w:highlight w:val="none"/>
            </w:rPr>
            <w:tab/>
          </w:r>
          <w:r>
            <w:rPr>
              <w:color w:val="auto"/>
              <w:highlight w:val="none"/>
            </w:rPr>
            <w:fldChar w:fldCharType="begin"/>
          </w:r>
          <w:r>
            <w:rPr>
              <w:color w:val="auto"/>
              <w:highlight w:val="none"/>
            </w:rPr>
            <w:instrText xml:space="preserve"> PAGEREF _Toc8588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1"/>
              <w:highlight w:val="none"/>
            </w:rPr>
            <w:fldChar w:fldCharType="end"/>
          </w:r>
        </w:p>
        <w:p w14:paraId="1DD6A73D">
          <w:pPr>
            <w:pStyle w:val="31"/>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_Toc16068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第二篇</w:t>
          </w:r>
          <w:r>
            <w:rPr>
              <w:rFonts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_Toc16068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1"/>
              <w:highlight w:val="none"/>
            </w:rPr>
            <w:fldChar w:fldCharType="end"/>
          </w:r>
        </w:p>
        <w:p w14:paraId="36D459E7">
          <w:pPr>
            <w:pStyle w:val="31"/>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_Toc29575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_Toc29575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1"/>
              <w:highlight w:val="none"/>
            </w:rPr>
            <w:fldChar w:fldCharType="end"/>
          </w:r>
        </w:p>
        <w:p w14:paraId="0EA23AC2">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_Toc11824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_Toc11824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1"/>
              <w:highlight w:val="none"/>
            </w:rPr>
            <w:fldChar w:fldCharType="end"/>
          </w:r>
        </w:p>
        <w:p w14:paraId="74C72878">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_Toc14540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_Toc14540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1"/>
              <w:highlight w:val="none"/>
            </w:rPr>
            <w:fldChar w:fldCharType="end"/>
          </w:r>
        </w:p>
        <w:p w14:paraId="34FF64FA">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_Toc22753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合格的货物</w:t>
          </w:r>
          <w:r>
            <w:rPr>
              <w:color w:val="auto"/>
              <w:highlight w:val="none"/>
            </w:rPr>
            <w:tab/>
          </w:r>
          <w:r>
            <w:rPr>
              <w:color w:val="auto"/>
              <w:highlight w:val="none"/>
            </w:rPr>
            <w:fldChar w:fldCharType="begin"/>
          </w:r>
          <w:r>
            <w:rPr>
              <w:color w:val="auto"/>
              <w:highlight w:val="none"/>
            </w:rPr>
            <w:instrText xml:space="preserve"> PAGEREF _Toc22753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1"/>
              <w:highlight w:val="none"/>
            </w:rPr>
            <w:fldChar w:fldCharType="end"/>
          </w:r>
        </w:p>
        <w:p w14:paraId="2D1F8CCF">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_Toc10715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_Toc10715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1"/>
              <w:highlight w:val="none"/>
            </w:rPr>
            <w:fldChar w:fldCharType="end"/>
          </w:r>
        </w:p>
        <w:p w14:paraId="20F47A63">
          <w:pPr>
            <w:pStyle w:val="31"/>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_Toc4207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_Toc4207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1"/>
              <w:highlight w:val="none"/>
            </w:rPr>
            <w:fldChar w:fldCharType="end"/>
          </w:r>
        </w:p>
        <w:p w14:paraId="4C464958">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_Toc18585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_Toc18585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1"/>
              <w:highlight w:val="none"/>
            </w:rPr>
            <w:fldChar w:fldCharType="end"/>
          </w:r>
        </w:p>
        <w:p w14:paraId="6F580930">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_Toc13082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_Toc13082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14:paraId="2C5BAD28">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_Toc30349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_Toc30349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14:paraId="36FAB747">
          <w:pPr>
            <w:pStyle w:val="31"/>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_Toc12164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_Toc12164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14:paraId="38B3B6E7">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_Toc5662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_Toc5662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14:paraId="64904776">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_Toc7040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9</w:t>
          </w:r>
          <w:r>
            <w:rPr>
              <w:rFonts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_Toc7040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1"/>
              <w:highlight w:val="none"/>
            </w:rPr>
            <w:fldChar w:fldCharType="end"/>
          </w:r>
        </w:p>
        <w:p w14:paraId="55FB8698">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_Toc22199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_Toc22199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1"/>
              <w:highlight w:val="none"/>
            </w:rPr>
            <w:fldChar w:fldCharType="end"/>
          </w:r>
        </w:p>
        <w:p w14:paraId="0F235625">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_Toc7724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r>
            <w:rPr>
              <w:color w:val="auto"/>
              <w:highlight w:val="none"/>
            </w:rPr>
            <w:tab/>
          </w:r>
          <w:r>
            <w:rPr>
              <w:color w:val="auto"/>
              <w:highlight w:val="none"/>
            </w:rPr>
            <w:fldChar w:fldCharType="begin"/>
          </w:r>
          <w:r>
            <w:rPr>
              <w:color w:val="auto"/>
              <w:highlight w:val="none"/>
            </w:rPr>
            <w:instrText xml:space="preserve"> PAGEREF _Toc7724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1"/>
              <w:highlight w:val="none"/>
            </w:rPr>
            <w:fldChar w:fldCharType="end"/>
          </w:r>
        </w:p>
        <w:p w14:paraId="54E8C8A8">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_Toc2800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_Toc2800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14:paraId="7CE70D78">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_Toc12260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_Toc12260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14:paraId="0026EF2A">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_Toc8506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_Toc8506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1"/>
              <w:highlight w:val="none"/>
            </w:rPr>
            <w:fldChar w:fldCharType="end"/>
          </w:r>
        </w:p>
        <w:p w14:paraId="59DB60BB">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_Toc1752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_Toc1752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1"/>
              <w:highlight w:val="none"/>
            </w:rPr>
            <w:fldChar w:fldCharType="end"/>
          </w:r>
        </w:p>
        <w:p w14:paraId="0BF176DA">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_Toc23189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_Toc23189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1"/>
              <w:highlight w:val="none"/>
            </w:rPr>
            <w:fldChar w:fldCharType="end"/>
          </w:r>
        </w:p>
        <w:p w14:paraId="75681444">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_Toc32072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投标文件的编制和签署</w:t>
          </w:r>
          <w:r>
            <w:rPr>
              <w:color w:val="auto"/>
              <w:highlight w:val="none"/>
            </w:rPr>
            <w:tab/>
          </w:r>
          <w:r>
            <w:rPr>
              <w:color w:val="auto"/>
              <w:highlight w:val="none"/>
            </w:rPr>
            <w:fldChar w:fldCharType="begin"/>
          </w:r>
          <w:r>
            <w:rPr>
              <w:color w:val="auto"/>
              <w:highlight w:val="none"/>
            </w:rPr>
            <w:instrText xml:space="preserve"> PAGEREF _Toc32072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1"/>
              <w:highlight w:val="none"/>
            </w:rPr>
            <w:fldChar w:fldCharType="end"/>
          </w:r>
        </w:p>
        <w:p w14:paraId="7B2B8425">
          <w:pPr>
            <w:pStyle w:val="31"/>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_Toc30815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四、投标</w:t>
          </w:r>
          <w:r>
            <w:rPr>
              <w:color w:val="auto"/>
              <w:highlight w:val="none"/>
            </w:rPr>
            <w:tab/>
          </w:r>
          <w:r>
            <w:rPr>
              <w:color w:val="auto"/>
              <w:highlight w:val="none"/>
            </w:rPr>
            <w:fldChar w:fldCharType="begin"/>
          </w:r>
          <w:r>
            <w:rPr>
              <w:color w:val="auto"/>
              <w:highlight w:val="none"/>
            </w:rPr>
            <w:instrText xml:space="preserve"> PAGEREF _Toc30815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1"/>
              <w:highlight w:val="none"/>
            </w:rPr>
            <w:fldChar w:fldCharType="end"/>
          </w:r>
        </w:p>
        <w:p w14:paraId="5B22EB90">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_Toc26296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投标文件的加密</w:t>
          </w:r>
          <w:r>
            <w:rPr>
              <w:color w:val="auto"/>
              <w:highlight w:val="none"/>
            </w:rPr>
            <w:tab/>
          </w:r>
          <w:r>
            <w:rPr>
              <w:color w:val="auto"/>
              <w:highlight w:val="none"/>
            </w:rPr>
            <w:fldChar w:fldCharType="begin"/>
          </w:r>
          <w:r>
            <w:rPr>
              <w:color w:val="auto"/>
              <w:highlight w:val="none"/>
            </w:rPr>
            <w:instrText xml:space="preserve"> PAGEREF _Toc26296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1"/>
              <w:highlight w:val="none"/>
            </w:rPr>
            <w:fldChar w:fldCharType="end"/>
          </w:r>
        </w:p>
        <w:p w14:paraId="1957D3C8">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_Toc8515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投标文件的提交</w:t>
          </w:r>
          <w:r>
            <w:rPr>
              <w:color w:val="auto"/>
              <w:highlight w:val="none"/>
            </w:rPr>
            <w:tab/>
          </w:r>
          <w:r>
            <w:rPr>
              <w:color w:val="auto"/>
              <w:highlight w:val="none"/>
            </w:rPr>
            <w:fldChar w:fldCharType="begin"/>
          </w:r>
          <w:r>
            <w:rPr>
              <w:color w:val="auto"/>
              <w:highlight w:val="none"/>
            </w:rPr>
            <w:instrText xml:space="preserve"> PAGEREF _Toc8515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1"/>
              <w:highlight w:val="none"/>
            </w:rPr>
            <w:fldChar w:fldCharType="end"/>
          </w:r>
        </w:p>
        <w:p w14:paraId="01399B94">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_Toc13203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投标会时间、地点及投标文件提交的截止时间</w:t>
          </w:r>
          <w:r>
            <w:rPr>
              <w:color w:val="auto"/>
              <w:highlight w:val="none"/>
            </w:rPr>
            <w:tab/>
          </w:r>
          <w:r>
            <w:rPr>
              <w:color w:val="auto"/>
              <w:highlight w:val="none"/>
            </w:rPr>
            <w:fldChar w:fldCharType="begin"/>
          </w:r>
          <w:r>
            <w:rPr>
              <w:color w:val="auto"/>
              <w:highlight w:val="none"/>
            </w:rPr>
            <w:instrText xml:space="preserve"> PAGEREF _Toc13203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1"/>
              <w:highlight w:val="none"/>
            </w:rPr>
            <w:fldChar w:fldCharType="end"/>
          </w:r>
        </w:p>
        <w:p w14:paraId="2EF26902">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_Toc32446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投标文件的拒绝</w:t>
          </w:r>
          <w:r>
            <w:rPr>
              <w:color w:val="auto"/>
              <w:highlight w:val="none"/>
            </w:rPr>
            <w:tab/>
          </w:r>
          <w:r>
            <w:rPr>
              <w:color w:val="auto"/>
              <w:highlight w:val="none"/>
            </w:rPr>
            <w:fldChar w:fldCharType="begin"/>
          </w:r>
          <w:r>
            <w:rPr>
              <w:color w:val="auto"/>
              <w:highlight w:val="none"/>
            </w:rPr>
            <w:instrText xml:space="preserve"> PAGEREF _Toc32446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1"/>
              <w:highlight w:val="none"/>
            </w:rPr>
            <w:fldChar w:fldCharType="end"/>
          </w:r>
        </w:p>
        <w:p w14:paraId="5F725635">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_Toc32536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r>
            <w:rPr>
              <w:color w:val="auto"/>
              <w:highlight w:val="none"/>
            </w:rPr>
            <w:tab/>
          </w:r>
          <w:r>
            <w:rPr>
              <w:color w:val="auto"/>
              <w:highlight w:val="none"/>
            </w:rPr>
            <w:fldChar w:fldCharType="begin"/>
          </w:r>
          <w:r>
            <w:rPr>
              <w:color w:val="auto"/>
              <w:highlight w:val="none"/>
            </w:rPr>
            <w:instrText xml:space="preserve"> PAGEREF _Toc32536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1"/>
              <w:highlight w:val="none"/>
            </w:rPr>
            <w:fldChar w:fldCharType="end"/>
          </w:r>
        </w:p>
        <w:p w14:paraId="5A2A14C8">
          <w:pPr>
            <w:pStyle w:val="31"/>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_Toc24553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_Toc24553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1"/>
              <w:highlight w:val="none"/>
            </w:rPr>
            <w:fldChar w:fldCharType="end"/>
          </w:r>
        </w:p>
        <w:p w14:paraId="10FFDE74">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_Toc16777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_Toc16777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1"/>
              <w:highlight w:val="none"/>
            </w:rPr>
            <w:fldChar w:fldCharType="end"/>
          </w:r>
        </w:p>
        <w:p w14:paraId="6EB33CDA">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_Toc21343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24</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_Toc21343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1"/>
              <w:highlight w:val="none"/>
            </w:rPr>
            <w:fldChar w:fldCharType="end"/>
          </w:r>
        </w:p>
        <w:p w14:paraId="70873A8C">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_Toc28911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_Toc28911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1"/>
              <w:highlight w:val="none"/>
            </w:rPr>
            <w:fldChar w:fldCharType="end"/>
          </w:r>
        </w:p>
        <w:p w14:paraId="2F032747">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_Toc31092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r>
            <w:rPr>
              <w:color w:val="auto"/>
              <w:highlight w:val="none"/>
            </w:rPr>
            <w:tab/>
          </w:r>
          <w:r>
            <w:rPr>
              <w:color w:val="auto"/>
              <w:highlight w:val="none"/>
            </w:rPr>
            <w:fldChar w:fldCharType="begin"/>
          </w:r>
          <w:r>
            <w:rPr>
              <w:color w:val="auto"/>
              <w:highlight w:val="none"/>
            </w:rPr>
            <w:instrText xml:space="preserve"> PAGEREF _Toc31092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1"/>
              <w:highlight w:val="none"/>
            </w:rPr>
            <w:fldChar w:fldCharType="end"/>
          </w:r>
        </w:p>
        <w:p w14:paraId="32A200E1">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_Toc27897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_Toc27897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14:paraId="74BE7807">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_Toc6432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_Toc6432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14:paraId="222B4A51">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_Toc14005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_Toc14005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14:paraId="32323690">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_Toc5451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_Toc5451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1"/>
              <w:highlight w:val="none"/>
            </w:rPr>
            <w:fldChar w:fldCharType="end"/>
          </w:r>
        </w:p>
        <w:p w14:paraId="526947EE">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_Toc15160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r>
            <w:rPr>
              <w:color w:val="auto"/>
              <w:highlight w:val="none"/>
            </w:rPr>
            <w:tab/>
          </w:r>
          <w:r>
            <w:rPr>
              <w:color w:val="auto"/>
              <w:highlight w:val="none"/>
            </w:rPr>
            <w:fldChar w:fldCharType="begin"/>
          </w:r>
          <w:r>
            <w:rPr>
              <w:color w:val="auto"/>
              <w:highlight w:val="none"/>
            </w:rPr>
            <w:instrText xml:space="preserve"> PAGEREF _Toc15160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1"/>
              <w:highlight w:val="none"/>
            </w:rPr>
            <w:fldChar w:fldCharType="end"/>
          </w:r>
        </w:p>
        <w:p w14:paraId="6516B5D0">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_Toc3414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_Toc3414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1"/>
              <w:highlight w:val="none"/>
            </w:rPr>
            <w:fldChar w:fldCharType="end"/>
          </w:r>
        </w:p>
        <w:p w14:paraId="51D79212">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_Toc28790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_Toc28790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1"/>
              <w:highlight w:val="none"/>
            </w:rPr>
            <w:fldChar w:fldCharType="end"/>
          </w:r>
        </w:p>
        <w:p w14:paraId="24E5B816">
          <w:pPr>
            <w:pStyle w:val="31"/>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_Toc2843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_Toc2843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1"/>
              <w:highlight w:val="none"/>
            </w:rPr>
            <w:fldChar w:fldCharType="end"/>
          </w:r>
        </w:p>
        <w:p w14:paraId="53B13536">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_Toc15823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_Toc15823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1"/>
              <w:highlight w:val="none"/>
            </w:rPr>
            <w:fldChar w:fldCharType="end"/>
          </w:r>
        </w:p>
        <w:p w14:paraId="27FCA659">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_Toc29111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_Toc29111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1"/>
              <w:highlight w:val="none"/>
            </w:rPr>
            <w:fldChar w:fldCharType="end"/>
          </w:r>
        </w:p>
        <w:p w14:paraId="07C67F3C">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_Toc13861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_Toc13861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1"/>
              <w:highlight w:val="none"/>
            </w:rPr>
            <w:fldChar w:fldCharType="end"/>
          </w:r>
        </w:p>
        <w:p w14:paraId="08E573C2">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_Toc15322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37</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_Toc15322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1"/>
              <w:highlight w:val="none"/>
            </w:rPr>
            <w:fldChar w:fldCharType="end"/>
          </w:r>
        </w:p>
        <w:p w14:paraId="002217EE">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_Toc6001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_Toc6001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1"/>
              <w:highlight w:val="none"/>
            </w:rPr>
            <w:fldChar w:fldCharType="end"/>
          </w:r>
        </w:p>
        <w:p w14:paraId="15779062">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_Toc19832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_Toc19832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1"/>
              <w:highlight w:val="none"/>
            </w:rPr>
            <w:fldChar w:fldCharType="end"/>
          </w:r>
        </w:p>
        <w:p w14:paraId="505DF828">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_Toc25650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_Toc25650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1"/>
              <w:highlight w:val="none"/>
            </w:rPr>
            <w:fldChar w:fldCharType="end"/>
          </w:r>
        </w:p>
        <w:p w14:paraId="2ADE54F7">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_Toc31750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41</w:t>
          </w:r>
          <w:r>
            <w:rPr>
              <w:rFonts w:ascii="宋体" w:hAnsi="宋体" w:eastAsia="宋体" w:cs="宋体"/>
              <w:color w:val="auto"/>
              <w:szCs w:val="21"/>
              <w:highlight w:val="none"/>
            </w:rPr>
            <w:t xml:space="preserve"> 招标相关补充约定</w:t>
          </w:r>
          <w:r>
            <w:rPr>
              <w:color w:val="auto"/>
              <w:highlight w:val="none"/>
            </w:rPr>
            <w:tab/>
          </w:r>
          <w:r>
            <w:rPr>
              <w:color w:val="auto"/>
              <w:highlight w:val="none"/>
            </w:rPr>
            <w:fldChar w:fldCharType="begin"/>
          </w:r>
          <w:r>
            <w:rPr>
              <w:color w:val="auto"/>
              <w:highlight w:val="none"/>
            </w:rPr>
            <w:instrText xml:space="preserve"> PAGEREF _Toc31750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1"/>
              <w:highlight w:val="none"/>
            </w:rPr>
            <w:fldChar w:fldCharType="end"/>
          </w:r>
        </w:p>
        <w:p w14:paraId="12DA1FAF">
          <w:pPr>
            <w:pStyle w:val="23"/>
            <w:tabs>
              <w:tab w:val="right" w:leader="dot" w:pos="10154"/>
              <w:tab w:val="clear" w:pos="1014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_Toc19760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42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_Toc19760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1"/>
              <w:highlight w:val="none"/>
            </w:rPr>
            <w:fldChar w:fldCharType="end"/>
          </w:r>
        </w:p>
        <w:p w14:paraId="0A8A7A28">
          <w:pPr>
            <w:pStyle w:val="31"/>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_Toc18866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第三篇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用户需求书</w:t>
          </w:r>
          <w:r>
            <w:rPr>
              <w:color w:val="auto"/>
              <w:highlight w:val="none"/>
            </w:rPr>
            <w:tab/>
          </w:r>
          <w:r>
            <w:rPr>
              <w:color w:val="auto"/>
              <w:highlight w:val="none"/>
            </w:rPr>
            <w:fldChar w:fldCharType="begin"/>
          </w:r>
          <w:r>
            <w:rPr>
              <w:color w:val="auto"/>
              <w:highlight w:val="none"/>
            </w:rPr>
            <w:instrText xml:space="preserve"> PAGEREF _Toc18866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szCs w:val="21"/>
              <w:highlight w:val="none"/>
            </w:rPr>
            <w:fldChar w:fldCharType="end"/>
          </w:r>
        </w:p>
        <w:p w14:paraId="298B5D6B">
          <w:pPr>
            <w:pStyle w:val="31"/>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_Toc18986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第四篇 合同条款格式</w:t>
          </w:r>
          <w:r>
            <w:rPr>
              <w:color w:val="auto"/>
              <w:highlight w:val="none"/>
            </w:rPr>
            <w:tab/>
          </w:r>
          <w:r>
            <w:rPr>
              <w:color w:val="auto"/>
              <w:highlight w:val="none"/>
            </w:rPr>
            <w:fldChar w:fldCharType="begin"/>
          </w:r>
          <w:r>
            <w:rPr>
              <w:color w:val="auto"/>
              <w:highlight w:val="none"/>
            </w:rPr>
            <w:instrText xml:space="preserve"> PAGEREF _Toc18986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21"/>
              <w:highlight w:val="none"/>
            </w:rPr>
            <w:fldChar w:fldCharType="end"/>
          </w:r>
        </w:p>
        <w:p w14:paraId="0FB97476">
          <w:pPr>
            <w:pStyle w:val="31"/>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_Toc23067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第五篇 相关保函格式</w:t>
          </w:r>
          <w:r>
            <w:rPr>
              <w:color w:val="auto"/>
              <w:highlight w:val="none"/>
            </w:rPr>
            <w:tab/>
          </w:r>
          <w:r>
            <w:rPr>
              <w:color w:val="auto"/>
              <w:highlight w:val="none"/>
            </w:rPr>
            <w:fldChar w:fldCharType="begin"/>
          </w:r>
          <w:r>
            <w:rPr>
              <w:color w:val="auto"/>
              <w:highlight w:val="none"/>
            </w:rPr>
            <w:instrText xml:space="preserve"> PAGEREF _Toc23067 \h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eastAsia="宋体" w:cs="宋体"/>
              <w:color w:val="auto"/>
              <w:szCs w:val="21"/>
              <w:highlight w:val="none"/>
            </w:rPr>
            <w:fldChar w:fldCharType="end"/>
          </w:r>
        </w:p>
        <w:p w14:paraId="442C57B7">
          <w:pPr>
            <w:pStyle w:val="31"/>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_Toc24241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第六篇 投标文件格式</w:t>
          </w:r>
          <w:r>
            <w:rPr>
              <w:color w:val="auto"/>
              <w:highlight w:val="none"/>
            </w:rPr>
            <w:tab/>
          </w:r>
          <w:r>
            <w:rPr>
              <w:color w:val="auto"/>
              <w:highlight w:val="none"/>
            </w:rPr>
            <w:fldChar w:fldCharType="begin"/>
          </w:r>
          <w:r>
            <w:rPr>
              <w:color w:val="auto"/>
              <w:highlight w:val="none"/>
            </w:rPr>
            <w:instrText xml:space="preserve"> PAGEREF _Toc24241 \h </w:instrText>
          </w:r>
          <w:r>
            <w:rPr>
              <w:color w:val="auto"/>
              <w:highlight w:val="none"/>
            </w:rPr>
            <w:fldChar w:fldCharType="separate"/>
          </w:r>
          <w:r>
            <w:rPr>
              <w:color w:val="auto"/>
              <w:highlight w:val="none"/>
            </w:rPr>
            <w:t>64</w:t>
          </w:r>
          <w:r>
            <w:rPr>
              <w:color w:val="auto"/>
              <w:highlight w:val="none"/>
            </w:rPr>
            <w:fldChar w:fldCharType="end"/>
          </w:r>
          <w:r>
            <w:rPr>
              <w:rFonts w:hint="eastAsia" w:ascii="宋体" w:hAnsi="宋体" w:eastAsia="宋体" w:cs="宋体"/>
              <w:color w:val="auto"/>
              <w:szCs w:val="21"/>
              <w:highlight w:val="none"/>
            </w:rPr>
            <w:fldChar w:fldCharType="end"/>
          </w:r>
        </w:p>
        <w:p w14:paraId="690BDFC8">
          <w:pPr>
            <w:pStyle w:val="31"/>
            <w:tabs>
              <w:tab w:val="right" w:leader="dot" w:pos="10154"/>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_Toc23387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_Toc23387 \h </w:instrText>
          </w:r>
          <w:r>
            <w:rPr>
              <w:color w:val="auto"/>
              <w:highlight w:val="none"/>
            </w:rPr>
            <w:fldChar w:fldCharType="separate"/>
          </w:r>
          <w:r>
            <w:rPr>
              <w:color w:val="auto"/>
              <w:highlight w:val="none"/>
            </w:rPr>
            <w:t>116</w:t>
          </w:r>
          <w:r>
            <w:rPr>
              <w:color w:val="auto"/>
              <w:highlight w:val="none"/>
            </w:rPr>
            <w:fldChar w:fldCharType="end"/>
          </w:r>
          <w:r>
            <w:rPr>
              <w:rFonts w:hint="eastAsia" w:ascii="宋体" w:hAnsi="宋体" w:eastAsia="宋体" w:cs="宋体"/>
              <w:color w:val="auto"/>
              <w:szCs w:val="21"/>
              <w:highlight w:val="none"/>
            </w:rPr>
            <w:fldChar w:fldCharType="end"/>
          </w:r>
        </w:p>
        <w:p w14:paraId="3B36C35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fldChar w:fldCharType="end"/>
          </w:r>
        </w:p>
      </w:sdtContent>
    </w:sdt>
    <w:p w14:paraId="5BDC0874">
      <w:pPr>
        <w:rPr>
          <w:color w:val="auto"/>
          <w:highlight w:val="none"/>
        </w:rPr>
      </w:pPr>
    </w:p>
    <w:p w14:paraId="69390D7B">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9" w:name="_Toc8588"/>
      <w:r>
        <w:rPr>
          <w:rFonts w:ascii="宋体" w:hAnsi="宋体" w:eastAsia="宋体" w:cs="Times New Roman"/>
          <w:b/>
          <w:bCs/>
          <w:color w:val="auto"/>
          <w:kern w:val="44"/>
          <w:sz w:val="32"/>
          <w:szCs w:val="32"/>
          <w:highlight w:val="none"/>
          <w:lang w:val="zh-CN"/>
        </w:rPr>
        <w:t>第一篇 招标公告</w:t>
      </w:r>
      <w:bookmarkEnd w:id="0"/>
      <w:bookmarkEnd w:id="1"/>
      <w:bookmarkEnd w:id="2"/>
      <w:bookmarkEnd w:id="3"/>
      <w:bookmarkEnd w:id="4"/>
      <w:bookmarkEnd w:id="5"/>
      <w:bookmarkEnd w:id="6"/>
      <w:bookmarkEnd w:id="7"/>
      <w:bookmarkEnd w:id="8"/>
      <w:bookmarkEnd w:id="9"/>
    </w:p>
    <w:p w14:paraId="2126ADF8">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东莞市达盛招标代理有限公司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szCs w:val="21"/>
          <w:highlight w:val="none"/>
          <w:lang w:val="zh-CN"/>
        </w:rPr>
        <w:t>（以下简称“招标人”）的委托，对</w:t>
      </w:r>
      <w:bookmarkStart w:id="10" w:name="_Hlk41903390"/>
      <w:r>
        <w:rPr>
          <w:rFonts w:hint="eastAsia" w:ascii="宋体" w:hAnsi="宋体" w:eastAsia="宋体" w:cs="Times New Roman"/>
          <w:color w:val="auto"/>
          <w:kern w:val="0"/>
          <w:szCs w:val="21"/>
          <w:highlight w:val="none"/>
          <w:lang w:eastAsia="zh-CN"/>
        </w:rPr>
        <w:t>东莞市供水计量设施更新项目(2025年计量仪表采购)－旋翼式远传水表</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u w:val="single"/>
          <w:lang w:val="en-US" w:eastAsia="zh-CN"/>
        </w:rPr>
        <w:t xml:space="preserve">SSWSSZ12501144 </w:t>
      </w:r>
      <w:r>
        <w:rPr>
          <w:rFonts w:ascii="宋体" w:hAnsi="宋体" w:eastAsia="宋体" w:cs="Times New Roman"/>
          <w:color w:val="auto"/>
          <w:szCs w:val="21"/>
          <w:highlight w:val="none"/>
          <w:lang w:val="zh-CN"/>
        </w:rPr>
        <w:t>)</w:t>
      </w:r>
      <w:bookmarkEnd w:id="10"/>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14E0C152">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5DA6773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p w14:paraId="0D146777">
      <w:pPr>
        <w:autoSpaceDE w:val="0"/>
        <w:autoSpaceDN w:val="0"/>
        <w:adjustRightInd w:val="0"/>
        <w:snapToGrid w:val="0"/>
        <w:spacing w:line="360" w:lineRule="auto"/>
        <w:ind w:right="-34" w:firstLine="420" w:firstLineChars="20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东莞市供水计量设施更新项目(2025年计量仪表采购)－旋翼式远传水表。（具体内容详见：第三篇用户需求书）</w:t>
      </w:r>
    </w:p>
    <w:p w14:paraId="7BEEC7DB">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5F250B28">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459BCE39">
      <w:pPr>
        <w:pStyle w:val="165"/>
        <w:spacing w:line="360" w:lineRule="auto"/>
        <w:ind w:left="422" w:right="-29" w:rightChars="-14" w:hanging="422" w:hangingChars="20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18DF277B">
      <w:pPr>
        <w:pStyle w:val="165"/>
        <w:spacing w:line="360" w:lineRule="auto"/>
        <w:ind w:left="422" w:right="-29" w:rightChars="-14" w:hanging="422" w:hangingChars="200"/>
        <w:jc w:val="both"/>
        <w:rPr>
          <w:rFonts w:hint="eastAsia" w:hAnsi="宋体" w:eastAsia="宋体"/>
          <w:b/>
          <w:color w:val="auto"/>
          <w:sz w:val="21"/>
          <w:szCs w:val="21"/>
          <w:highlight w:val="none"/>
          <w:lang w:val="zh-CN"/>
        </w:rPr>
      </w:pPr>
      <w:bookmarkStart w:id="11" w:name="_Toc25819"/>
      <w:r>
        <w:rPr>
          <w:rFonts w:hint="eastAsia" w:hAnsi="宋体" w:eastAsia="宋体"/>
          <w:b/>
          <w:color w:val="auto"/>
          <w:sz w:val="21"/>
          <w:szCs w:val="21"/>
          <w:highlight w:val="none"/>
          <w:lang w:val="zh-CN"/>
        </w:rPr>
        <w:t>2.2 投标人须为所投</w:t>
      </w:r>
      <w:r>
        <w:rPr>
          <w:rFonts w:hint="eastAsia" w:hAnsi="宋体" w:eastAsia="宋体"/>
          <w:b/>
          <w:color w:val="auto"/>
          <w:sz w:val="21"/>
          <w:szCs w:val="21"/>
          <w:highlight w:val="none"/>
          <w:lang w:val="en-US" w:eastAsia="zh-CN"/>
        </w:rPr>
        <w:t>产品</w:t>
      </w:r>
      <w:r>
        <w:rPr>
          <w:rFonts w:hint="eastAsia" w:hAnsi="宋体" w:eastAsia="宋体"/>
          <w:b/>
          <w:color w:val="auto"/>
          <w:sz w:val="21"/>
          <w:szCs w:val="21"/>
          <w:highlight w:val="none"/>
          <w:lang w:val="zh-CN"/>
        </w:rPr>
        <w:t>旋翼式远传水表的制造商，或为所投</w:t>
      </w:r>
      <w:r>
        <w:rPr>
          <w:rFonts w:hint="eastAsia" w:hAnsi="宋体" w:eastAsia="宋体"/>
          <w:b/>
          <w:color w:val="auto"/>
          <w:sz w:val="21"/>
          <w:szCs w:val="21"/>
          <w:highlight w:val="none"/>
          <w:lang w:val="en-US" w:eastAsia="zh-CN"/>
        </w:rPr>
        <w:t>产品旋翼式远传水表</w:t>
      </w:r>
      <w:r>
        <w:rPr>
          <w:rFonts w:hint="eastAsia" w:hAnsi="宋体" w:eastAsia="宋体"/>
          <w:b/>
          <w:color w:val="auto"/>
          <w:sz w:val="21"/>
          <w:szCs w:val="21"/>
          <w:highlight w:val="none"/>
          <w:lang w:val="zh-CN"/>
        </w:rPr>
        <w:t>的制造商就本次投标独家授权的经销商；</w:t>
      </w:r>
    </w:p>
    <w:p w14:paraId="1549380C">
      <w:pPr>
        <w:pStyle w:val="165"/>
        <w:spacing w:line="360" w:lineRule="auto"/>
        <w:ind w:left="422" w:right="-29" w:rightChars="-14" w:hanging="422" w:hangingChars="20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zh-CN"/>
        </w:rPr>
        <w:t>2.3 投标人2022年1月1日以来具有一份旋翼式远传水表在国内的</w:t>
      </w:r>
      <w:r>
        <w:rPr>
          <w:rFonts w:hint="eastAsia" w:hAnsi="宋体" w:eastAsia="宋体"/>
          <w:b/>
          <w:color w:val="auto"/>
          <w:sz w:val="21"/>
          <w:szCs w:val="21"/>
          <w:highlight w:val="none"/>
          <w:lang w:val="en-US" w:eastAsia="zh-CN"/>
        </w:rPr>
        <w:t>销售</w:t>
      </w:r>
      <w:r>
        <w:rPr>
          <w:rFonts w:hint="eastAsia" w:hAnsi="宋体" w:eastAsia="宋体"/>
          <w:b/>
          <w:color w:val="auto"/>
          <w:sz w:val="21"/>
          <w:szCs w:val="21"/>
          <w:highlight w:val="none"/>
          <w:lang w:val="zh-CN"/>
        </w:rPr>
        <w:t>业绩（合同签订日期为2022年1月1日或以后）；</w:t>
      </w:r>
    </w:p>
    <w:p w14:paraId="09D66E25">
      <w:pPr>
        <w:pStyle w:val="165"/>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en-US" w:eastAsia="zh-CN"/>
        </w:rPr>
        <w:t>4</w:t>
      </w:r>
      <w:r>
        <w:rPr>
          <w:rFonts w:hint="eastAsia" w:hAnsi="宋体" w:eastAsia="宋体"/>
          <w:b/>
          <w:color w:val="auto"/>
          <w:sz w:val="21"/>
          <w:szCs w:val="21"/>
          <w:highlight w:val="none"/>
          <w:lang w:val="zh-CN"/>
        </w:rPr>
        <w:t>本项目不接受联合体投标</w:t>
      </w:r>
      <w:bookmarkEnd w:id="11"/>
      <w:r>
        <w:rPr>
          <w:rFonts w:hint="eastAsia" w:hAnsi="宋体" w:eastAsia="宋体"/>
          <w:b/>
          <w:color w:val="auto"/>
          <w:sz w:val="21"/>
          <w:szCs w:val="21"/>
          <w:highlight w:val="none"/>
          <w:lang w:val="zh-CN"/>
        </w:rPr>
        <w:t>；</w:t>
      </w:r>
    </w:p>
    <w:p w14:paraId="4E5807D3">
      <w:pPr>
        <w:pStyle w:val="165"/>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zh-CN"/>
        </w:rPr>
        <w:t>.</w:t>
      </w:r>
      <w:r>
        <w:rPr>
          <w:rFonts w:hint="eastAsia" w:hAnsi="宋体" w:eastAsia="宋体"/>
          <w:b/>
          <w:color w:val="auto"/>
          <w:sz w:val="21"/>
          <w:szCs w:val="21"/>
          <w:highlight w:val="none"/>
          <w:lang w:val="en-US" w:eastAsia="zh-CN"/>
        </w:rPr>
        <w:t>5</w:t>
      </w:r>
      <w:r>
        <w:rPr>
          <w:rFonts w:hint="eastAsia" w:hAnsi="宋体" w:eastAsia="宋体"/>
          <w:b/>
          <w:color w:val="auto"/>
          <w:sz w:val="21"/>
          <w:szCs w:val="21"/>
          <w:highlight w:val="none"/>
          <w:lang w:val="zh-CN"/>
        </w:rPr>
        <w:t>其他要求：</w:t>
      </w:r>
    </w:p>
    <w:p w14:paraId="1D490818">
      <w:pPr>
        <w:pStyle w:val="165"/>
        <w:autoSpaceDE/>
        <w:autoSpaceDN/>
        <w:spacing w:line="360" w:lineRule="auto"/>
        <w:ind w:left="420" w:leftChars="200"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（1）投标人应在东莞市公共资源交易企业库建档；</w:t>
      </w:r>
    </w:p>
    <w:p w14:paraId="5F170F86">
      <w:pPr>
        <w:pStyle w:val="165"/>
        <w:autoSpaceDE/>
        <w:autoSpaceDN/>
        <w:spacing w:line="360" w:lineRule="auto"/>
        <w:ind w:left="420" w:leftChars="200"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46EAE5F0">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4F19518C">
      <w:pPr>
        <w:pStyle w:val="183"/>
        <w:numPr>
          <w:ilvl w:val="0"/>
          <w:numId w:val="1"/>
        </w:numPr>
        <w:spacing w:line="360" w:lineRule="auto"/>
        <w:ind w:left="426" w:right="-34" w:hanging="426" w:firstLineChars="0"/>
        <w:rPr>
          <w:rFonts w:ascii="宋体" w:hAnsi="宋体" w:cs="宋体"/>
          <w:color w:val="auto"/>
          <w:szCs w:val="21"/>
          <w:highlight w:val="none"/>
        </w:rPr>
      </w:pPr>
      <w:r>
        <w:rPr>
          <w:rFonts w:hint="eastAsia" w:ascii="宋体" w:hAnsi="宋体" w:cs="宋体"/>
          <w:color w:val="auto"/>
          <w:szCs w:val="21"/>
          <w:highlight w:val="none"/>
          <w:lang w:val="zh-CN"/>
        </w:rPr>
        <w:t>获取招标文件的方式：凡有意参加投标者，可于</w:t>
      </w:r>
      <w:r>
        <w:rPr>
          <w:rFonts w:hint="eastAsia" w:ascii="宋体" w:hAnsi="宋体" w:cs="宋体"/>
          <w:color w:val="auto"/>
          <w:szCs w:val="21"/>
          <w:highlight w:val="none"/>
          <w:u w:val="single"/>
          <w:lang w:val="zh-CN"/>
        </w:rPr>
        <w:t>2025年</w:t>
      </w:r>
      <w:r>
        <w:rPr>
          <w:rFonts w:hint="eastAsia" w:ascii="宋体" w:hAnsi="宋体" w:cs="宋体"/>
          <w:color w:val="auto"/>
          <w:szCs w:val="21"/>
          <w:highlight w:val="none"/>
          <w:u w:val="single"/>
          <w:lang w:val="en-US" w:eastAsia="zh-CN"/>
        </w:rPr>
        <w:t>07</w:t>
      </w:r>
      <w:r>
        <w:rPr>
          <w:rFonts w:hint="eastAsia" w:ascii="宋体" w:hAnsi="宋体" w:cs="宋体"/>
          <w:color w:val="auto"/>
          <w:szCs w:val="21"/>
          <w:highlight w:val="none"/>
          <w:u w:val="single"/>
          <w:lang w:val="zh-CN"/>
        </w:rPr>
        <w:t>月</w:t>
      </w:r>
      <w:r>
        <w:rPr>
          <w:rFonts w:hint="eastAsia" w:ascii="宋体" w:hAnsi="宋体" w:cs="宋体"/>
          <w:color w:val="auto"/>
          <w:szCs w:val="21"/>
          <w:highlight w:val="none"/>
          <w:u w:val="single"/>
          <w:lang w:val="en-US" w:eastAsia="zh-CN"/>
        </w:rPr>
        <w:t>02</w:t>
      </w:r>
      <w:r>
        <w:rPr>
          <w:rFonts w:hint="eastAsia" w:ascii="宋体" w:hAnsi="宋体" w:cs="宋体"/>
          <w:color w:val="auto"/>
          <w:szCs w:val="21"/>
          <w:highlight w:val="none"/>
          <w:u w:val="single"/>
          <w:lang w:val="zh-CN"/>
        </w:rPr>
        <w:t>日</w:t>
      </w:r>
      <w:r>
        <w:rPr>
          <w:rFonts w:hint="eastAsia" w:ascii="宋体" w:hAnsi="宋体" w:cs="宋体"/>
          <w:color w:val="auto"/>
          <w:szCs w:val="21"/>
          <w:highlight w:val="none"/>
          <w:lang w:val="zh-CN"/>
        </w:rPr>
        <w:t>至投标截止时间前登录交易系统下载本次招标项目的招标文件等资料。</w:t>
      </w:r>
    </w:p>
    <w:p w14:paraId="481656A8">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60F5A73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77F23CDF">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28BFA7A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投标会时间、地点及投标文件提交截止时间</w:t>
      </w:r>
      <w:r>
        <w:rPr>
          <w:rFonts w:ascii="宋体" w:hAnsi="宋体" w:eastAsia="宋体" w:cs="Times New Roman"/>
          <w:color w:val="auto"/>
          <w:szCs w:val="21"/>
          <w:highlight w:val="none"/>
          <w:lang w:val="zh-CN"/>
        </w:rPr>
        <w:t>：</w:t>
      </w:r>
    </w:p>
    <w:p w14:paraId="08883B23">
      <w:pPr>
        <w:pStyle w:val="165"/>
        <w:spacing w:line="360" w:lineRule="auto"/>
        <w:ind w:left="420" w:hanging="420" w:hangingChars="200"/>
        <w:jc w:val="both"/>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en-US" w:eastAsia="zh-CN"/>
        </w:rPr>
        <w:t xml:space="preserve">5.1 </w:t>
      </w:r>
      <w:r>
        <w:rPr>
          <w:rFonts w:hint="eastAsia" w:hAnsi="宋体" w:eastAsia="宋体"/>
          <w:bCs/>
          <w:color w:val="auto"/>
          <w:sz w:val="21"/>
          <w:szCs w:val="21"/>
          <w:highlight w:val="none"/>
          <w:lang w:val="zh-CN"/>
        </w:rPr>
        <w:t>投标会召开时间：</w:t>
      </w:r>
      <w:r>
        <w:rPr>
          <w:rFonts w:hint="eastAsia" w:hAnsi="宋体" w:eastAsia="宋体"/>
          <w:bCs/>
          <w:color w:val="auto"/>
          <w:sz w:val="21"/>
          <w:szCs w:val="21"/>
          <w:highlight w:val="none"/>
          <w:u w:val="single"/>
          <w:lang w:val="zh-CN"/>
        </w:rPr>
        <w:t>2025年</w:t>
      </w:r>
      <w:r>
        <w:rPr>
          <w:rFonts w:hint="eastAsia" w:hAnsi="宋体" w:eastAsia="宋体"/>
          <w:bCs/>
          <w:color w:val="auto"/>
          <w:sz w:val="21"/>
          <w:szCs w:val="21"/>
          <w:highlight w:val="none"/>
          <w:u w:val="single"/>
          <w:lang w:val="en-US" w:eastAsia="zh-CN"/>
        </w:rPr>
        <w:t>07</w:t>
      </w:r>
      <w:r>
        <w:rPr>
          <w:rFonts w:hint="eastAsia" w:hAnsi="宋体" w:eastAsia="宋体"/>
          <w:bCs/>
          <w:color w:val="auto"/>
          <w:sz w:val="21"/>
          <w:szCs w:val="21"/>
          <w:highlight w:val="none"/>
          <w:u w:val="single"/>
          <w:lang w:val="zh-CN"/>
        </w:rPr>
        <w:t>月</w:t>
      </w:r>
      <w:r>
        <w:rPr>
          <w:rFonts w:hint="eastAsia" w:hAnsi="宋体" w:eastAsia="宋体"/>
          <w:bCs/>
          <w:color w:val="auto"/>
          <w:sz w:val="21"/>
          <w:szCs w:val="21"/>
          <w:highlight w:val="none"/>
          <w:u w:val="single"/>
          <w:lang w:val="en-US" w:eastAsia="zh-CN"/>
        </w:rPr>
        <w:t>23</w:t>
      </w:r>
      <w:r>
        <w:rPr>
          <w:rFonts w:hint="eastAsia" w:hAnsi="宋体" w:eastAsia="宋体"/>
          <w:bCs/>
          <w:color w:val="auto"/>
          <w:sz w:val="21"/>
          <w:szCs w:val="21"/>
          <w:highlight w:val="none"/>
          <w:u w:val="single"/>
          <w:lang w:val="zh-CN"/>
        </w:rPr>
        <w:t>日</w:t>
      </w:r>
      <w:r>
        <w:rPr>
          <w:rFonts w:hint="eastAsia" w:hAnsi="宋体" w:eastAsia="宋体"/>
          <w:bCs/>
          <w:color w:val="auto"/>
          <w:sz w:val="21"/>
          <w:szCs w:val="21"/>
          <w:highlight w:val="none"/>
          <w:u w:val="single"/>
          <w:lang w:val="en-US" w:eastAsia="zh-CN"/>
        </w:rPr>
        <w:t>09</w:t>
      </w:r>
      <w:r>
        <w:rPr>
          <w:rFonts w:hint="eastAsia" w:hAnsi="宋体" w:eastAsia="宋体"/>
          <w:bCs/>
          <w:color w:val="auto"/>
          <w:sz w:val="21"/>
          <w:szCs w:val="21"/>
          <w:highlight w:val="none"/>
          <w:u w:val="single"/>
          <w:lang w:val="zh-CN"/>
        </w:rPr>
        <w:t xml:space="preserve"> 时</w:t>
      </w:r>
      <w:r>
        <w:rPr>
          <w:rFonts w:hint="eastAsia" w:hAnsi="宋体" w:eastAsia="宋体"/>
          <w:bCs/>
          <w:color w:val="auto"/>
          <w:sz w:val="21"/>
          <w:szCs w:val="21"/>
          <w:highlight w:val="none"/>
          <w:u w:val="single"/>
          <w:lang w:val="en-US" w:eastAsia="zh-CN"/>
        </w:rPr>
        <w:t>30</w:t>
      </w:r>
      <w:r>
        <w:rPr>
          <w:rFonts w:hint="eastAsia" w:hAnsi="宋体" w:eastAsia="宋体"/>
          <w:bCs/>
          <w:color w:val="auto"/>
          <w:sz w:val="21"/>
          <w:szCs w:val="21"/>
          <w:highlight w:val="none"/>
          <w:u w:val="single"/>
          <w:lang w:val="zh-CN"/>
        </w:rPr>
        <w:t>分</w:t>
      </w:r>
      <w:r>
        <w:rPr>
          <w:rFonts w:hint="eastAsia" w:hAnsi="宋体" w:eastAsia="宋体"/>
          <w:bCs/>
          <w:color w:val="auto"/>
          <w:sz w:val="21"/>
          <w:szCs w:val="21"/>
          <w:highlight w:val="none"/>
          <w:lang w:val="zh-CN"/>
        </w:rPr>
        <w:t>，投标会召开地点：东莞市南城</w:t>
      </w:r>
      <w:r>
        <w:rPr>
          <w:rFonts w:hint="eastAsia" w:hAnsi="宋体" w:eastAsia="宋体"/>
          <w:bCs/>
          <w:color w:val="auto"/>
          <w:sz w:val="21"/>
          <w:szCs w:val="21"/>
          <w:highlight w:val="none"/>
          <w:lang w:val="en-US" w:eastAsia="zh-CN"/>
        </w:rPr>
        <w:t>街道</w:t>
      </w:r>
      <w:r>
        <w:rPr>
          <w:rFonts w:hint="eastAsia" w:hAnsi="宋体" w:eastAsia="宋体"/>
          <w:bCs/>
          <w:color w:val="auto"/>
          <w:sz w:val="21"/>
          <w:szCs w:val="21"/>
          <w:highlight w:val="none"/>
          <w:lang w:val="zh-CN"/>
        </w:rPr>
        <w:t>西平社区宏伟三路45号东莞市公共资源交易中心开标室（</w:t>
      </w:r>
      <w:r>
        <w:rPr>
          <w:rFonts w:hint="eastAsia" w:hAnsi="宋体" w:eastAsia="宋体"/>
          <w:bCs/>
          <w:color w:val="auto"/>
          <w:sz w:val="21"/>
          <w:szCs w:val="21"/>
          <w:highlight w:val="none"/>
          <w:lang w:val="en-US" w:eastAsia="zh-CN"/>
        </w:rPr>
        <w:t>13</w:t>
      </w:r>
      <w:r>
        <w:rPr>
          <w:rFonts w:hint="eastAsia" w:hAnsi="宋体" w:eastAsia="宋体"/>
          <w:bCs/>
          <w:color w:val="auto"/>
          <w:sz w:val="21"/>
          <w:szCs w:val="21"/>
          <w:highlight w:val="none"/>
          <w:lang w:val="zh-CN"/>
        </w:rPr>
        <w:t>）；</w:t>
      </w:r>
    </w:p>
    <w:p w14:paraId="6723BF21">
      <w:pPr>
        <w:pStyle w:val="165"/>
        <w:spacing w:line="360" w:lineRule="auto"/>
        <w:ind w:left="420" w:hanging="420" w:hangingChars="200"/>
        <w:jc w:val="both"/>
        <w:rPr>
          <w:rFonts w:hAnsi="宋体" w:eastAsia="宋体"/>
          <w:bCs/>
          <w:color w:val="auto"/>
          <w:sz w:val="21"/>
          <w:szCs w:val="21"/>
          <w:highlight w:val="none"/>
          <w:lang w:val="zh-CN"/>
        </w:rPr>
      </w:pPr>
      <w:r>
        <w:rPr>
          <w:rFonts w:hint="eastAsia" w:hAnsi="宋体" w:eastAsia="宋体"/>
          <w:bCs/>
          <w:color w:val="auto"/>
          <w:sz w:val="21"/>
          <w:szCs w:val="21"/>
          <w:highlight w:val="none"/>
          <w:lang w:val="zh-CN"/>
        </w:rPr>
        <w:t>5.</w:t>
      </w:r>
      <w:r>
        <w:rPr>
          <w:rFonts w:hint="eastAsia" w:hAnsi="宋体" w:eastAsia="宋体"/>
          <w:bCs/>
          <w:color w:val="auto"/>
          <w:sz w:val="21"/>
          <w:szCs w:val="21"/>
          <w:highlight w:val="none"/>
          <w:lang w:val="en-US" w:eastAsia="zh-CN"/>
        </w:rPr>
        <w:t>2</w:t>
      </w:r>
      <w:r>
        <w:rPr>
          <w:rFonts w:hint="eastAsia" w:hAnsi="宋体" w:eastAsia="宋体"/>
          <w:bCs/>
          <w:color w:val="auto"/>
          <w:sz w:val="21"/>
          <w:szCs w:val="21"/>
          <w:highlight w:val="none"/>
          <w:lang w:val="zh-CN"/>
        </w:rPr>
        <w:t xml:space="preserve"> 投标文件递交的截止时间（投标截止时间，下同）：</w:t>
      </w:r>
      <w:r>
        <w:rPr>
          <w:rFonts w:hint="eastAsia" w:hAnsi="宋体" w:eastAsia="宋体"/>
          <w:bCs/>
          <w:color w:val="auto"/>
          <w:sz w:val="21"/>
          <w:szCs w:val="21"/>
          <w:highlight w:val="none"/>
          <w:u w:val="single"/>
          <w:lang w:val="zh-CN"/>
        </w:rPr>
        <w:t>2025年</w:t>
      </w:r>
      <w:r>
        <w:rPr>
          <w:rFonts w:hint="eastAsia" w:hAnsi="宋体" w:eastAsia="宋体"/>
          <w:bCs/>
          <w:color w:val="auto"/>
          <w:sz w:val="21"/>
          <w:szCs w:val="21"/>
          <w:highlight w:val="none"/>
          <w:u w:val="single"/>
          <w:lang w:val="en-US" w:eastAsia="zh-CN"/>
        </w:rPr>
        <w:t>07</w:t>
      </w:r>
      <w:r>
        <w:rPr>
          <w:rFonts w:hint="eastAsia" w:hAnsi="宋体" w:eastAsia="宋体"/>
          <w:bCs/>
          <w:color w:val="auto"/>
          <w:sz w:val="21"/>
          <w:szCs w:val="21"/>
          <w:highlight w:val="none"/>
          <w:u w:val="single"/>
          <w:lang w:val="zh-CN"/>
        </w:rPr>
        <w:t>月</w:t>
      </w:r>
      <w:r>
        <w:rPr>
          <w:rFonts w:hint="eastAsia" w:hAnsi="宋体" w:eastAsia="宋体"/>
          <w:bCs/>
          <w:color w:val="auto"/>
          <w:sz w:val="21"/>
          <w:szCs w:val="21"/>
          <w:highlight w:val="none"/>
          <w:u w:val="single"/>
          <w:lang w:val="en-US" w:eastAsia="zh-CN"/>
        </w:rPr>
        <w:t>23</w:t>
      </w:r>
      <w:r>
        <w:rPr>
          <w:rFonts w:hint="eastAsia" w:hAnsi="宋体" w:eastAsia="宋体"/>
          <w:bCs/>
          <w:color w:val="auto"/>
          <w:sz w:val="21"/>
          <w:szCs w:val="21"/>
          <w:highlight w:val="none"/>
          <w:u w:val="single"/>
          <w:lang w:val="zh-CN"/>
        </w:rPr>
        <w:t>日</w:t>
      </w:r>
      <w:r>
        <w:rPr>
          <w:rFonts w:hint="eastAsia" w:hAnsi="宋体" w:eastAsia="宋体"/>
          <w:bCs/>
          <w:color w:val="auto"/>
          <w:sz w:val="21"/>
          <w:szCs w:val="21"/>
          <w:highlight w:val="none"/>
          <w:u w:val="single"/>
          <w:lang w:val="en-US" w:eastAsia="zh-CN"/>
        </w:rPr>
        <w:t>09</w:t>
      </w:r>
      <w:r>
        <w:rPr>
          <w:rFonts w:hint="eastAsia" w:hAnsi="宋体" w:eastAsia="宋体"/>
          <w:bCs/>
          <w:color w:val="auto"/>
          <w:sz w:val="21"/>
          <w:szCs w:val="21"/>
          <w:highlight w:val="none"/>
          <w:u w:val="single"/>
          <w:lang w:val="zh-CN"/>
        </w:rPr>
        <w:t>时</w:t>
      </w:r>
      <w:r>
        <w:rPr>
          <w:rFonts w:hint="eastAsia" w:hAnsi="宋体" w:eastAsia="宋体"/>
          <w:bCs/>
          <w:color w:val="auto"/>
          <w:sz w:val="21"/>
          <w:szCs w:val="21"/>
          <w:highlight w:val="none"/>
          <w:u w:val="single"/>
          <w:lang w:val="en-US" w:eastAsia="zh-CN"/>
        </w:rPr>
        <w:t>30</w:t>
      </w:r>
      <w:r>
        <w:rPr>
          <w:rFonts w:hint="eastAsia" w:hAnsi="宋体" w:eastAsia="宋体"/>
          <w:bCs/>
          <w:color w:val="auto"/>
          <w:sz w:val="21"/>
          <w:szCs w:val="21"/>
          <w:highlight w:val="none"/>
          <w:u w:val="single"/>
          <w:lang w:val="zh-CN"/>
        </w:rPr>
        <w:t>分，</w:t>
      </w:r>
      <w:r>
        <w:rPr>
          <w:rFonts w:hint="eastAsia" w:hAnsi="宋体" w:eastAsia="宋体"/>
          <w:bCs/>
          <w:color w:val="auto"/>
          <w:sz w:val="21"/>
          <w:szCs w:val="21"/>
          <w:highlight w:val="none"/>
          <w:lang w:val="zh-CN"/>
        </w:rPr>
        <w:t>地点：通过东莞市公共资源交易E网通管理平台建设工程交易系统网上提交；</w:t>
      </w:r>
    </w:p>
    <w:p w14:paraId="047F60D2">
      <w:pPr>
        <w:pStyle w:val="165"/>
        <w:spacing w:line="360" w:lineRule="auto"/>
        <w:ind w:left="420" w:hanging="420" w:hangingChars="200"/>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rPr>
        <w:t>5.</w:t>
      </w:r>
      <w:r>
        <w:rPr>
          <w:rFonts w:hint="eastAsia" w:hAnsi="宋体" w:eastAsia="宋体"/>
          <w:bCs/>
          <w:color w:val="auto"/>
          <w:sz w:val="21"/>
          <w:szCs w:val="21"/>
          <w:highlight w:val="none"/>
          <w:lang w:val="en-US" w:eastAsia="zh-CN"/>
        </w:rPr>
        <w:t>3</w:t>
      </w:r>
      <w:r>
        <w:rPr>
          <w:rFonts w:hint="eastAsia" w:hAnsi="宋体" w:eastAsia="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14:paraId="67EA115E">
      <w:pPr>
        <w:pStyle w:val="165"/>
        <w:spacing w:line="360" w:lineRule="auto"/>
        <w:ind w:left="420" w:hanging="420" w:hangingChars="200"/>
        <w:rPr>
          <w:rFonts w:hint="eastAsia" w:hAnsi="宋体" w:eastAsia="宋体"/>
          <w:bCs/>
          <w:color w:val="auto"/>
          <w:sz w:val="21"/>
          <w:szCs w:val="21"/>
          <w:highlight w:val="none"/>
          <w:lang w:val="zh-CN"/>
        </w:rPr>
      </w:pPr>
    </w:p>
    <w:p w14:paraId="2DE60C93">
      <w:pPr>
        <w:numPr>
          <w:ilvl w:val="0"/>
          <w:numId w:val="1"/>
        </w:numPr>
        <w:snapToGrid w:val="0"/>
        <w:ind w:right="-34"/>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rPr>
        <w:t>开标时间和地点：</w:t>
      </w:r>
    </w:p>
    <w:p w14:paraId="62C6CC5D">
      <w:pPr>
        <w:pStyle w:val="165"/>
        <w:spacing w:line="360" w:lineRule="auto"/>
        <w:ind w:left="420" w:hanging="420" w:hangingChars="200"/>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eastAsia="zh-CN"/>
        </w:rPr>
        <w:t xml:space="preserve">6.1 </w:t>
      </w:r>
      <w:r>
        <w:rPr>
          <w:rFonts w:hint="eastAsia" w:hAnsi="宋体" w:eastAsia="宋体"/>
          <w:bCs/>
          <w:color w:val="auto"/>
          <w:sz w:val="21"/>
          <w:szCs w:val="21"/>
          <w:highlight w:val="none"/>
          <w:lang w:val="zh-CN"/>
        </w:rPr>
        <w:t>开标时间：同投标截止时间；</w:t>
      </w:r>
    </w:p>
    <w:p w14:paraId="31148C96">
      <w:pPr>
        <w:pStyle w:val="165"/>
        <w:spacing w:line="360" w:lineRule="auto"/>
        <w:ind w:left="420" w:hanging="420" w:hangingChars="200"/>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eastAsia="zh-CN"/>
        </w:rPr>
        <w:t xml:space="preserve">6.2 </w:t>
      </w:r>
      <w:r>
        <w:rPr>
          <w:rFonts w:hint="eastAsia" w:hAnsi="宋体" w:eastAsia="宋体"/>
          <w:bCs/>
          <w:color w:val="auto"/>
          <w:sz w:val="21"/>
          <w:szCs w:val="21"/>
          <w:highlight w:val="none"/>
          <w:lang w:val="zh-CN"/>
        </w:rPr>
        <w:t>开标地点：东莞市南城</w:t>
      </w:r>
      <w:r>
        <w:rPr>
          <w:rFonts w:hint="eastAsia" w:hAnsi="宋体" w:eastAsia="宋体"/>
          <w:bCs/>
          <w:color w:val="auto"/>
          <w:sz w:val="21"/>
          <w:szCs w:val="21"/>
          <w:highlight w:val="none"/>
          <w:lang w:val="en-US" w:eastAsia="zh-CN"/>
        </w:rPr>
        <w:t>街道</w:t>
      </w:r>
      <w:r>
        <w:rPr>
          <w:rFonts w:hint="eastAsia" w:hAnsi="宋体" w:eastAsia="宋体"/>
          <w:bCs/>
          <w:color w:val="auto"/>
          <w:sz w:val="21"/>
          <w:szCs w:val="21"/>
          <w:highlight w:val="none"/>
          <w:lang w:val="zh-CN"/>
        </w:rPr>
        <w:t>西平社区宏伟三路45号东莞市公共资源交易中心开标室（</w:t>
      </w:r>
      <w:r>
        <w:rPr>
          <w:rFonts w:hint="eastAsia" w:hAnsi="宋体" w:eastAsia="宋体"/>
          <w:bCs/>
          <w:color w:val="auto"/>
          <w:sz w:val="21"/>
          <w:szCs w:val="21"/>
          <w:highlight w:val="none"/>
          <w:lang w:val="en-US" w:eastAsia="zh-CN"/>
        </w:rPr>
        <w:t>13</w:t>
      </w:r>
      <w:bookmarkStart w:id="970" w:name="_GoBack"/>
      <w:bookmarkEnd w:id="970"/>
      <w:r>
        <w:rPr>
          <w:rFonts w:hint="eastAsia" w:hAnsi="宋体" w:eastAsia="宋体"/>
          <w:bCs/>
          <w:color w:val="auto"/>
          <w:sz w:val="21"/>
          <w:szCs w:val="21"/>
          <w:highlight w:val="none"/>
          <w:lang w:val="zh-CN"/>
        </w:rPr>
        <w:t>）。</w:t>
      </w:r>
    </w:p>
    <w:p w14:paraId="726DEB30">
      <w:pPr>
        <w:pStyle w:val="165"/>
        <w:spacing w:line="360" w:lineRule="auto"/>
        <w:ind w:left="420" w:hanging="420" w:hangingChars="200"/>
        <w:rPr>
          <w:rFonts w:hAnsi="宋体" w:eastAsia="宋体"/>
          <w:bCs/>
          <w:color w:val="auto"/>
          <w:sz w:val="21"/>
          <w:szCs w:val="21"/>
          <w:highlight w:val="none"/>
          <w:lang w:val="zh-CN"/>
        </w:rPr>
      </w:pPr>
      <w:r>
        <w:rPr>
          <w:rFonts w:hint="eastAsia" w:hAnsi="宋体" w:eastAsia="宋体"/>
          <w:bCs/>
          <w:color w:val="auto"/>
          <w:sz w:val="21"/>
          <w:szCs w:val="21"/>
          <w:highlight w:val="none"/>
          <w:lang w:val="en-US" w:eastAsia="zh-CN"/>
        </w:rPr>
        <w:t xml:space="preserve">6.3 </w:t>
      </w:r>
      <w:r>
        <w:rPr>
          <w:rFonts w:hint="eastAsia" w:hAnsi="宋体" w:eastAsia="宋体"/>
          <w:bCs/>
          <w:color w:val="auto"/>
          <w:sz w:val="21"/>
          <w:szCs w:val="21"/>
          <w:highlight w:val="none"/>
          <w:lang w:val="zh-CN"/>
        </w:rPr>
        <w:t>对投标人提示如下：开标视频网上直播，建议投标人可通过投标人企业数字证书登录到东莞市公共资源交易中心的E网通管理平台后，可通过“建设工程”栏目，点击“开标直播”、“标室列表”，查看标室直播画面。</w:t>
      </w:r>
    </w:p>
    <w:p w14:paraId="5F4CD1C1">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3355EB20">
      <w:pPr>
        <w:numPr>
          <w:ilvl w:val="0"/>
          <w:numId w:val="1"/>
        </w:numPr>
        <w:wordWrap w:val="0"/>
        <w:autoSpaceDE w:val="0"/>
        <w:autoSpaceDN w:val="0"/>
        <w:adjustRightInd w:val="0"/>
        <w:snapToGrid w:val="0"/>
        <w:spacing w:line="360" w:lineRule="auto"/>
        <w:ind w:left="363" w:right="-34" w:hanging="363"/>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本项目相关公告在以下媒介发布：全国公共资源交易平台（广东省·东莞市）（https://ygp.gdzwfw.gov.cn/#/441900/index）、中国招标投标公共服务平台（www.cebpubservice.com）、东莞市水务集团有限公司网</w:t>
      </w:r>
      <w:r>
        <w:rPr>
          <w:rFonts w:hint="eastAsia" w:ascii="宋体" w:hAnsi="宋体" w:eastAsia="宋体" w:cs="Times New Roman"/>
          <w:bCs/>
          <w:color w:val="auto"/>
          <w:szCs w:val="21"/>
          <w:highlight w:val="none"/>
          <w:lang w:val="en-US" w:eastAsia="zh-CN"/>
        </w:rPr>
        <w:t>站</w:t>
      </w:r>
      <w:r>
        <w:rPr>
          <w:rFonts w:hint="eastAsia" w:ascii="宋体" w:hAnsi="宋体" w:eastAsia="宋体" w:cs="Times New Roman"/>
          <w:bCs/>
          <w:color w:val="auto"/>
          <w:szCs w:val="21"/>
          <w:highlight w:val="none"/>
        </w:rPr>
        <w:t>（www.dgswjt.cn）、招标代理机构网站（</w:t>
      </w:r>
      <w:r>
        <w:rPr>
          <w:rFonts w:hint="eastAsia" w:ascii="宋体" w:hAnsi="宋体" w:eastAsia="宋体" w:cs="Times New Roman"/>
          <w:bCs/>
          <w:color w:val="auto"/>
          <w:szCs w:val="21"/>
          <w:highlight w:val="none"/>
          <w:u w:val="none"/>
          <w:lang w:eastAsia="zh-CN"/>
        </w:rPr>
        <w:t>www.dashengtd.com</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5BC630C5">
      <w:pPr>
        <w:autoSpaceDE w:val="0"/>
        <w:autoSpaceDN w:val="0"/>
        <w:adjustRightInd w:val="0"/>
        <w:snapToGrid w:val="0"/>
        <w:spacing w:line="360" w:lineRule="auto"/>
        <w:ind w:right="-34"/>
        <w:jc w:val="left"/>
        <w:rPr>
          <w:rFonts w:ascii="宋体" w:hAnsi="宋体" w:eastAsia="宋体" w:cs="Times New Roman"/>
          <w:bCs/>
          <w:color w:val="auto"/>
          <w:szCs w:val="21"/>
          <w:highlight w:val="none"/>
        </w:rPr>
      </w:pPr>
    </w:p>
    <w:p w14:paraId="3097ABD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投标保证金</w:t>
      </w:r>
    </w:p>
    <w:p w14:paraId="385A2714">
      <w:pPr>
        <w:pStyle w:val="165"/>
        <w:spacing w:line="360" w:lineRule="auto"/>
        <w:ind w:left="420" w:hanging="420" w:hangingChars="200"/>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lang w:val="zh-CN"/>
        </w:rPr>
        <w:t>.1 本次招标投标人须提交投标保证金金额：</w:t>
      </w:r>
      <w:r>
        <w:rPr>
          <w:rFonts w:hint="eastAsia" w:hAnsi="宋体" w:eastAsia="宋体"/>
          <w:bCs/>
          <w:color w:val="auto"/>
          <w:sz w:val="21"/>
          <w:szCs w:val="21"/>
          <w:highlight w:val="none"/>
          <w:lang w:val="en-US" w:eastAsia="zh-CN"/>
        </w:rPr>
        <w:t>50</w:t>
      </w:r>
      <w:r>
        <w:rPr>
          <w:rFonts w:hint="eastAsia" w:hAnsi="宋体" w:eastAsia="宋体"/>
          <w:bCs/>
          <w:color w:val="auto"/>
          <w:sz w:val="21"/>
          <w:szCs w:val="21"/>
          <w:highlight w:val="none"/>
          <w:lang w:val="zh-CN"/>
        </w:rPr>
        <w:t>0</w:t>
      </w:r>
      <w:r>
        <w:rPr>
          <w:rFonts w:hint="eastAsia" w:hAnsi="宋体" w:eastAsia="宋体"/>
          <w:bCs/>
          <w:color w:val="auto"/>
          <w:sz w:val="21"/>
          <w:szCs w:val="21"/>
          <w:highlight w:val="none"/>
          <w:lang w:val="en-US" w:eastAsia="zh-CN"/>
        </w:rPr>
        <w:t>,</w:t>
      </w:r>
      <w:r>
        <w:rPr>
          <w:rFonts w:hint="eastAsia" w:hAnsi="宋体" w:eastAsia="宋体"/>
          <w:bCs/>
          <w:color w:val="auto"/>
          <w:sz w:val="21"/>
          <w:szCs w:val="21"/>
          <w:highlight w:val="none"/>
          <w:lang w:val="zh-CN"/>
        </w:rPr>
        <w:t>000</w:t>
      </w:r>
      <w:r>
        <w:rPr>
          <w:rFonts w:hint="eastAsia" w:hAnsi="宋体" w:eastAsia="宋体"/>
          <w:bCs/>
          <w:color w:val="auto"/>
          <w:sz w:val="21"/>
          <w:szCs w:val="21"/>
          <w:highlight w:val="none"/>
          <w:lang w:val="en-US" w:eastAsia="zh-CN"/>
        </w:rPr>
        <w:t>.00</w:t>
      </w:r>
      <w:r>
        <w:rPr>
          <w:rFonts w:hint="eastAsia" w:ascii="宋体" w:hAnsi="宋体" w:eastAsia="宋体"/>
          <w:bCs/>
          <w:color w:val="auto"/>
          <w:sz w:val="21"/>
          <w:szCs w:val="21"/>
          <w:highlight w:val="none"/>
          <w:lang w:val="zh-CN"/>
        </w:rPr>
        <w:t>元。</w:t>
      </w:r>
    </w:p>
    <w:p w14:paraId="6A2A0A45">
      <w:pPr>
        <w:pStyle w:val="165"/>
        <w:spacing w:line="360" w:lineRule="auto"/>
        <w:ind w:left="420" w:hanging="420" w:hangingChars="200"/>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lang w:val="zh-CN"/>
        </w:rPr>
        <w:t>.</w:t>
      </w:r>
      <w:r>
        <w:rPr>
          <w:rFonts w:hint="eastAsia" w:hAnsi="宋体" w:eastAsia="宋体"/>
          <w:bCs/>
          <w:color w:val="auto"/>
          <w:sz w:val="21"/>
          <w:szCs w:val="21"/>
          <w:highlight w:val="none"/>
          <w:lang w:val="en-US" w:eastAsia="zh-CN"/>
        </w:rPr>
        <w:t xml:space="preserve">2 </w:t>
      </w:r>
      <w:r>
        <w:rPr>
          <w:rFonts w:hint="eastAsia" w:ascii="宋体" w:hAnsi="宋体" w:eastAsia="宋体"/>
          <w:bCs/>
          <w:color w:val="auto"/>
          <w:sz w:val="21"/>
          <w:szCs w:val="21"/>
          <w:highlight w:val="none"/>
          <w:lang w:val="zh-CN"/>
        </w:rPr>
        <w:t>投标保证金形式：单项投标保证金；银行电子保函；保险电子保单；</w:t>
      </w:r>
    </w:p>
    <w:p w14:paraId="1EA152F5">
      <w:pPr>
        <w:pStyle w:val="165"/>
        <w:spacing w:line="360" w:lineRule="auto"/>
        <w:ind w:left="420" w:hanging="420" w:hangingChars="200"/>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其它：      /       。</w:t>
      </w:r>
    </w:p>
    <w:p w14:paraId="680B7E8E">
      <w:pPr>
        <w:pStyle w:val="165"/>
        <w:spacing w:line="360" w:lineRule="auto"/>
        <w:ind w:left="420" w:hanging="420" w:hangingChars="200"/>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en-US" w:eastAsia="zh-CN"/>
        </w:rPr>
        <w:t>8</w:t>
      </w:r>
      <w:r>
        <w:rPr>
          <w:rFonts w:hint="eastAsia" w:ascii="宋体" w:hAnsi="宋体" w:eastAsia="宋体"/>
          <w:bCs/>
          <w:color w:val="auto"/>
          <w:sz w:val="21"/>
          <w:szCs w:val="21"/>
          <w:highlight w:val="none"/>
          <w:lang w:val="zh-CN"/>
        </w:rPr>
        <w:t>.</w:t>
      </w:r>
      <w:r>
        <w:rPr>
          <w:rFonts w:hint="eastAsia" w:hAnsi="宋体" w:eastAsia="宋体"/>
          <w:bCs/>
          <w:color w:val="auto"/>
          <w:sz w:val="21"/>
          <w:szCs w:val="21"/>
          <w:highlight w:val="none"/>
          <w:lang w:val="en-US" w:eastAsia="zh-CN"/>
        </w:rPr>
        <w:t xml:space="preserve">3 </w:t>
      </w:r>
      <w:r>
        <w:rPr>
          <w:rFonts w:hint="eastAsia" w:ascii="宋体" w:hAnsi="宋体" w:eastAsia="宋体"/>
          <w:bCs/>
          <w:color w:val="auto"/>
          <w:sz w:val="21"/>
          <w:szCs w:val="21"/>
          <w:highlight w:val="none"/>
          <w:lang w:val="zh-CN"/>
        </w:rPr>
        <w:t>投标保证金形式注意事项：</w:t>
      </w:r>
    </w:p>
    <w:p w14:paraId="1612C1A2">
      <w:pPr>
        <w:pStyle w:val="165"/>
        <w:spacing w:line="360" w:lineRule="auto"/>
        <w:ind w:left="420" w:hanging="420" w:hangingChars="200"/>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（1）投标保证金到账时间应为投标保证金的关联时间。</w:t>
      </w:r>
    </w:p>
    <w:p w14:paraId="5484E811">
      <w:pPr>
        <w:pStyle w:val="165"/>
        <w:spacing w:line="360" w:lineRule="auto"/>
        <w:ind w:left="420" w:hanging="420" w:hangingChars="200"/>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（2）投标保证金数据超过投标截止时间后到达交易系统的，无法关联。</w:t>
      </w:r>
    </w:p>
    <w:p w14:paraId="2FF759E4">
      <w:pPr>
        <w:pStyle w:val="165"/>
        <w:spacing w:line="360" w:lineRule="auto"/>
        <w:ind w:left="420" w:hanging="420" w:hangingChars="200"/>
        <w:rPr>
          <w:rFonts w:hint="eastAsia" w:ascii="宋体" w:hAnsi="宋体" w:eastAsia="宋体"/>
          <w:bCs/>
          <w:color w:val="auto"/>
          <w:sz w:val="21"/>
          <w:szCs w:val="21"/>
          <w:highlight w:val="none"/>
          <w:lang w:val="zh-CN"/>
        </w:rPr>
      </w:pPr>
      <w:r>
        <w:rPr>
          <w:rFonts w:hint="eastAsia" w:ascii="宋体" w:hAnsi="宋体" w:eastAsia="宋体"/>
          <w:bCs/>
          <w:color w:val="auto"/>
          <w:sz w:val="21"/>
          <w:szCs w:val="21"/>
          <w:highlight w:val="none"/>
          <w:lang w:val="zh-CN"/>
        </w:rPr>
        <w:t>（3）投标人应提前办理投标保证金手续，自行承担数据延误风险。</w:t>
      </w:r>
    </w:p>
    <w:p w14:paraId="4FE3D9D5">
      <w:pPr>
        <w:autoSpaceDE w:val="0"/>
        <w:autoSpaceDN w:val="0"/>
        <w:adjustRightInd w:val="0"/>
        <w:snapToGrid w:val="0"/>
        <w:spacing w:line="360" w:lineRule="auto"/>
        <w:ind w:right="-34"/>
        <w:jc w:val="left"/>
        <w:rPr>
          <w:rFonts w:ascii="宋体" w:hAnsi="宋体" w:eastAsia="宋体" w:cs="Times New Roman"/>
          <w:bCs/>
          <w:color w:val="auto"/>
          <w:szCs w:val="21"/>
          <w:highlight w:val="none"/>
        </w:rPr>
      </w:pPr>
    </w:p>
    <w:p w14:paraId="0B52CC5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39CFD05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东莞市水务集团供水有限公司</w:t>
      </w:r>
    </w:p>
    <w:p w14:paraId="26AB7E6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东莞市莞城街道莞龙路141号</w:t>
      </w:r>
    </w:p>
    <w:p w14:paraId="61C0DB1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：谢沛东</w:t>
      </w:r>
    </w:p>
    <w:p w14:paraId="61E7CAD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0769-22689080</w:t>
      </w:r>
    </w:p>
    <w:p w14:paraId="09D506C0">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4CD0F96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7CCB8AB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2" w:name="_Toc31764_WPSOffice_Level1"/>
      <w:bookmarkStart w:id="13" w:name="_Toc450662847"/>
      <w:bookmarkStart w:id="14" w:name="_Toc48616766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东莞市达盛招标代理有限公司</w:t>
      </w:r>
    </w:p>
    <w:p w14:paraId="46A8CD7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lang w:eastAsia="zh-CN"/>
        </w:rPr>
        <w:t>东莞市东城街道御景大厦303室（东城区政府旁）</w:t>
      </w:r>
    </w:p>
    <w:p w14:paraId="2E23B009">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杨浩林</w:t>
      </w:r>
    </w:p>
    <w:p w14:paraId="0E433E5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（0769）22113229</w:t>
      </w:r>
    </w:p>
    <w:p w14:paraId="7AB607E3">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5" w:name="_Toc16068"/>
      <w:bookmarkStart w:id="16" w:name="_Toc31849"/>
      <w:bookmarkStart w:id="17" w:name="_Toc18212"/>
      <w:bookmarkStart w:id="18" w:name="_Toc15111"/>
      <w:bookmarkStart w:id="19" w:name="_Toc142508311"/>
      <w:bookmarkStart w:id="20" w:name="_Toc195714215"/>
      <w:bookmarkStart w:id="21" w:name="_Toc21384"/>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2"/>
      <w:bookmarkEnd w:id="13"/>
      <w:bookmarkEnd w:id="14"/>
      <w:bookmarkEnd w:id="15"/>
      <w:bookmarkEnd w:id="16"/>
      <w:bookmarkEnd w:id="17"/>
      <w:bookmarkEnd w:id="18"/>
      <w:bookmarkEnd w:id="19"/>
      <w:bookmarkEnd w:id="20"/>
      <w:bookmarkEnd w:id="21"/>
    </w:p>
    <w:p w14:paraId="3B59EB78">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2" w:name="_Toc29575"/>
      <w:bookmarkStart w:id="23" w:name="_Toc23880"/>
      <w:bookmarkStart w:id="24" w:name="_Toc142508312"/>
      <w:bookmarkStart w:id="25" w:name="_Toc15366_WPSOffice_Level2"/>
      <w:bookmarkStart w:id="26" w:name="_Toc26584"/>
      <w:bookmarkStart w:id="27" w:name="_Toc9555"/>
      <w:bookmarkStart w:id="28" w:name="_Toc486167662"/>
      <w:bookmarkStart w:id="29" w:name="_Toc450662848"/>
      <w:bookmarkStart w:id="30" w:name="_Toc24479"/>
      <w:bookmarkStart w:id="31" w:name="_Toc140596871"/>
      <w:bookmarkStart w:id="32" w:name="_Toc195714216"/>
      <w:r>
        <w:rPr>
          <w:rFonts w:hint="eastAsia" w:ascii="宋体" w:hAnsi="宋体" w:eastAsia="宋体" w:cs="宋体"/>
          <w:b/>
          <w:bCs/>
          <w:color w:val="auto"/>
          <w:kern w:val="44"/>
          <w:szCs w:val="21"/>
          <w:highlight w:val="none"/>
          <w:lang w:val="zh-CN"/>
        </w:rPr>
        <w:t>一、总则</w:t>
      </w:r>
      <w:bookmarkEnd w:id="22"/>
      <w:bookmarkEnd w:id="23"/>
      <w:bookmarkEnd w:id="24"/>
      <w:bookmarkEnd w:id="25"/>
      <w:bookmarkEnd w:id="26"/>
      <w:bookmarkEnd w:id="27"/>
      <w:bookmarkEnd w:id="28"/>
      <w:bookmarkEnd w:id="29"/>
      <w:bookmarkEnd w:id="30"/>
      <w:bookmarkEnd w:id="31"/>
      <w:bookmarkEnd w:id="32"/>
    </w:p>
    <w:p w14:paraId="03A7FD9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 w:name="_Toc11824"/>
      <w:bookmarkStart w:id="34" w:name="_Toc195714217"/>
      <w:bookmarkStart w:id="35" w:name="_Toc9608"/>
      <w:bookmarkStart w:id="36" w:name="_Toc21710_WPSOffice_Level3"/>
      <w:bookmarkStart w:id="37" w:name="_Toc486167663"/>
      <w:bookmarkStart w:id="38" w:name="_Toc19338"/>
      <w:bookmarkStart w:id="39" w:name="_Toc20001"/>
      <w:bookmarkStart w:id="40" w:name="_Toc23333"/>
      <w:bookmarkStart w:id="41" w:name="_Toc142508313"/>
      <w:bookmarkStart w:id="42" w:name="_Toc450662849"/>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3"/>
      <w:bookmarkEnd w:id="34"/>
      <w:bookmarkEnd w:id="35"/>
      <w:bookmarkEnd w:id="36"/>
      <w:bookmarkEnd w:id="37"/>
      <w:bookmarkEnd w:id="38"/>
      <w:bookmarkEnd w:id="39"/>
      <w:bookmarkEnd w:id="40"/>
      <w:bookmarkEnd w:id="41"/>
      <w:bookmarkEnd w:id="42"/>
    </w:p>
    <w:p w14:paraId="18393FCC">
      <w:pPr>
        <w:autoSpaceDE w:val="0"/>
        <w:autoSpaceDN w:val="0"/>
        <w:adjustRightInd w:val="0"/>
        <w:jc w:val="left"/>
        <w:rPr>
          <w:rFonts w:ascii="宋体" w:hAnsi="宋体" w:eastAsia="宋体" w:cs="宋体"/>
          <w:color w:val="auto"/>
          <w:kern w:val="0"/>
          <w:sz w:val="24"/>
          <w:szCs w:val="24"/>
          <w:highlight w:val="none"/>
        </w:rPr>
      </w:pPr>
    </w:p>
    <w:p w14:paraId="297E2B8B">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3" w:name="_Toc32244"/>
      <w:bookmarkStart w:id="44" w:name="_Toc9225"/>
      <w:bookmarkStart w:id="45" w:name="_Toc80_WPSOffice_Level3"/>
      <w:bookmarkStart w:id="46" w:name="_Toc18647"/>
      <w:bookmarkStart w:id="47" w:name="_Toc486167664"/>
      <w:bookmarkStart w:id="48" w:name="_Toc450662850"/>
      <w:bookmarkStart w:id="49" w:name="_Toc195714218"/>
      <w:bookmarkStart w:id="50" w:name="_Toc18557"/>
      <w:bookmarkStart w:id="51" w:name="_Toc142508314"/>
      <w:bookmarkStart w:id="52" w:name="_Toc1454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43"/>
      <w:bookmarkEnd w:id="44"/>
      <w:bookmarkEnd w:id="45"/>
      <w:bookmarkEnd w:id="46"/>
      <w:bookmarkEnd w:id="47"/>
      <w:bookmarkEnd w:id="48"/>
      <w:bookmarkEnd w:id="49"/>
      <w:bookmarkEnd w:id="50"/>
      <w:bookmarkEnd w:id="51"/>
      <w:bookmarkEnd w:id="52"/>
    </w:p>
    <w:p w14:paraId="2E21F411">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2.5</w:t>
      </w:r>
      <w:r>
        <w:rPr>
          <w:rFonts w:hint="eastAsia" w:ascii="宋体" w:hAnsi="宋体" w:eastAsia="宋体" w:cs="宋体"/>
          <w:b/>
          <w:color w:val="auto"/>
          <w:szCs w:val="21"/>
          <w:highlight w:val="none"/>
          <w:lang w:val="zh-CN"/>
        </w:rPr>
        <w:t>款的通用要求。</w:t>
      </w:r>
    </w:p>
    <w:p w14:paraId="20D4A865">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34A6AB88">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5E87FE84">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48431A8D">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711C2913">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5EF654F">
      <w:pPr>
        <w:tabs>
          <w:tab w:val="left" w:pos="570"/>
        </w:tabs>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53" w:name="_Toc4066"/>
      <w:bookmarkStart w:id="54" w:name="_Toc8199"/>
      <w:bookmarkStart w:id="55" w:name="_Toc22753"/>
      <w:bookmarkStart w:id="56" w:name="_Toc18598"/>
      <w:bookmarkStart w:id="57" w:name="_Toc28856"/>
      <w:bookmarkStart w:id="58" w:name="_Toc195714219"/>
      <w:bookmarkStart w:id="59" w:name="_Toc19774"/>
      <w:bookmarkStart w:id="60" w:name="_Toc11689"/>
      <w:bookmarkStart w:id="61" w:name="_Toc142508315"/>
      <w:bookmarkStart w:id="62" w:name="_Toc23847_WPSOffice_Level3"/>
      <w:bookmarkStart w:id="63" w:name="_Toc450662851"/>
      <w:bookmarkStart w:id="64"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53"/>
      <w:bookmarkEnd w:id="54"/>
      <w:r>
        <w:rPr>
          <w:rFonts w:hint="eastAsia" w:ascii="宋体" w:hAnsi="宋体" w:eastAsia="宋体" w:cs="宋体"/>
          <w:b/>
          <w:color w:val="auto"/>
          <w:szCs w:val="21"/>
          <w:highlight w:val="none"/>
          <w:lang w:val="zh-CN"/>
        </w:rPr>
        <w:t>货物</w:t>
      </w:r>
      <w:bookmarkEnd w:id="55"/>
      <w:bookmarkEnd w:id="56"/>
      <w:bookmarkEnd w:id="57"/>
      <w:bookmarkEnd w:id="58"/>
    </w:p>
    <w:p w14:paraId="3E8362B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576D767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p w14:paraId="090BDBF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5" w:name="_Toc1977664"/>
      <w:bookmarkStart w:id="66" w:name="_Toc533708064"/>
      <w:r>
        <w:rPr>
          <w:rFonts w:hint="eastAsia" w:ascii="宋体" w:hAnsi="宋体" w:eastAsia="宋体" w:cs="宋体"/>
          <w:color w:val="auto"/>
          <w:szCs w:val="21"/>
          <w:highlight w:val="none"/>
          <w:lang w:val="zh-CN"/>
        </w:rPr>
        <w:t>3.</w:t>
      </w:r>
      <w:bookmarkEnd w:id="65"/>
      <w:bookmarkEnd w:id="66"/>
      <w:r>
        <w:rPr>
          <w:rFonts w:hint="eastAsia" w:ascii="宋体" w:hAnsi="宋体" w:eastAsia="宋体" w:cs="宋体"/>
          <w:color w:val="auto"/>
          <w:szCs w:val="21"/>
          <w:highlight w:val="none"/>
          <w:lang w:val="zh-CN"/>
        </w:rPr>
        <w:t>3  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p>
    <w:p w14:paraId="566E8C24">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0ED1F04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p>
    <w:p w14:paraId="51D1175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p>
    <w:bookmarkEnd w:id="59"/>
    <w:bookmarkEnd w:id="60"/>
    <w:bookmarkEnd w:id="61"/>
    <w:bookmarkEnd w:id="62"/>
    <w:p w14:paraId="4F6B2902">
      <w:pPr>
        <w:autoSpaceDE w:val="0"/>
        <w:autoSpaceDN w:val="0"/>
        <w:adjustRightInd w:val="0"/>
        <w:spacing w:line="360" w:lineRule="auto"/>
        <w:jc w:val="left"/>
        <w:rPr>
          <w:rFonts w:ascii="宋体" w:hAnsi="宋体" w:eastAsia="宋体" w:cs="宋体"/>
          <w:color w:val="auto"/>
          <w:szCs w:val="21"/>
          <w:highlight w:val="none"/>
          <w:lang w:val="zh-CN"/>
        </w:rPr>
      </w:pPr>
    </w:p>
    <w:p w14:paraId="64C63215">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7" w:name="_Toc10715"/>
      <w:bookmarkStart w:id="68" w:name="_Toc11533"/>
      <w:bookmarkStart w:id="69" w:name="_Toc12869"/>
      <w:bookmarkStart w:id="70" w:name="_Toc195714220"/>
      <w:bookmarkStart w:id="71" w:name="_Toc142508316"/>
      <w:bookmarkStart w:id="72" w:name="_Toc9570"/>
      <w:bookmarkStart w:id="73" w:name="_Toc9658_WPSOffice_Level3"/>
      <w:bookmarkStart w:id="74" w:name="_Toc340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7"/>
      <w:bookmarkEnd w:id="68"/>
      <w:bookmarkEnd w:id="69"/>
      <w:bookmarkEnd w:id="70"/>
      <w:bookmarkEnd w:id="71"/>
      <w:bookmarkEnd w:id="72"/>
      <w:bookmarkEnd w:id="73"/>
      <w:bookmarkEnd w:id="74"/>
    </w:p>
    <w:p w14:paraId="5050759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5" w:name="_Toc1977670"/>
      <w:bookmarkStart w:id="76" w:name="_Toc533708070"/>
      <w:r>
        <w:rPr>
          <w:rFonts w:hint="eastAsia" w:ascii="宋体" w:hAnsi="宋体" w:eastAsia="宋体" w:cs="宋体"/>
          <w:color w:val="auto"/>
          <w:szCs w:val="21"/>
          <w:highlight w:val="none"/>
          <w:lang w:val="zh-CN"/>
        </w:rPr>
        <w:t>4.1  投标费用</w:t>
      </w:r>
      <w:bookmarkEnd w:id="75"/>
      <w:bookmarkEnd w:id="76"/>
    </w:p>
    <w:p w14:paraId="58ABE1EA">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7" w:name="_Toc533708072"/>
      <w:bookmarkStart w:id="78"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7"/>
      <w:bookmarkEnd w:id="78"/>
    </w:p>
    <w:p w14:paraId="038757A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9" w:name="_Toc533708073"/>
      <w:bookmarkStart w:id="80" w:name="_Toc1977673"/>
      <w:r>
        <w:rPr>
          <w:rFonts w:hint="eastAsia" w:ascii="宋体" w:hAnsi="宋体" w:eastAsia="宋体" w:cs="宋体"/>
          <w:color w:val="auto"/>
          <w:szCs w:val="21"/>
          <w:highlight w:val="none"/>
          <w:lang w:val="zh-CN"/>
        </w:rPr>
        <w:t>4.2  踏勘现场</w:t>
      </w:r>
      <w:bookmarkEnd w:id="79"/>
      <w:bookmarkEnd w:id="80"/>
    </w:p>
    <w:p w14:paraId="5417B1FB">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81" w:name="_Toc533708076"/>
      <w:bookmarkStart w:id="82"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44D84527">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47E63290">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18317DB8">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175513D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63"/>
      <w:bookmarkEnd w:id="64"/>
      <w:bookmarkEnd w:id="81"/>
      <w:bookmarkEnd w:id="82"/>
    </w:p>
    <w:p w14:paraId="411E9B0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37408EB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4257A5B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7C09D6C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D109DF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0A809C3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470A8080">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537A2557">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3" w:name="_Toc486167667"/>
      <w:bookmarkStart w:id="84" w:name="_Toc30507_WPSOffice_Level2"/>
      <w:bookmarkStart w:id="85" w:name="_Toc142508317"/>
      <w:bookmarkStart w:id="86" w:name="_Toc195714221"/>
      <w:bookmarkStart w:id="87" w:name="_Toc2480"/>
      <w:bookmarkStart w:id="88" w:name="_Toc5395"/>
      <w:bookmarkStart w:id="89" w:name="_Toc25972"/>
      <w:bookmarkStart w:id="90" w:name="_Toc140596876"/>
      <w:bookmarkStart w:id="91" w:name="_Toc1565"/>
      <w:bookmarkStart w:id="92" w:name="_Toc450662853"/>
      <w:bookmarkStart w:id="93" w:name="_Toc4207"/>
      <w:r>
        <w:rPr>
          <w:rFonts w:hint="eastAsia" w:ascii="宋体" w:hAnsi="宋体" w:eastAsia="宋体" w:cs="宋体"/>
          <w:b/>
          <w:bCs/>
          <w:color w:val="auto"/>
          <w:kern w:val="44"/>
          <w:szCs w:val="21"/>
          <w:highlight w:val="none"/>
          <w:lang w:val="zh-CN"/>
        </w:rPr>
        <w:t>二、招标文件</w:t>
      </w:r>
      <w:bookmarkEnd w:id="83"/>
      <w:bookmarkEnd w:id="84"/>
      <w:bookmarkEnd w:id="85"/>
      <w:bookmarkEnd w:id="86"/>
      <w:bookmarkEnd w:id="87"/>
      <w:bookmarkEnd w:id="88"/>
      <w:bookmarkEnd w:id="89"/>
      <w:bookmarkEnd w:id="90"/>
      <w:bookmarkEnd w:id="91"/>
      <w:bookmarkEnd w:id="92"/>
      <w:bookmarkEnd w:id="93"/>
    </w:p>
    <w:p w14:paraId="6B54C52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4" w:name="_Toc28893"/>
      <w:bookmarkStart w:id="95" w:name="_Toc26635_WPSOffice_Level3"/>
      <w:bookmarkStart w:id="96" w:name="_Toc450662854"/>
      <w:bookmarkStart w:id="97" w:name="_Toc195714222"/>
      <w:bookmarkStart w:id="98" w:name="_Toc2406"/>
      <w:bookmarkStart w:id="99" w:name="_Toc16514"/>
      <w:bookmarkStart w:id="100" w:name="_Toc486167668"/>
      <w:bookmarkStart w:id="101" w:name="_Toc6214"/>
      <w:bookmarkStart w:id="102" w:name="_Toc142508318"/>
      <w:bookmarkStart w:id="103" w:name="_Toc18585"/>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94"/>
      <w:bookmarkEnd w:id="95"/>
      <w:bookmarkEnd w:id="96"/>
      <w:bookmarkEnd w:id="97"/>
      <w:bookmarkEnd w:id="98"/>
      <w:bookmarkEnd w:id="99"/>
      <w:bookmarkEnd w:id="100"/>
      <w:bookmarkEnd w:id="101"/>
      <w:bookmarkEnd w:id="102"/>
      <w:bookmarkEnd w:id="103"/>
    </w:p>
    <w:p w14:paraId="3BBDB8A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448474B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19423DA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5D3999D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57D28C0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472FF6B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26536B0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5B5E801B">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06437EBF">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07F9EEF0">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362AF03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w:t>
      </w:r>
    </w:p>
    <w:p w14:paraId="5499851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东莞市达盛招标代理有限公司</w:t>
      </w:r>
      <w:r>
        <w:rPr>
          <w:rFonts w:hint="eastAsia" w:ascii="宋体" w:hAnsi="宋体" w:eastAsia="宋体" w:cs="Times New Roman"/>
          <w:color w:val="auto"/>
          <w:kern w:val="0"/>
          <w:szCs w:val="21"/>
          <w:highlight w:val="none"/>
        </w:rPr>
        <w:t>；</w:t>
      </w:r>
    </w:p>
    <w:p w14:paraId="11EE578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东莞市供水计量设施更新项目(2025年计量仪表采购)－旋翼式远传水表</w:t>
      </w:r>
      <w:r>
        <w:rPr>
          <w:rFonts w:hint="eastAsia" w:ascii="宋体" w:hAnsi="宋体" w:eastAsia="宋体" w:cs="Times New Roman"/>
          <w:color w:val="auto"/>
          <w:kern w:val="0"/>
          <w:szCs w:val="21"/>
          <w:highlight w:val="none"/>
        </w:rPr>
        <w:t>所需的货物及有关服务的投标，并向交易系统在线上传投标文件的当事人；</w:t>
      </w:r>
    </w:p>
    <w:p w14:paraId="50B189B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5CE56BF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7E07D70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w:t>
      </w:r>
    </w:p>
    <w:p w14:paraId="1CE99E0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7D73C43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7C9661F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）“投标文件”指投标人根据本招标文件向交易系统在线上传的全部文件；</w:t>
      </w:r>
    </w:p>
    <w:p w14:paraId="70DF415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2A9520C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753110A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09CE56C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52D3954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、采购货物等所产生的价税）的其他全部费用。本采购项目投标人的销项税额由招标人承担，不计入投标报价。</w:t>
      </w:r>
    </w:p>
    <w:p w14:paraId="5FB3A612">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4AC4BB1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4" w:name="_Toc32057"/>
      <w:bookmarkStart w:id="105" w:name="_Toc11346"/>
      <w:bookmarkStart w:id="106" w:name="_Toc29125_WPSOffice_Level3"/>
      <w:bookmarkStart w:id="107" w:name="_Toc142508319"/>
      <w:bookmarkStart w:id="108" w:name="_Toc195714223"/>
      <w:bookmarkStart w:id="109" w:name="_Toc30964"/>
      <w:bookmarkStart w:id="110" w:name="_Toc486167669"/>
      <w:bookmarkStart w:id="111" w:name="_Toc3727"/>
      <w:bookmarkStart w:id="112" w:name="_Toc450662855"/>
      <w:bookmarkStart w:id="113" w:name="_Toc13082"/>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04"/>
      <w:bookmarkEnd w:id="105"/>
      <w:bookmarkEnd w:id="106"/>
      <w:bookmarkEnd w:id="107"/>
      <w:bookmarkEnd w:id="108"/>
      <w:bookmarkEnd w:id="109"/>
      <w:bookmarkEnd w:id="110"/>
      <w:bookmarkEnd w:id="111"/>
      <w:bookmarkEnd w:id="112"/>
      <w:bookmarkEnd w:id="113"/>
    </w:p>
    <w:p w14:paraId="44D84BF3">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投标人或者其他利害关系人对招标文件有异议的，应当在投标截止时间10日前以书面形式</w:t>
      </w:r>
      <w:r>
        <w:rPr>
          <w:rFonts w:ascii="宋体" w:hAnsi="宋体" w:eastAsia="宋体" w:cs="Times New Roman"/>
          <w:color w:val="auto"/>
          <w:szCs w:val="21"/>
          <w:highlight w:val="none"/>
          <w:lang w:val="zh-CN"/>
        </w:rPr>
        <w:t>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hint="eastAsia" w:ascii="宋体" w:hAnsi="宋体" w:eastAsia="宋体" w:cs="Times New Roman"/>
          <w:b w:val="0"/>
          <w:bCs w:val="0"/>
          <w:color w:val="auto"/>
          <w:szCs w:val="21"/>
          <w:highlight w:val="none"/>
          <w:lang w:val="zh-CN"/>
        </w:rPr>
        <w:t>并将材料原件送达招标代理机构，逾期则视为对招标文件所有内容无异议。异议书面材料必须加盖投标人法人公章，并注明联系人、联系电话、联系地址。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4F50949B">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20653CE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4" w:name="_Toc4303"/>
      <w:bookmarkStart w:id="115" w:name="_Toc17145"/>
      <w:bookmarkStart w:id="116" w:name="_Toc486167670"/>
      <w:bookmarkStart w:id="117" w:name="_Toc23483_WPSOffice_Level3"/>
      <w:bookmarkStart w:id="118" w:name="_Toc450662856"/>
      <w:bookmarkStart w:id="119" w:name="_Toc195714224"/>
      <w:bookmarkStart w:id="120" w:name="_Toc142508320"/>
      <w:bookmarkStart w:id="121" w:name="_Toc29864"/>
      <w:bookmarkStart w:id="122" w:name="_Toc15962"/>
      <w:bookmarkStart w:id="123" w:name="_Toc30349"/>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14"/>
      <w:bookmarkEnd w:id="115"/>
      <w:bookmarkEnd w:id="116"/>
      <w:bookmarkEnd w:id="117"/>
      <w:bookmarkEnd w:id="118"/>
      <w:bookmarkEnd w:id="119"/>
      <w:bookmarkEnd w:id="120"/>
      <w:bookmarkEnd w:id="121"/>
      <w:bookmarkEnd w:id="122"/>
      <w:bookmarkEnd w:id="123"/>
    </w:p>
    <w:p w14:paraId="0C9668B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33C58EA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5CBB305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全国公共资源交易平台（广东省·东莞市）（https://ygp.gdzwfw.gov.cn/#/441900/index）、</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hint="eastAsia" w:ascii="宋体" w:hAnsi="宋体" w:eastAsia="宋体" w:cs="Times New Roman"/>
          <w:color w:val="auto"/>
          <w:szCs w:val="21"/>
          <w:highlight w:val="none"/>
          <w:lang w:val="en-US" w:eastAsia="zh-CN"/>
        </w:rPr>
        <w:t>站</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50"/>
          <w:rFonts w:ascii="宋体" w:hAnsi="宋体" w:eastAsia="宋体" w:cs="Times New Roman"/>
          <w:color w:val="auto"/>
          <w:sz w:val="21"/>
          <w:szCs w:val="21"/>
          <w:highlight w:val="none"/>
        </w:rPr>
        <w:t>www.dgswjt.cn）</w:t>
      </w:r>
      <w:r>
        <w:rPr>
          <w:rStyle w:val="50"/>
          <w:rFonts w:ascii="宋体" w:hAnsi="宋体" w:eastAsia="宋体" w:cs="Times New Roman"/>
          <w:color w:val="auto"/>
          <w:sz w:val="21"/>
          <w:szCs w:val="21"/>
          <w:highlight w:val="none"/>
          <w:lang w:val="zh-CN"/>
        </w:rPr>
        <w:t>、</w:t>
      </w:r>
      <w:r>
        <w:rPr>
          <w:rStyle w:val="50"/>
          <w:rFonts w:hint="eastAsia" w:ascii="宋体" w:hAnsi="宋体" w:eastAsia="宋体" w:cs="Times New Roman"/>
          <w:bCs/>
          <w:color w:val="auto"/>
          <w:kern w:val="0"/>
          <w:sz w:val="21"/>
          <w:szCs w:val="21"/>
          <w:highlight w:val="none"/>
        </w:rPr>
        <w:t>招标代理机构网站（</w:t>
      </w:r>
      <w:r>
        <w:rPr>
          <w:rStyle w:val="50"/>
          <w:rFonts w:hint="eastAsia" w:ascii="宋体" w:hAnsi="宋体" w:eastAsia="宋体" w:cs="Times New Roman"/>
          <w:bCs/>
          <w:color w:val="auto"/>
          <w:kern w:val="0"/>
          <w:sz w:val="21"/>
          <w:szCs w:val="21"/>
          <w:highlight w:val="none"/>
          <w:u w:val="none"/>
          <w:lang w:eastAsia="zh-CN"/>
        </w:rPr>
        <w:t>www.dashengtd.com</w:t>
      </w:r>
      <w:r>
        <w:rPr>
          <w:rStyle w:val="50"/>
          <w:rFonts w:ascii="宋体" w:hAnsi="宋体" w:eastAsia="宋体" w:cs="Times New Roman"/>
          <w:bCs/>
          <w:color w:val="auto"/>
          <w:kern w:val="0"/>
          <w:sz w:val="21"/>
          <w:szCs w:val="21"/>
          <w:highlight w:val="none"/>
        </w:rPr>
        <w:t>）</w:t>
      </w:r>
      <w:r>
        <w:rPr>
          <w:rStyle w:val="50"/>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50EEE052">
      <w:pPr>
        <w:autoSpaceDE w:val="0"/>
        <w:autoSpaceDN w:val="0"/>
        <w:adjustRightInd w:val="0"/>
        <w:spacing w:line="360" w:lineRule="auto"/>
        <w:ind w:left="357" w:leftChars="-100" w:hanging="567"/>
        <w:rPr>
          <w:rFonts w:ascii="宋体" w:hAnsi="宋体" w:eastAsia="宋体" w:cs="宋体"/>
          <w:color w:val="auto"/>
          <w:szCs w:val="21"/>
          <w:highlight w:val="none"/>
        </w:rPr>
      </w:pPr>
    </w:p>
    <w:p w14:paraId="5894DB01">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24" w:name="_Toc12164"/>
      <w:bookmarkStart w:id="125" w:name="_Toc12888"/>
      <w:bookmarkStart w:id="126" w:name="_Toc195714225"/>
      <w:bookmarkStart w:id="127" w:name="_Toc15867"/>
      <w:bookmarkStart w:id="128" w:name="_Toc23342"/>
      <w:bookmarkStart w:id="129" w:name="_Toc486167671"/>
      <w:bookmarkStart w:id="130" w:name="_Toc29659_WPSOffice_Level2"/>
      <w:bookmarkStart w:id="131" w:name="_Toc142508321"/>
      <w:bookmarkStart w:id="132" w:name="_Toc450662857"/>
      <w:bookmarkStart w:id="133" w:name="_Toc140596880"/>
      <w:bookmarkStart w:id="134" w:name="_Toc8711"/>
      <w:r>
        <w:rPr>
          <w:rFonts w:hint="eastAsia" w:ascii="宋体" w:hAnsi="宋体" w:eastAsia="宋体" w:cs="宋体"/>
          <w:b/>
          <w:bCs/>
          <w:color w:val="auto"/>
          <w:kern w:val="44"/>
          <w:szCs w:val="21"/>
          <w:highlight w:val="none"/>
          <w:lang w:val="zh-CN"/>
        </w:rPr>
        <w:t>三、投标文件的编制</w:t>
      </w:r>
      <w:bookmarkEnd w:id="124"/>
      <w:bookmarkEnd w:id="125"/>
      <w:bookmarkEnd w:id="126"/>
      <w:bookmarkEnd w:id="127"/>
      <w:bookmarkEnd w:id="128"/>
      <w:bookmarkEnd w:id="129"/>
      <w:bookmarkEnd w:id="130"/>
      <w:bookmarkEnd w:id="131"/>
      <w:bookmarkEnd w:id="132"/>
      <w:bookmarkEnd w:id="133"/>
      <w:bookmarkEnd w:id="134"/>
    </w:p>
    <w:p w14:paraId="42050867">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5" w:name="_Toc5662"/>
      <w:bookmarkStart w:id="136" w:name="_Toc450662858"/>
      <w:bookmarkStart w:id="137" w:name="_Toc6244"/>
      <w:bookmarkStart w:id="138" w:name="_Toc142508322"/>
      <w:bookmarkStart w:id="139" w:name="_Toc31162"/>
      <w:bookmarkStart w:id="140" w:name="_Toc195714226"/>
      <w:bookmarkStart w:id="141" w:name="_Toc486167672"/>
      <w:bookmarkStart w:id="142" w:name="_Toc10015_WPSOffice_Level3"/>
      <w:bookmarkStart w:id="143" w:name="_Toc12523"/>
      <w:bookmarkStart w:id="144" w:name="_Toc6318"/>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35"/>
      <w:bookmarkEnd w:id="136"/>
      <w:bookmarkEnd w:id="137"/>
      <w:bookmarkEnd w:id="138"/>
      <w:bookmarkEnd w:id="139"/>
      <w:bookmarkEnd w:id="140"/>
      <w:bookmarkEnd w:id="141"/>
      <w:bookmarkEnd w:id="142"/>
      <w:bookmarkEnd w:id="143"/>
      <w:bookmarkEnd w:id="144"/>
    </w:p>
    <w:p w14:paraId="39C73CB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71AF123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6B8C40CF">
      <w:pPr>
        <w:autoSpaceDE w:val="0"/>
        <w:autoSpaceDN w:val="0"/>
        <w:adjustRightInd w:val="0"/>
        <w:spacing w:line="360" w:lineRule="auto"/>
        <w:rPr>
          <w:rFonts w:ascii="宋体" w:hAnsi="宋体" w:eastAsia="宋体" w:cs="宋体"/>
          <w:color w:val="auto"/>
          <w:szCs w:val="21"/>
          <w:highlight w:val="none"/>
          <w:lang w:val="zh-CN"/>
        </w:rPr>
      </w:pPr>
    </w:p>
    <w:p w14:paraId="62644FA4">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45" w:name="_Toc7040"/>
      <w:bookmarkStart w:id="146" w:name="_Toc450662859"/>
      <w:bookmarkStart w:id="147" w:name="_Toc142508323"/>
      <w:bookmarkStart w:id="148" w:name="_Toc24916_WPSOffice_Level3"/>
      <w:bookmarkStart w:id="149" w:name="_Toc9575"/>
      <w:bookmarkStart w:id="150" w:name="_Toc486167673"/>
      <w:bookmarkStart w:id="151" w:name="_Toc14943"/>
      <w:bookmarkStart w:id="152" w:name="_Toc7853"/>
      <w:bookmarkStart w:id="153" w:name="_Toc7348"/>
      <w:bookmarkStart w:id="154" w:name="_Toc195714227"/>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45"/>
      <w:bookmarkEnd w:id="146"/>
      <w:bookmarkEnd w:id="147"/>
      <w:bookmarkEnd w:id="148"/>
      <w:bookmarkEnd w:id="149"/>
      <w:bookmarkEnd w:id="150"/>
      <w:bookmarkEnd w:id="151"/>
      <w:bookmarkEnd w:id="152"/>
      <w:bookmarkEnd w:id="153"/>
      <w:bookmarkEnd w:id="154"/>
    </w:p>
    <w:p w14:paraId="0E9DA092">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商务标、技术标、报价信封三部分组成。</w:t>
      </w:r>
    </w:p>
    <w:p w14:paraId="4584BB2C">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商务标：</w:t>
      </w:r>
    </w:p>
    <w:p w14:paraId="293C99AE">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7167AAB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38E856F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5BCF7C0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4DE6C93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）投标人资格证明文件：</w:t>
      </w:r>
    </w:p>
    <w:p w14:paraId="346198B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w:t>
      </w:r>
    </w:p>
    <w:p w14:paraId="485C7A06">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，如投标人企业银行账户开户所在地区已取消企业银行账户许可，投标人应提供基本存款账户开户名称、开户银行、账号、编号等信息及相关备案证明（如有）或其他能证明其为基本存款账户的资料原件扫描件</w:t>
      </w:r>
      <w:r>
        <w:rPr>
          <w:rFonts w:ascii="宋体" w:hAnsi="宋体" w:eastAsia="宋体" w:cs="Times New Roman"/>
          <w:color w:val="auto"/>
          <w:szCs w:val="21"/>
          <w:highlight w:val="none"/>
          <w:lang w:val="zh-CN"/>
        </w:rPr>
        <w:t>；</w:t>
      </w:r>
    </w:p>
    <w:p w14:paraId="151D212A">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3</w:t>
      </w:r>
      <w:r>
        <w:rPr>
          <w:rFonts w:ascii="宋体" w:hAnsi="宋体" w:eastAsia="宋体" w:cs="Times New Roman"/>
          <w:color w:val="auto"/>
          <w:szCs w:val="21"/>
          <w:highlight w:val="none"/>
          <w:lang w:val="zh-CN"/>
        </w:rPr>
        <w:t>）法定代表人身份证明书和法定代表人授权书（法定代表人投标时只提供法定代表人身份证明书，委托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w:t>
      </w:r>
      <w:r>
        <w:rPr>
          <w:rFonts w:hint="eastAsia" w:ascii="宋体" w:hAnsi="宋体" w:eastAsia="宋体" w:cs="Times New Roman"/>
          <w:color w:val="auto"/>
          <w:szCs w:val="21"/>
          <w:highlight w:val="none"/>
          <w:lang w:val="zh-CN"/>
        </w:rPr>
        <w:t>或签署投标文件时需</w:t>
      </w:r>
      <w:r>
        <w:rPr>
          <w:rFonts w:ascii="宋体" w:hAnsi="宋体" w:eastAsia="宋体" w:cs="Times New Roman"/>
          <w:color w:val="auto"/>
          <w:szCs w:val="21"/>
          <w:highlight w:val="none"/>
          <w:lang w:val="zh-CN"/>
        </w:rPr>
        <w:t>同时提供法定代表人授权书）；</w:t>
      </w:r>
    </w:p>
    <w:p w14:paraId="5B29310C">
      <w:pPr>
        <w:autoSpaceDE w:val="0"/>
        <w:autoSpaceDN w:val="0"/>
        <w:adjustRightInd w:val="0"/>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 制造商资格声明和制造商售后服务承诺函及独家授权书；</w:t>
      </w:r>
    </w:p>
    <w:p w14:paraId="1E68BAE4">
      <w:pPr>
        <w:autoSpaceDE w:val="0"/>
        <w:autoSpaceDN w:val="0"/>
        <w:adjustRightInd w:val="0"/>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a、投标人为在境内依法登记注册、能独立承担民事责任能力，具有生产制造所投旋翼式远传水表能力的制造商时，提供制造商资格声明和制造商售后服务承诺函；</w:t>
      </w:r>
    </w:p>
    <w:p w14:paraId="3D130273">
      <w:pPr>
        <w:autoSpaceDE w:val="0"/>
        <w:autoSpaceDN w:val="0"/>
        <w:adjustRightInd w:val="0"/>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b、投标人为所投旋翼式远传水表制造商直接就本次投标独家授权在境内依法登记注册成立、能独立承担民事责任能力的经销商时，提供所投旋翼式远传水表制造商独家授权书和制造商资格声明；</w:t>
      </w:r>
    </w:p>
    <w:p w14:paraId="10E2EEF8">
      <w:pPr>
        <w:autoSpaceDE w:val="0"/>
        <w:autoSpaceDN w:val="0"/>
        <w:adjustRightInd w:val="0"/>
        <w:spacing w:line="360" w:lineRule="auto"/>
        <w:ind w:left="283" w:hanging="283" w:hangingChars="135"/>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c、当前述制造商资格声明和制造商独家授权书是由境外品牌境外生产的所投旋翼式远传水表制造商通过境内的办事机构出具时，同时还须提供证明该机构作为境外品牌境外生产的所投旋翼式远传水表制造商在境内的办事机构的证明文件原件扫描件[该证明文件可为显示其作为境外所投旋翼式远传水表制造商分公司的营业执照、或反映其作为境外所投旋翼式远传水表制造商子公司的章程（或出资证明、或反映出资人为境外所投旋翼式远传水表制造商的营业执照）或境外所投所投旋翼式远传水表制造商的书面证明或官网显示其关系的打印件]；</w:t>
      </w:r>
    </w:p>
    <w:p w14:paraId="79539FF2">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eastAsia" w:ascii="宋体" w:hAnsi="宋体" w:eastAsia="宋体"/>
          <w:color w:val="auto"/>
          <w:szCs w:val="21"/>
          <w:highlight w:val="none"/>
          <w:lang w:val="zh-CN"/>
        </w:rPr>
        <w:t>投标人提供一份2022年1月1日以来（合同签订日期为2022年1月1日或以后）旋翼式远传水表在国内的</w:t>
      </w:r>
      <w:r>
        <w:rPr>
          <w:rFonts w:hint="eastAsia" w:ascii="宋体" w:hAnsi="宋体" w:eastAsia="宋体"/>
          <w:color w:val="auto"/>
          <w:szCs w:val="21"/>
          <w:highlight w:val="none"/>
          <w:lang w:val="en-US" w:eastAsia="zh-CN"/>
        </w:rPr>
        <w:t>销售</w:t>
      </w:r>
      <w:r>
        <w:rPr>
          <w:rFonts w:hint="eastAsia" w:ascii="宋体" w:hAnsi="宋体" w:eastAsia="宋体"/>
          <w:color w:val="auto"/>
          <w:szCs w:val="21"/>
          <w:highlight w:val="none"/>
          <w:lang w:val="zh-CN"/>
        </w:rPr>
        <w:t>业绩</w:t>
      </w:r>
      <w:r>
        <w:rPr>
          <w:rFonts w:hint="eastAsia" w:ascii="宋体" w:hAnsi="宋体" w:eastAsia="宋体"/>
          <w:color w:val="auto"/>
          <w:szCs w:val="21"/>
          <w:highlight w:val="none"/>
        </w:rPr>
        <w:t>，资格业绩证明材料提交要求详见招标文件第六篇投标文件格式</w:t>
      </w:r>
      <w:r>
        <w:rPr>
          <w:rFonts w:hint="eastAsia" w:ascii="宋体" w:hAnsi="宋体" w:eastAsia="宋体"/>
          <w:color w:val="auto"/>
          <w:szCs w:val="21"/>
          <w:highlight w:val="none"/>
          <w:u w:val="single"/>
          <w:lang w:val="en-US" w:eastAsia="zh-CN"/>
        </w:rPr>
        <w:t>4</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p>
    <w:p w14:paraId="0EB6905B">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5E5AEB9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）投标人基本情况一览表；</w:t>
      </w:r>
    </w:p>
    <w:p w14:paraId="4252EE2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）投标人财务状况表；</w:t>
      </w:r>
    </w:p>
    <w:p w14:paraId="4C23D07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）合同条款响应程度（合同条款偏离表）；</w:t>
      </w:r>
    </w:p>
    <w:p w14:paraId="271F104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）业绩表；</w:t>
      </w:r>
    </w:p>
    <w:p w14:paraId="54DABA8C">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14:paraId="0247A58F">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技术标：</w:t>
      </w:r>
    </w:p>
    <w:p w14:paraId="6DCF4AC8">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50E08D79">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w:t>
      </w:r>
    </w:p>
    <w:p w14:paraId="47614C77">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（2）供货货物清单表</w:t>
      </w:r>
      <w:r>
        <w:rPr>
          <w:rFonts w:hint="eastAsia" w:ascii="宋体" w:hAnsi="宋体" w:eastAsia="宋体" w:cs="宋体"/>
          <w:color w:val="auto"/>
          <w:kern w:val="0"/>
          <w:szCs w:val="21"/>
          <w:highlight w:val="none"/>
          <w:lang w:val="zh-CN"/>
        </w:rPr>
        <w:t>（货物明细中</w:t>
      </w:r>
      <w:r>
        <w:rPr>
          <w:rFonts w:hint="eastAsia" w:ascii="宋体" w:hAnsi="宋体" w:eastAsia="宋体" w:cs="宋体"/>
          <w:color w:val="auto"/>
          <w:kern w:val="0"/>
          <w:szCs w:val="21"/>
          <w:highlight w:val="none"/>
          <w:lang w:val="en-US" w:eastAsia="zh-CN"/>
        </w:rPr>
        <w:t>包含</w:t>
      </w:r>
      <w:r>
        <w:rPr>
          <w:rFonts w:hint="eastAsia" w:ascii="宋体" w:hAnsi="宋体" w:eastAsia="宋体" w:cs="宋体"/>
          <w:color w:val="auto"/>
          <w:kern w:val="0"/>
          <w:szCs w:val="21"/>
          <w:highlight w:val="none"/>
          <w:lang w:val="zh-CN"/>
        </w:rPr>
        <w:t>的货物名称、品牌、产地、规格、型号、数量的内容</w:t>
      </w:r>
      <w:r>
        <w:rPr>
          <w:rFonts w:hint="eastAsia" w:ascii="宋体" w:hAnsi="宋体" w:eastAsia="宋体" w:cs="宋体"/>
          <w:color w:val="auto"/>
          <w:kern w:val="0"/>
          <w:szCs w:val="21"/>
          <w:highlight w:val="none"/>
          <w:lang w:val="en-US" w:eastAsia="zh-CN"/>
        </w:rPr>
        <w:t>）；</w:t>
      </w:r>
    </w:p>
    <w:p w14:paraId="450830BD">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研发能力及产品先进性的证明材料</w:t>
      </w:r>
      <w:r>
        <w:rPr>
          <w:rFonts w:hint="eastAsia" w:ascii="宋体" w:hAnsi="宋体" w:eastAsia="宋体" w:cs="宋体"/>
          <w:color w:val="auto"/>
          <w:kern w:val="0"/>
          <w:szCs w:val="21"/>
          <w:highlight w:val="none"/>
          <w:lang w:val="zh-CN"/>
        </w:rPr>
        <w:t>；</w:t>
      </w:r>
    </w:p>
    <w:p w14:paraId="175A20D9">
      <w:pPr>
        <w:numPr>
          <w:ilvl w:val="-1"/>
          <w:numId w:val="0"/>
        </w:numPr>
        <w:spacing w:line="360" w:lineRule="auto"/>
        <w:ind w:left="105" w:leftChars="-100" w:hanging="315" w:hangingChars="15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Cs w:val="21"/>
          <w:highlight w:val="none"/>
          <w:lang w:val="en-US" w:eastAsia="zh-CN"/>
        </w:rPr>
        <w:t>投标产品的设计及性能的证明材料</w:t>
      </w:r>
      <w:r>
        <w:rPr>
          <w:rFonts w:hint="eastAsia" w:ascii="宋体" w:hAnsi="宋体" w:eastAsia="宋体" w:cs="宋体"/>
          <w:color w:val="auto"/>
          <w:kern w:val="0"/>
          <w:sz w:val="21"/>
          <w:szCs w:val="21"/>
          <w:highlight w:val="none"/>
          <w:lang w:val="en-US" w:eastAsia="zh-CN"/>
        </w:rPr>
        <w:t>；</w:t>
      </w:r>
    </w:p>
    <w:p w14:paraId="3D58DD9D">
      <w:pPr>
        <w:numPr>
          <w:ilvl w:val="-1"/>
          <w:numId w:val="0"/>
        </w:numPr>
        <w:spacing w:line="360" w:lineRule="auto"/>
        <w:ind w:left="105" w:leftChars="-100" w:hanging="315" w:hangingChars="15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Cs w:val="21"/>
          <w:highlight w:val="none"/>
          <w:lang w:val="en-US" w:eastAsia="zh-CN"/>
        </w:rPr>
        <w:t>生产制造能力的证明材料</w:t>
      </w:r>
      <w:r>
        <w:rPr>
          <w:rFonts w:hint="eastAsia" w:ascii="宋体" w:hAnsi="宋体" w:eastAsia="宋体" w:cs="宋体"/>
          <w:color w:val="auto"/>
          <w:kern w:val="0"/>
          <w:szCs w:val="21"/>
          <w:highlight w:val="none"/>
          <w:lang w:eastAsia="zh-CN"/>
        </w:rPr>
        <w:t>；</w:t>
      </w:r>
    </w:p>
    <w:p w14:paraId="041FF5BD">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售后服务方案；</w:t>
      </w:r>
    </w:p>
    <w:p w14:paraId="6489DE05">
      <w:pPr>
        <w:numPr>
          <w:ilvl w:val="-1"/>
          <w:numId w:val="0"/>
        </w:numPr>
        <w:spacing w:line="360" w:lineRule="auto"/>
        <w:ind w:left="105" w:leftChars="-100" w:hanging="315" w:hangingChars="1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59B5FBC6">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p>
    <w:p w14:paraId="0FD15B4C">
      <w:pPr>
        <w:autoSpaceDE w:val="0"/>
        <w:autoSpaceDN w:val="0"/>
        <w:adjustRightInd w:val="0"/>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14:paraId="5637AAF7">
      <w:pPr>
        <w:autoSpaceDE w:val="0"/>
        <w:autoSpaceDN w:val="0"/>
        <w:adjustRightInd w:val="0"/>
        <w:spacing w:line="360" w:lineRule="auto"/>
        <w:ind w:left="317" w:leftChars="-100" w:hanging="527" w:hangingChars="250"/>
        <w:rPr>
          <w:rFonts w:ascii="宋体" w:hAnsi="宋体" w:eastAsia="宋体" w:cs="宋体"/>
          <w:b/>
          <w:bCs/>
          <w:color w:val="auto"/>
          <w:szCs w:val="21"/>
          <w:highlight w:val="none"/>
        </w:rPr>
      </w:pPr>
      <w:r>
        <w:rPr>
          <w:rFonts w:ascii="宋体" w:hAnsi="宋体" w:eastAsia="宋体" w:cs="宋体"/>
          <w:b/>
          <w:bCs/>
          <w:color w:val="auto"/>
          <w:szCs w:val="21"/>
          <w:highlight w:val="none"/>
        </w:rPr>
        <w:t xml:space="preserve">9.2  </w:t>
      </w:r>
      <w:r>
        <w:rPr>
          <w:rFonts w:hint="eastAsia" w:ascii="宋体" w:hAnsi="宋体" w:eastAsia="宋体" w:cs="宋体"/>
          <w:b/>
          <w:bCs/>
          <w:color w:val="auto"/>
          <w:szCs w:val="21"/>
          <w:highlight w:val="none"/>
        </w:rPr>
        <w:t>投标文件格式</w:t>
      </w:r>
      <w:r>
        <w:rPr>
          <w:rFonts w:ascii="宋体" w:hAnsi="宋体" w:eastAsia="宋体" w:cs="宋体"/>
          <w:b/>
          <w:bCs/>
          <w:color w:val="auto"/>
          <w:szCs w:val="21"/>
          <w:highlight w:val="none"/>
        </w:rPr>
        <w:t xml:space="preserve"> </w:t>
      </w:r>
    </w:p>
    <w:p w14:paraId="420B911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14:paraId="74DFFC2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14:paraId="0AAC923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14:paraId="330686E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w:t>
      </w:r>
    </w:p>
    <w:p w14:paraId="450D57C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38C91F0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4B67131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5" w:name="_Toc22199"/>
      <w:bookmarkStart w:id="156" w:name="_Toc8162"/>
      <w:bookmarkStart w:id="157" w:name="_Toc27646"/>
      <w:bookmarkStart w:id="158" w:name="_Toc8675_WPSOffice_Level3"/>
      <w:bookmarkStart w:id="159" w:name="_Toc450662860"/>
      <w:bookmarkStart w:id="160" w:name="_Toc195714228"/>
      <w:bookmarkStart w:id="161" w:name="_Toc486167674"/>
      <w:bookmarkStart w:id="162" w:name="_Toc142508324"/>
      <w:bookmarkStart w:id="163" w:name="_Toc13214"/>
      <w:bookmarkStart w:id="164" w:name="_Toc11170"/>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55"/>
      <w:bookmarkEnd w:id="156"/>
      <w:bookmarkEnd w:id="157"/>
      <w:bookmarkEnd w:id="158"/>
      <w:bookmarkEnd w:id="159"/>
      <w:bookmarkEnd w:id="160"/>
      <w:bookmarkEnd w:id="161"/>
      <w:bookmarkEnd w:id="162"/>
      <w:bookmarkEnd w:id="163"/>
      <w:bookmarkEnd w:id="164"/>
    </w:p>
    <w:p w14:paraId="1FB3B2B3">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4AB175B">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1602903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5" w:name="_Toc7724"/>
      <w:bookmarkStart w:id="166" w:name="_Toc8771"/>
      <w:bookmarkStart w:id="167" w:name="_Toc195714229"/>
      <w:bookmarkStart w:id="168" w:name="_Toc450662861"/>
      <w:bookmarkStart w:id="169" w:name="_Toc24311"/>
      <w:bookmarkStart w:id="170" w:name="_Toc3621"/>
      <w:bookmarkStart w:id="171" w:name="_Toc4385_WPSOffice_Level3"/>
      <w:bookmarkStart w:id="172" w:name="_Toc15427"/>
      <w:bookmarkStart w:id="173" w:name="_Toc142508325"/>
      <w:bookmarkStart w:id="174" w:name="_Toc48616767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65"/>
      <w:bookmarkEnd w:id="166"/>
      <w:bookmarkEnd w:id="167"/>
      <w:bookmarkEnd w:id="168"/>
      <w:bookmarkEnd w:id="169"/>
      <w:bookmarkEnd w:id="170"/>
      <w:bookmarkEnd w:id="171"/>
      <w:bookmarkEnd w:id="172"/>
      <w:bookmarkEnd w:id="173"/>
      <w:bookmarkEnd w:id="174"/>
    </w:p>
    <w:p w14:paraId="19E79BDD">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Times New Roman"/>
          <w:b/>
          <w:color w:val="auto"/>
          <w:szCs w:val="21"/>
          <w:highlight w:val="none"/>
          <w:lang w:val="zh-CN"/>
        </w:rPr>
        <w:t>本项目的投标报价采用填报投标折扣系数的方式，任何有选择的或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1300CF6F">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6266BB3D">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0D96B72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的投标报价采用统一折扣系数报价，合同履约过程中，按货物清单中不含税中标综合单价以实际供货数量进行结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713DFB3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val="zh-CN"/>
        </w:rPr>
        <w:t>范围内所有水表及其附件的制造及系统集成、印刷费、检定、运输（至招标人指定的仓库或项目现场）、保险、装卸、远传调试，验收等费用；</w:t>
      </w:r>
    </w:p>
    <w:p w14:paraId="735FC0B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（2）按招标文件及合同要求提供各阶段的纸质和电子版技术资料，包括货物及其工艺所有制造方、使用方应支付的对商标权、专利权和版权、设计或其他知识产权而需要向其他方支付的版税及其他相关费用；</w:t>
      </w:r>
    </w:p>
    <w:p w14:paraId="6DBE1E3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（3）验收时为达到相关标准而可能增加的、不合格货物更换、零配件更换等费用；</w:t>
      </w:r>
    </w:p>
    <w:p w14:paraId="342E4F2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（4）设备备品备件（含零配件）、设备拆装维修所需特殊专用工具购置费；</w:t>
      </w:r>
    </w:p>
    <w:p w14:paraId="3CAD73D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（5）日常技术指导，免费的质保期保修服务，包括但不限于对设备的运行指导，免费维修、保修或更换配件，在设备出现严重故障、影响正常运行、修复有困难的情况下，对设备进行免费更换的费用；</w:t>
      </w:r>
    </w:p>
    <w:p w14:paraId="1B66DAD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（6）招标供货清单虽未列出，但根据设计图纸或为满足设计功能所必需的设备材料购置费；</w:t>
      </w:r>
    </w:p>
    <w:p w14:paraId="29F94CE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（7）合理利润、投标人销项税额以外的税费等；</w:t>
      </w:r>
    </w:p>
    <w:p w14:paraId="0A8B8F57">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（8）法律法规、商业公认、招标文件规定由投标人承担的其他费用。</w:t>
      </w:r>
    </w:p>
    <w:p w14:paraId="304646D6">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所报的价格仅供评标委员会评审时使用；在任何情况下不限制投标人以不同的条件中标的权利。</w:t>
      </w:r>
    </w:p>
    <w:p w14:paraId="069202AF">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63F52B53">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rPr>
        <w:t>货物及有关</w:t>
      </w:r>
      <w:r>
        <w:rPr>
          <w:rFonts w:hint="eastAsia" w:ascii="宋体" w:hAnsi="宋体" w:eastAsia="宋体" w:cs="Times New Roman"/>
          <w:b/>
          <w:bCs/>
          <w:color w:val="auto"/>
          <w:szCs w:val="21"/>
          <w:highlight w:val="none"/>
          <w:lang w:val="zh-CN"/>
        </w:rPr>
        <w:t>服务所需的费用，投标人都应计入投标报价总价。</w:t>
      </w:r>
    </w:p>
    <w:p w14:paraId="60D36354">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投标人的投标折扣系数报价不得超过1</w:t>
      </w:r>
      <w:r>
        <w:rPr>
          <w:rFonts w:hint="eastAsia" w:ascii="宋体" w:hAnsi="宋体" w:eastAsia="宋体" w:cs="宋体"/>
          <w:b/>
          <w:color w:val="auto"/>
          <w:szCs w:val="21"/>
          <w:highlight w:val="none"/>
          <w:u w:val="single"/>
          <w:lang w:val="en-US" w:eastAsia="zh-CN"/>
        </w:rPr>
        <w:t>.00</w:t>
      </w:r>
      <w:r>
        <w:rPr>
          <w:rFonts w:hint="eastAsia" w:ascii="宋体" w:hAnsi="宋体" w:eastAsia="宋体" w:cs="宋体"/>
          <w:b/>
          <w:color w:val="auto"/>
          <w:szCs w:val="21"/>
          <w:highlight w:val="none"/>
          <w:u w:val="single"/>
          <w:lang w:val="zh-CN"/>
        </w:rPr>
        <w:t>，且不能为0</w:t>
      </w:r>
      <w:r>
        <w:rPr>
          <w:rFonts w:hint="eastAsia" w:ascii="宋体" w:hAnsi="宋体" w:eastAsia="宋体" w:cs="宋体"/>
          <w:b/>
          <w:color w:val="auto"/>
          <w:szCs w:val="21"/>
          <w:highlight w:val="none"/>
          <w:u w:val="single"/>
          <w:lang w:val="en-US" w:eastAsia="zh-CN"/>
        </w:rPr>
        <w:t>.00</w:t>
      </w:r>
      <w:r>
        <w:rPr>
          <w:rFonts w:hint="eastAsia" w:ascii="宋体" w:hAnsi="宋体" w:eastAsia="宋体" w:cs="宋体"/>
          <w:b/>
          <w:color w:val="auto"/>
          <w:szCs w:val="21"/>
          <w:highlight w:val="none"/>
          <w:u w:val="single"/>
          <w:lang w:val="zh-CN"/>
        </w:rPr>
        <w:t>或负数，投标折扣系数报价最多保留小数点后两位。投标人未按招标文件要求进行投标折扣系数报价的，该投标人的投标文件将被视为无效投标。本项目的不含税最高投标限价</w:t>
      </w:r>
      <w:r>
        <w:rPr>
          <w:rFonts w:hint="eastAsia" w:ascii="宋体" w:hAnsi="宋体" w:eastAsia="宋体" w:cs="Times New Roman"/>
          <w:b/>
          <w:bCs/>
          <w:color w:val="auto"/>
          <w:szCs w:val="21"/>
          <w:highlight w:val="none"/>
          <w:u w:val="single"/>
          <w:lang w:val="zh-CN"/>
        </w:rPr>
        <w:t>为</w:t>
      </w:r>
      <w:r>
        <w:rPr>
          <w:rFonts w:hint="eastAsia" w:ascii="宋体" w:hAnsi="宋体" w:eastAsia="宋体" w:cs="Times New Roman"/>
          <w:b/>
          <w:bCs/>
          <w:color w:val="auto"/>
          <w:szCs w:val="21"/>
          <w:highlight w:val="none"/>
          <w:u w:val="single"/>
          <w:lang w:val="en-US" w:eastAsia="zh-CN"/>
        </w:rPr>
        <w:t>37,584,758.00元</w:t>
      </w:r>
      <w:r>
        <w:rPr>
          <w:rFonts w:hint="eastAsia" w:ascii="宋体" w:hAnsi="宋体" w:eastAsia="宋体" w:cs="Times New Roman"/>
          <w:b/>
          <w:bCs/>
          <w:color w:val="auto"/>
          <w:szCs w:val="21"/>
          <w:highlight w:val="none"/>
          <w:u w:val="single"/>
          <w:lang w:val="zh-CN"/>
        </w:rPr>
        <w:t>（大写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叁仟柒佰伍拾捌万肆仟柒佰伍拾捌元整</w:t>
      </w:r>
      <w:r>
        <w:rPr>
          <w:rFonts w:hint="eastAsia" w:ascii="宋体" w:hAnsi="宋体" w:eastAsia="宋体" w:cs="宋体"/>
          <w:b/>
          <w:color w:val="auto"/>
          <w:szCs w:val="21"/>
          <w:highlight w:val="none"/>
          <w:u w:val="single"/>
          <w:lang w:val="zh-CN"/>
        </w:rPr>
        <w:t>）。</w:t>
      </w:r>
    </w:p>
    <w:p w14:paraId="367B2DAA">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35C4A515">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75" w:name="_Toc195714230"/>
      <w:bookmarkStart w:id="176" w:name="_Toc30042_WPSOffice_Level3"/>
      <w:bookmarkStart w:id="177" w:name="_Toc20827"/>
      <w:bookmarkStart w:id="178" w:name="_Toc3469"/>
      <w:bookmarkStart w:id="179" w:name="_Toc20312"/>
      <w:bookmarkStart w:id="180" w:name="_Toc486167676"/>
      <w:bookmarkStart w:id="181" w:name="_Toc6353"/>
      <w:bookmarkStart w:id="182" w:name="_Toc450662862"/>
      <w:bookmarkStart w:id="183" w:name="_Toc142508326"/>
      <w:bookmarkStart w:id="184" w:name="_Toc2800"/>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75"/>
      <w:bookmarkEnd w:id="176"/>
      <w:bookmarkEnd w:id="177"/>
      <w:bookmarkEnd w:id="178"/>
      <w:bookmarkEnd w:id="179"/>
      <w:bookmarkEnd w:id="180"/>
      <w:bookmarkEnd w:id="181"/>
      <w:bookmarkEnd w:id="182"/>
      <w:bookmarkEnd w:id="183"/>
      <w:bookmarkEnd w:id="184"/>
    </w:p>
    <w:p w14:paraId="244C85FF">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6AC935E3">
      <w:pPr>
        <w:autoSpaceDE w:val="0"/>
        <w:autoSpaceDN w:val="0"/>
        <w:adjustRightInd w:val="0"/>
        <w:spacing w:line="360" w:lineRule="auto"/>
        <w:ind w:left="265" w:leftChars="119" w:hanging="15"/>
        <w:rPr>
          <w:rFonts w:ascii="宋体" w:hAnsi="宋体" w:eastAsia="宋体" w:cs="宋体"/>
          <w:color w:val="auto"/>
          <w:szCs w:val="21"/>
          <w:highlight w:val="none"/>
        </w:rPr>
      </w:pPr>
    </w:p>
    <w:p w14:paraId="14B1D2E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3961"/>
      <w:bookmarkStart w:id="186" w:name="_Toc9411_WPSOffice_Level3"/>
      <w:bookmarkStart w:id="187" w:name="_Toc142508327"/>
      <w:bookmarkStart w:id="188" w:name="_Toc10342"/>
      <w:bookmarkStart w:id="189" w:name="_Toc450662863"/>
      <w:bookmarkStart w:id="190" w:name="_Toc19719"/>
      <w:bookmarkStart w:id="191" w:name="_Toc195714231"/>
      <w:bookmarkStart w:id="192" w:name="_Toc20031"/>
      <w:bookmarkStart w:id="193" w:name="_Toc486167677"/>
      <w:bookmarkStart w:id="194" w:name="_Toc12260"/>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85"/>
      <w:bookmarkEnd w:id="186"/>
      <w:bookmarkEnd w:id="187"/>
      <w:bookmarkEnd w:id="188"/>
      <w:bookmarkEnd w:id="189"/>
      <w:bookmarkEnd w:id="190"/>
      <w:bookmarkEnd w:id="191"/>
      <w:bookmarkEnd w:id="192"/>
      <w:bookmarkEnd w:id="193"/>
      <w:bookmarkEnd w:id="194"/>
    </w:p>
    <w:p w14:paraId="54E7284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4A4E9ED9">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10B04FA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5BB9991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099CA7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0DC47552">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6D476730">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542D4FB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5" w:name="_Toc27771_WPSOffice_Level3"/>
      <w:bookmarkStart w:id="196" w:name="_Toc450662864"/>
      <w:bookmarkStart w:id="197" w:name="_Toc142508328"/>
      <w:bookmarkStart w:id="198" w:name="_Toc10286"/>
      <w:bookmarkStart w:id="199" w:name="_Toc486167678"/>
      <w:bookmarkStart w:id="200" w:name="_Toc8615"/>
      <w:bookmarkStart w:id="201" w:name="_Toc195714232"/>
      <w:bookmarkStart w:id="202" w:name="_Toc30193"/>
      <w:bookmarkStart w:id="203" w:name="_Toc29754"/>
      <w:bookmarkStart w:id="204" w:name="_Toc8506"/>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95"/>
      <w:bookmarkEnd w:id="196"/>
      <w:bookmarkEnd w:id="197"/>
      <w:bookmarkEnd w:id="198"/>
      <w:bookmarkEnd w:id="199"/>
      <w:bookmarkEnd w:id="200"/>
      <w:bookmarkEnd w:id="201"/>
      <w:bookmarkEnd w:id="202"/>
      <w:bookmarkEnd w:id="203"/>
      <w:bookmarkEnd w:id="204"/>
    </w:p>
    <w:p w14:paraId="2540485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rPr>
        <w:t>货物</w:t>
      </w:r>
      <w:r>
        <w:rPr>
          <w:rFonts w:hint="eastAsia" w:ascii="宋体" w:hAnsi="宋体" w:eastAsia="宋体" w:cs="宋体"/>
          <w:color w:val="auto"/>
          <w:szCs w:val="21"/>
          <w:highlight w:val="none"/>
          <w:lang w:val="zh-CN"/>
        </w:rPr>
        <w:t>的合格性并符合招标文件规定的声明文件，作为投标文件的一部分。</w:t>
      </w:r>
    </w:p>
    <w:p w14:paraId="5B30464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55A89BFD">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凡标有“▲”标志的条款为评审的重要指标，投标人若有“▲”条款未响应或负偏离，将导致其响应性评审扣分，并不会按无效响应处理。投标人若有非“▲”条款未响应或负偏离，将导致其响应性评审扣分，并不会按无效响应处理。</w:t>
      </w:r>
    </w:p>
    <w:p w14:paraId="465FE2FA">
      <w:pPr>
        <w:autoSpaceDE w:val="0"/>
        <w:autoSpaceDN w:val="0"/>
        <w:adjustRightInd w:val="0"/>
        <w:spacing w:line="360" w:lineRule="auto"/>
        <w:rPr>
          <w:rFonts w:ascii="宋体" w:hAnsi="宋体" w:eastAsia="宋体" w:cs="Times New Roman"/>
          <w:color w:val="auto"/>
          <w:kern w:val="0"/>
          <w:sz w:val="24"/>
          <w:szCs w:val="24"/>
          <w:highlight w:val="none"/>
        </w:rPr>
      </w:pPr>
    </w:p>
    <w:p w14:paraId="250CD6F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5" w:name="_Toc9548"/>
      <w:bookmarkStart w:id="206" w:name="_Toc5356_WPSOffice_Level3"/>
      <w:bookmarkStart w:id="207" w:name="_Toc17153"/>
      <w:bookmarkStart w:id="208" w:name="_Toc8644"/>
      <w:bookmarkStart w:id="209" w:name="_Toc30555"/>
      <w:bookmarkStart w:id="210" w:name="_Toc486167679"/>
      <w:bookmarkStart w:id="211" w:name="_Toc142508329"/>
      <w:bookmarkStart w:id="212" w:name="_Toc195714233"/>
      <w:bookmarkStart w:id="213" w:name="_Toc1752"/>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05"/>
      <w:bookmarkEnd w:id="206"/>
      <w:bookmarkEnd w:id="207"/>
      <w:bookmarkEnd w:id="208"/>
      <w:bookmarkEnd w:id="209"/>
      <w:bookmarkEnd w:id="210"/>
      <w:bookmarkEnd w:id="211"/>
      <w:bookmarkEnd w:id="212"/>
      <w:bookmarkEnd w:id="213"/>
    </w:p>
    <w:p w14:paraId="4DF5C69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7334510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，否则，其投标保证金视为无效。</w:t>
      </w:r>
    </w:p>
    <w:p w14:paraId="052E7EF8">
      <w:pPr>
        <w:autoSpaceDE w:val="0"/>
        <w:autoSpaceDN w:val="0"/>
        <w:adjustRightInd w:val="0"/>
        <w:spacing w:line="360" w:lineRule="auto"/>
        <w:ind w:left="225" w:leftChars="107" w:firstLine="489" w:firstLineChars="233"/>
        <w:jc w:val="left"/>
        <w:rPr>
          <w:rFonts w:hint="eastAsia" w:ascii="宋体" w:hAnsi="宋体" w:eastAsia="宋体" w:cs="Times New Roman"/>
          <w:bCs w:val="0"/>
          <w:color w:val="auto"/>
          <w:kern w:val="0"/>
          <w:szCs w:val="21"/>
          <w:highlight w:val="none"/>
          <w:lang w:val="zh-CN"/>
        </w:rPr>
      </w:pPr>
      <w:r>
        <w:rPr>
          <w:rFonts w:hint="eastAsia" w:ascii="宋体" w:hAnsi="宋体" w:eastAsia="宋体" w:cs="Times New Roman"/>
          <w:bCs w:val="0"/>
          <w:color w:val="auto"/>
          <w:kern w:val="0"/>
          <w:szCs w:val="21"/>
          <w:highlight w:val="none"/>
          <w:lang w:val="zh-CN"/>
        </w:rPr>
        <w:t>投标截止时间前，已在公共资源交易企业库建档的投标人应将保证金关联至本</w:t>
      </w:r>
      <w:r>
        <w:rPr>
          <w:rFonts w:hint="eastAsia" w:ascii="宋体" w:hAnsi="宋体" w:eastAsia="宋体" w:cs="Times New Roman"/>
          <w:bCs w:val="0"/>
          <w:color w:val="auto"/>
          <w:kern w:val="0"/>
          <w:szCs w:val="21"/>
          <w:highlight w:val="none"/>
          <w:lang w:val="en-US" w:eastAsia="zh-CN"/>
        </w:rPr>
        <w:t>项目</w:t>
      </w:r>
      <w:r>
        <w:rPr>
          <w:rFonts w:hint="eastAsia" w:ascii="宋体" w:hAnsi="宋体" w:eastAsia="宋体" w:cs="Times New Roman"/>
          <w:bCs w:val="0"/>
          <w:color w:val="auto"/>
          <w:kern w:val="0"/>
          <w:szCs w:val="21"/>
          <w:highlight w:val="none"/>
          <w:lang w:val="zh-CN"/>
        </w:rPr>
        <w:t>。具体要求详见全国公共资源交易平台（广东省·东莞市）（网址：https://ygp.gdzwfw.gov.cn/#/441900/index）办事指南中的相关规定。</w:t>
      </w:r>
    </w:p>
    <w:p w14:paraId="30BBCBCC">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13D8A246">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w:t>
      </w:r>
      <w:r>
        <w:rPr>
          <w:rFonts w:hint="eastAsia" w:ascii="宋体" w:hAnsi="宋体" w:eastAsia="宋体" w:cs="宋体"/>
          <w:bCs/>
          <w:color w:val="auto"/>
          <w:kern w:val="0"/>
          <w:szCs w:val="21"/>
          <w:highlight w:val="none"/>
          <w:lang w:val="en-US" w:eastAsia="zh-CN"/>
        </w:rPr>
        <w:t>参照</w:t>
      </w:r>
      <w:r>
        <w:rPr>
          <w:rFonts w:hint="eastAsia" w:ascii="宋体" w:hAnsi="宋体" w:eastAsia="宋体" w:cs="宋体"/>
          <w:bCs/>
          <w:color w:val="auto"/>
          <w:kern w:val="0"/>
          <w:szCs w:val="21"/>
          <w:highlight w:val="none"/>
          <w:lang w:val="zh-CN"/>
        </w:rPr>
        <w:t>《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35AEC632">
      <w:pPr>
        <w:autoSpaceDE w:val="0"/>
        <w:autoSpaceDN w:val="0"/>
        <w:adjustRightInd w:val="0"/>
        <w:spacing w:line="360" w:lineRule="auto"/>
        <w:ind w:left="225" w:leftChars="107" w:firstLine="489" w:firstLineChars="233"/>
        <w:jc w:val="left"/>
        <w:rPr>
          <w:rFonts w:hint="eastAsia" w:ascii="宋体" w:hAnsi="宋体" w:eastAsia="宋体" w:cs="Times New Roman"/>
          <w:bCs w:val="0"/>
          <w:color w:val="auto"/>
          <w:kern w:val="0"/>
          <w:szCs w:val="21"/>
          <w:highlight w:val="none"/>
          <w:lang w:val="zh-CN"/>
        </w:rPr>
      </w:pPr>
      <w:r>
        <w:rPr>
          <w:rFonts w:hint="eastAsia" w:ascii="宋体" w:hAnsi="宋体" w:eastAsia="宋体" w:cs="Times New Roman"/>
          <w:bCs w:val="0"/>
          <w:color w:val="auto"/>
          <w:kern w:val="0"/>
          <w:szCs w:val="21"/>
          <w:highlight w:val="none"/>
          <w:lang w:val="zh-CN"/>
        </w:rPr>
        <w:t>银行电子保函参考样式按照《住房和城乡建设部关于印发工程保函示范文本的通知》（建市〔2021〕11号）执行。保险公司所提供的保证保险条款应当经国家金融监督管理总局批准、备案或注册，并在本公司门户网站主动公开单位信息、投保单（范本）以及保险合同含条款（范本）。</w:t>
      </w:r>
    </w:p>
    <w:p w14:paraId="7F0F945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lang w:val="en-US" w:eastAsia="zh-CN"/>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782F905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.3 投标保证金退还程序。</w:t>
      </w:r>
    </w:p>
    <w:p w14:paraId="5764D3F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lang w:val="en-US" w:eastAsia="zh-CN"/>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lang w:val="en-US" w:eastAsia="zh-CN"/>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lang w:val="en-US" w:eastAsia="zh-CN"/>
        </w:rPr>
        <w:t>评标会</w:t>
      </w:r>
      <w:r>
        <w:rPr>
          <w:rFonts w:hint="eastAsia" w:ascii="宋体" w:hAnsi="宋体" w:eastAsia="宋体" w:cs="宋体"/>
          <w:bCs/>
          <w:color w:val="auto"/>
          <w:kern w:val="0"/>
          <w:szCs w:val="21"/>
          <w:highlight w:val="none"/>
          <w:lang w:val="zh-CN"/>
        </w:rPr>
        <w:t>结束后第一个工作日向交易中心发送退还指令；</w:t>
      </w:r>
    </w:p>
    <w:p w14:paraId="0290EEC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14:paraId="4940731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14:paraId="48218D8C">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14:paraId="26EB58F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14:paraId="430B75A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lang w:val="en-US" w:eastAsia="zh-CN"/>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lang w:val="en-US" w:eastAsia="zh-CN"/>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14:paraId="3D52F6F7">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14:paraId="58802ABA">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14:paraId="1F903AE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14:paraId="236B5F2A">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lang w:val="en-US" w:eastAsia="zh-CN"/>
        </w:rPr>
        <w:t>本投标人须知</w:t>
      </w:r>
      <w:r>
        <w:rPr>
          <w:rFonts w:hint="eastAsia" w:ascii="宋体" w:hAnsi="宋体" w:eastAsia="宋体" w:cs="宋体"/>
          <w:bCs/>
          <w:color w:val="auto"/>
          <w:kern w:val="0"/>
          <w:szCs w:val="21"/>
          <w:highlight w:val="none"/>
          <w:lang w:val="zh-CN"/>
        </w:rPr>
        <w:t>第34条规定签署合同；</w:t>
      </w:r>
    </w:p>
    <w:p w14:paraId="4D82E87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14:paraId="3C124CA0">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14:paraId="44BB54CF">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en-US"/>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en-US"/>
        </w:rPr>
        <w:t>.6对于提交银行电子保函（保险电子保单）的有关注意事项：</w:t>
      </w:r>
    </w:p>
    <w:p w14:paraId="4E05A91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14:paraId="0D7D7B5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2778E55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6C3BEB5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0E95F77F">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7投标保证金缴存银行帐户见全国公共资源交易平台（广东省·东莞市）办事指南。</w:t>
      </w:r>
    </w:p>
    <w:p w14:paraId="53DE7C41">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44E3D89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450662865"/>
      <w:bookmarkStart w:id="215" w:name="_Toc142508330"/>
      <w:bookmarkStart w:id="216" w:name="_Toc31511"/>
      <w:bookmarkStart w:id="217" w:name="_Toc22274"/>
      <w:bookmarkStart w:id="218" w:name="_Toc1458"/>
      <w:bookmarkStart w:id="219" w:name="_Toc29607"/>
      <w:bookmarkStart w:id="220" w:name="_Toc22649_WPSOffice_Level3"/>
      <w:bookmarkStart w:id="221" w:name="_Toc486167680"/>
      <w:bookmarkStart w:id="222" w:name="_Toc195714234"/>
      <w:bookmarkStart w:id="223" w:name="_Toc23189"/>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14"/>
      <w:bookmarkEnd w:id="215"/>
      <w:bookmarkEnd w:id="216"/>
      <w:bookmarkEnd w:id="217"/>
      <w:bookmarkEnd w:id="218"/>
      <w:bookmarkEnd w:id="219"/>
      <w:bookmarkEnd w:id="220"/>
      <w:bookmarkEnd w:id="221"/>
      <w:bookmarkEnd w:id="222"/>
      <w:bookmarkEnd w:id="223"/>
    </w:p>
    <w:p w14:paraId="47836BBD">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6B9C2E5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0D4C3B2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0FED3CD2">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388742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4" w:name="_Toc932"/>
      <w:bookmarkStart w:id="225" w:name="_Toc20724"/>
      <w:bookmarkStart w:id="226" w:name="_Toc20422"/>
      <w:bookmarkStart w:id="227" w:name="_Toc25637_WPSOffice_Level3"/>
      <w:bookmarkStart w:id="228" w:name="_Toc142508331"/>
      <w:bookmarkStart w:id="229" w:name="_Toc11099"/>
      <w:bookmarkStart w:id="230" w:name="_Toc450662866"/>
      <w:bookmarkStart w:id="231" w:name="_Toc486167681"/>
      <w:bookmarkStart w:id="232" w:name="_Toc195714235"/>
      <w:bookmarkStart w:id="233" w:name="_Toc32072"/>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投标文件的编制和签署</w:t>
      </w:r>
      <w:bookmarkEnd w:id="224"/>
      <w:bookmarkEnd w:id="225"/>
      <w:bookmarkEnd w:id="226"/>
      <w:bookmarkEnd w:id="227"/>
      <w:bookmarkEnd w:id="228"/>
      <w:bookmarkEnd w:id="229"/>
      <w:bookmarkEnd w:id="230"/>
      <w:bookmarkEnd w:id="231"/>
      <w:bookmarkEnd w:id="232"/>
      <w:bookmarkEnd w:id="233"/>
    </w:p>
    <w:p w14:paraId="672F924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14:paraId="50D00E7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hint="default"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工作。</w:t>
      </w:r>
    </w:p>
    <w:p w14:paraId="461AA30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hint="default"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与手写签名或者盖章具有同等的法律效力。</w:t>
      </w:r>
    </w:p>
    <w:p w14:paraId="1E40381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14:paraId="7851E80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14:paraId="54A68EB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hint="default" w:ascii="宋体" w:hAnsi="宋体" w:eastAsia="宋体" w:cs="宋体"/>
          <w:color w:val="auto"/>
          <w:szCs w:val="21"/>
          <w:highlight w:val="none"/>
          <w:lang w:val="en-US"/>
        </w:rPr>
        <w:t>签名</w:t>
      </w:r>
      <w:r>
        <w:rPr>
          <w:rFonts w:hint="eastAsia" w:ascii="宋体" w:hAnsi="宋体" w:eastAsia="宋体" w:cs="宋体"/>
          <w:color w:val="auto"/>
          <w:szCs w:val="21"/>
          <w:highlight w:val="none"/>
          <w:lang w:val="en-US" w:eastAsia="zh-CN"/>
        </w:rPr>
        <w:t>：</w:t>
      </w:r>
    </w:p>
    <w:p w14:paraId="7F61D69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14:paraId="0748B4D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p>
    <w:p w14:paraId="4100CC1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14:paraId="1E09059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（2）投标文件商务标、技术标必须按招标文件的规定填写； </w:t>
      </w:r>
    </w:p>
    <w:p w14:paraId="74C21B5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（3）投标文件商务标、技术标应按其格式要求由投标人的法定代表人或其授权代表电子签名、企业数字证书电子签名；</w:t>
      </w:r>
    </w:p>
    <w:p w14:paraId="606E672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）严格按照第六篇投标文件格式内的要求完整、真实的填写《合同条款偏离表》《用户需求偏离表》；</w:t>
      </w:r>
    </w:p>
    <w:p w14:paraId="6E8C5BA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）投标人要特别加以注意，必须严格按照第六篇商务标格式的要求完整、真实的填写《资格业绩》及提供对应证明资料；</w:t>
      </w:r>
    </w:p>
    <w:p w14:paraId="357798F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）投标文件技术标部分必须按招标文件第六篇“技术标格式”编制。</w:t>
      </w:r>
    </w:p>
    <w:p w14:paraId="07D921C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p>
    <w:p w14:paraId="6593F9E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14:paraId="12B96AD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（2）大写金额数字用“零、壹、贰、叁、肆、伍、陆、柒、捌、玖、拾、佰、仟、万、亿”填写。投标值大写与小写不一致时，以大写数额为准，修正小写数额。</w:t>
      </w:r>
    </w:p>
    <w:p w14:paraId="5798D2D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（3）投标文件价格部分应按其格式要求使用依法设立的电子认证服务提供者签发的电子签名认证证书对电子投标文件进行电子签名。该电子签名与手写签名或者盖章具有同等的法律效力。</w:t>
      </w:r>
    </w:p>
    <w:p w14:paraId="030AFAC3">
      <w:pPr>
        <w:autoSpaceDE w:val="0"/>
        <w:autoSpaceDN w:val="0"/>
        <w:adjustRightInd w:val="0"/>
        <w:jc w:val="left"/>
        <w:rPr>
          <w:rFonts w:ascii="宋体" w:hAnsi="宋体" w:eastAsia="宋体" w:cs="宋体"/>
          <w:color w:val="auto"/>
          <w:kern w:val="0"/>
          <w:sz w:val="24"/>
          <w:szCs w:val="24"/>
          <w:highlight w:val="none"/>
        </w:rPr>
      </w:pPr>
      <w:bookmarkStart w:id="234" w:name="_Toc450662867"/>
    </w:p>
    <w:p w14:paraId="6D1FE893">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35" w:name="_Toc17199"/>
      <w:bookmarkStart w:id="236" w:name="_Toc309"/>
      <w:bookmarkStart w:id="237" w:name="_Toc974"/>
      <w:bookmarkStart w:id="238" w:name="_Toc195714236"/>
      <w:bookmarkStart w:id="239" w:name="_Toc140596891"/>
      <w:bookmarkStart w:id="240" w:name="_Toc486167682"/>
      <w:bookmarkStart w:id="241" w:name="_Toc22356_WPSOffice_Level2"/>
      <w:bookmarkStart w:id="242" w:name="_Toc142508332"/>
      <w:bookmarkStart w:id="243" w:name="_Toc26605"/>
      <w:bookmarkStart w:id="244" w:name="_Toc30815"/>
      <w:r>
        <w:rPr>
          <w:rFonts w:hint="eastAsia" w:ascii="宋体" w:hAnsi="宋体" w:eastAsia="宋体" w:cs="宋体"/>
          <w:b/>
          <w:bCs/>
          <w:color w:val="auto"/>
          <w:kern w:val="44"/>
          <w:szCs w:val="21"/>
          <w:highlight w:val="none"/>
          <w:lang w:val="zh-CN"/>
        </w:rPr>
        <w:t>四、投标</w:t>
      </w:r>
      <w:bookmarkEnd w:id="234"/>
      <w:bookmarkEnd w:id="235"/>
      <w:bookmarkEnd w:id="236"/>
      <w:bookmarkEnd w:id="237"/>
      <w:bookmarkEnd w:id="238"/>
      <w:bookmarkEnd w:id="239"/>
      <w:bookmarkEnd w:id="240"/>
      <w:bookmarkEnd w:id="241"/>
      <w:bookmarkEnd w:id="242"/>
      <w:bookmarkEnd w:id="243"/>
      <w:bookmarkEnd w:id="244"/>
    </w:p>
    <w:p w14:paraId="61887C6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5" w:name="_Toc1072"/>
      <w:bookmarkStart w:id="246" w:name="_Toc142508333"/>
      <w:bookmarkStart w:id="247" w:name="_Toc31551"/>
      <w:bookmarkStart w:id="248" w:name="_Toc450662868"/>
      <w:bookmarkStart w:id="249" w:name="_Toc195714237"/>
      <w:bookmarkStart w:id="250" w:name="_Toc486167683"/>
      <w:bookmarkStart w:id="251" w:name="_Toc29885"/>
      <w:bookmarkStart w:id="252" w:name="_Toc12192_WPSOffice_Level3"/>
      <w:bookmarkStart w:id="253" w:name="_Toc5721"/>
      <w:bookmarkStart w:id="254" w:name="_Toc26296"/>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bookmarkEnd w:id="245"/>
      <w:bookmarkEnd w:id="246"/>
      <w:bookmarkEnd w:id="247"/>
      <w:bookmarkEnd w:id="248"/>
      <w:bookmarkEnd w:id="249"/>
      <w:bookmarkEnd w:id="250"/>
      <w:bookmarkEnd w:id="251"/>
      <w:bookmarkEnd w:id="252"/>
      <w:r>
        <w:rPr>
          <w:rFonts w:hint="eastAsia" w:ascii="宋体" w:hAnsi="宋体" w:eastAsia="宋体" w:cs="宋体"/>
          <w:color w:val="auto"/>
          <w:szCs w:val="21"/>
          <w:highlight w:val="none"/>
          <w:lang w:val="zh-CN"/>
        </w:rPr>
        <w:t>投标文件的加密</w:t>
      </w:r>
      <w:bookmarkEnd w:id="253"/>
      <w:bookmarkEnd w:id="254"/>
    </w:p>
    <w:p w14:paraId="2A6B48CB">
      <w:pPr>
        <w:tabs>
          <w:tab w:val="left" w:pos="567"/>
        </w:tabs>
        <w:adjustRightInd w:val="0"/>
        <w:spacing w:line="360" w:lineRule="auto"/>
        <w:ind w:firstLine="144" w:firstLineChars="6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14:paraId="507D37F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p>
    <w:p w14:paraId="6101EB6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5" w:name="_Toc1869"/>
      <w:bookmarkStart w:id="256" w:name="_Toc29413"/>
      <w:bookmarkStart w:id="257" w:name="_Toc195714238"/>
      <w:bookmarkStart w:id="258" w:name="_Toc8515"/>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投标文件的提交</w:t>
      </w:r>
      <w:bookmarkEnd w:id="255"/>
      <w:bookmarkEnd w:id="256"/>
      <w:bookmarkEnd w:id="257"/>
      <w:bookmarkEnd w:id="258"/>
    </w:p>
    <w:p w14:paraId="230A90D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14:paraId="04E1523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11A6371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14:paraId="5C65D31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lang w:val="en-US" w:eastAsia="zh-CN"/>
        </w:rPr>
        <w:t>时间及</w:t>
      </w:r>
      <w:r>
        <w:rPr>
          <w:rFonts w:hint="eastAsia" w:ascii="宋体" w:hAnsi="宋体" w:eastAsia="宋体" w:cs="宋体"/>
          <w:color w:val="auto"/>
          <w:szCs w:val="21"/>
          <w:highlight w:val="none"/>
          <w:lang w:val="zh-CN"/>
        </w:rPr>
        <w:t>地点：见招标公告。</w:t>
      </w:r>
    </w:p>
    <w:p w14:paraId="7563336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14:paraId="1FED6AB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7A5981A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p>
    <w:p w14:paraId="0EF0B4D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19676"/>
      <w:bookmarkStart w:id="260" w:name="_Toc195714239"/>
      <w:bookmarkStart w:id="261" w:name="_Toc8262"/>
      <w:bookmarkStart w:id="262" w:name="_Toc13203"/>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投标会时间、地点及投标文件提交的截止时间</w:t>
      </w:r>
      <w:bookmarkEnd w:id="259"/>
      <w:bookmarkEnd w:id="260"/>
      <w:bookmarkEnd w:id="261"/>
      <w:bookmarkEnd w:id="262"/>
    </w:p>
    <w:p w14:paraId="5D91B2A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14:paraId="33A4BA7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14:paraId="0CB768F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30190CF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3" w:name="_Toc195714240"/>
      <w:bookmarkStart w:id="264" w:name="_Toc15468"/>
      <w:bookmarkStart w:id="265" w:name="_Toc19012"/>
      <w:bookmarkStart w:id="266" w:name="_Toc3244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投标文件的拒绝</w:t>
      </w:r>
      <w:bookmarkEnd w:id="263"/>
      <w:bookmarkEnd w:id="264"/>
      <w:bookmarkEnd w:id="265"/>
      <w:bookmarkEnd w:id="266"/>
    </w:p>
    <w:p w14:paraId="693F887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14:paraId="6413EF2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14:paraId="293E91F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14:paraId="593AF00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0BE49B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ABC6A8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7" w:name="_Toc195714241"/>
      <w:bookmarkStart w:id="268" w:name="_Toc26167"/>
      <w:bookmarkStart w:id="269" w:name="_Toc1112"/>
      <w:bookmarkStart w:id="270" w:name="_Toc3253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67"/>
      <w:bookmarkEnd w:id="268"/>
      <w:bookmarkEnd w:id="269"/>
      <w:bookmarkEnd w:id="270"/>
    </w:p>
    <w:p w14:paraId="67DE295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14:paraId="20B82FC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14:paraId="23522457">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14:paraId="4474C29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6ABFF1D">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71" w:name="_Toc140596896"/>
      <w:bookmarkStart w:id="272" w:name="_Toc30428"/>
      <w:bookmarkStart w:id="273" w:name="_Toc676"/>
      <w:bookmarkStart w:id="274" w:name="_Toc5078"/>
      <w:bookmarkStart w:id="275" w:name="_Toc450662872"/>
      <w:bookmarkStart w:id="276" w:name="_Toc1049_WPSOffice_Level2"/>
      <w:bookmarkStart w:id="277" w:name="_Toc28824"/>
      <w:bookmarkStart w:id="278" w:name="_Toc486167687"/>
      <w:bookmarkStart w:id="279" w:name="_Toc142508337"/>
      <w:bookmarkStart w:id="280" w:name="_Toc195714242"/>
      <w:bookmarkStart w:id="281" w:name="_Toc24553"/>
      <w:r>
        <w:rPr>
          <w:rFonts w:hint="eastAsia" w:ascii="宋体" w:hAnsi="宋体" w:eastAsia="宋体" w:cs="宋体"/>
          <w:b/>
          <w:bCs/>
          <w:color w:val="auto"/>
          <w:kern w:val="44"/>
          <w:szCs w:val="21"/>
          <w:highlight w:val="none"/>
          <w:lang w:val="zh-CN"/>
        </w:rPr>
        <w:t>五、开标与评标</w:t>
      </w:r>
      <w:bookmarkEnd w:id="271"/>
      <w:bookmarkEnd w:id="272"/>
      <w:bookmarkEnd w:id="273"/>
      <w:bookmarkEnd w:id="274"/>
      <w:bookmarkEnd w:id="275"/>
      <w:bookmarkEnd w:id="276"/>
      <w:bookmarkEnd w:id="277"/>
      <w:bookmarkEnd w:id="278"/>
      <w:bookmarkEnd w:id="279"/>
      <w:bookmarkEnd w:id="280"/>
      <w:bookmarkEnd w:id="281"/>
    </w:p>
    <w:p w14:paraId="51758623">
      <w:pPr>
        <w:tabs>
          <w:tab w:val="left" w:pos="567"/>
        </w:tabs>
        <w:autoSpaceDE w:val="0"/>
        <w:autoSpaceDN w:val="0"/>
        <w:adjustRightInd w:val="0"/>
        <w:spacing w:line="360" w:lineRule="auto"/>
        <w:ind w:left="357" w:leftChars="-100" w:right="15" w:rightChars="7" w:hanging="567"/>
        <w:outlineLvl w:val="2"/>
        <w:rPr>
          <w:rFonts w:ascii="宋体" w:hAnsi="宋体" w:eastAsia="宋体" w:cs="宋体"/>
          <w:color w:val="auto"/>
          <w:szCs w:val="21"/>
          <w:highlight w:val="none"/>
          <w:lang w:val="zh-CN"/>
        </w:rPr>
      </w:pPr>
      <w:bookmarkStart w:id="282" w:name="_Toc3237"/>
      <w:bookmarkStart w:id="283" w:name="_Toc195714243"/>
      <w:bookmarkStart w:id="284" w:name="_Toc17431"/>
      <w:bookmarkStart w:id="285" w:name="_Toc1677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282"/>
      <w:bookmarkEnd w:id="283"/>
      <w:bookmarkEnd w:id="284"/>
      <w:bookmarkEnd w:id="285"/>
    </w:p>
    <w:p w14:paraId="28CA7C0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14:paraId="118A4FD3">
      <w:pPr>
        <w:tabs>
          <w:tab w:val="left" w:pos="567"/>
        </w:tabs>
        <w:autoSpaceDE w:val="0"/>
        <w:autoSpaceDN w:val="0"/>
        <w:adjustRightInd w:val="0"/>
        <w:spacing w:line="360" w:lineRule="auto"/>
        <w:ind w:left="357" w:leftChars="-100" w:right="15" w:rightChars="7" w:hanging="567"/>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23.2 </w:t>
      </w:r>
      <w:r>
        <w:rPr>
          <w:rFonts w:hint="eastAsia" w:ascii="宋体" w:hAnsi="宋体" w:eastAsia="宋体" w:cs="宋体"/>
          <w:b/>
          <w:bCs/>
          <w:color w:val="auto"/>
          <w:szCs w:val="21"/>
          <w:highlight w:val="none"/>
          <w:lang w:val="en-US" w:eastAsia="zh-CN"/>
        </w:rPr>
        <w:t>投标人网上签到时间为开标当天上午6时至投标截止时间</w:t>
      </w:r>
      <w:r>
        <w:rPr>
          <w:rFonts w:hint="eastAsia" w:ascii="宋体" w:hAnsi="宋体" w:eastAsia="宋体" w:cs="宋体"/>
          <w:color w:val="auto"/>
          <w:szCs w:val="21"/>
          <w:highlight w:val="none"/>
          <w:lang w:val="en-US" w:eastAsia="zh-CN"/>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0D79A4CF">
      <w:pPr>
        <w:tabs>
          <w:tab w:val="left" w:pos="567"/>
        </w:tabs>
        <w:autoSpaceDE w:val="0"/>
        <w:autoSpaceDN w:val="0"/>
        <w:adjustRightInd w:val="0"/>
        <w:spacing w:line="360" w:lineRule="auto"/>
        <w:ind w:left="357" w:leftChars="-100" w:right="15" w:rightChars="7" w:hanging="567"/>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lang w:val="en-US" w:eastAsia="zh-CN"/>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1760531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14:paraId="0EED66A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lang w:val="en-US" w:eastAsia="zh-CN"/>
        </w:rPr>
        <w:t>之外的</w:t>
      </w:r>
      <w:r>
        <w:rPr>
          <w:rFonts w:hint="eastAsia" w:ascii="宋体" w:hAnsi="宋体" w:eastAsia="宋体" w:cs="宋体"/>
          <w:color w:val="auto"/>
          <w:szCs w:val="21"/>
          <w:highlight w:val="none"/>
          <w:lang w:val="zh-CN"/>
        </w:rPr>
        <w:t>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lang w:val="en-US" w:eastAsia="zh-CN"/>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216596F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14:paraId="698EBB8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14:paraId="081D1F9D">
      <w:pPr>
        <w:tabs>
          <w:tab w:val="left" w:pos="567"/>
        </w:tabs>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7EF4037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6" w:name="_Toc12165_WPSOffice_Level3"/>
      <w:bookmarkStart w:id="287" w:name="_Toc21794"/>
      <w:bookmarkStart w:id="288" w:name="_Toc23059"/>
      <w:bookmarkStart w:id="289" w:name="_Toc32534"/>
      <w:bookmarkStart w:id="290" w:name="_Toc450662874"/>
      <w:bookmarkStart w:id="291" w:name="_Toc142508339"/>
      <w:bookmarkStart w:id="292" w:name="_Toc486167689"/>
      <w:bookmarkStart w:id="293" w:name="_Toc195714244"/>
      <w:bookmarkStart w:id="294" w:name="_Toc17637"/>
      <w:bookmarkStart w:id="295" w:name="_Toc21343"/>
      <w:r>
        <w:rPr>
          <w:rFonts w:hint="eastAsia" w:ascii="宋体" w:hAnsi="宋体" w:eastAsia="宋体" w:cs="宋体"/>
          <w:color w:val="auto"/>
          <w:szCs w:val="21"/>
          <w:highlight w:val="none"/>
        </w:rPr>
        <w:t>24</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86"/>
      <w:bookmarkEnd w:id="287"/>
      <w:bookmarkEnd w:id="288"/>
      <w:bookmarkEnd w:id="289"/>
      <w:bookmarkEnd w:id="290"/>
      <w:bookmarkEnd w:id="291"/>
      <w:bookmarkEnd w:id="292"/>
      <w:bookmarkEnd w:id="293"/>
      <w:bookmarkEnd w:id="294"/>
      <w:bookmarkEnd w:id="295"/>
    </w:p>
    <w:p w14:paraId="23A37A2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1F24888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74D92CD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56A2CC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142508340"/>
      <w:bookmarkStart w:id="297" w:name="_Toc450662875"/>
      <w:bookmarkStart w:id="298" w:name="_Toc31520"/>
      <w:bookmarkStart w:id="299" w:name="_Toc195714245"/>
      <w:bookmarkStart w:id="300" w:name="_Toc15565_WPSOffice_Level3"/>
      <w:bookmarkStart w:id="301" w:name="_Toc17530"/>
      <w:bookmarkStart w:id="302" w:name="_Toc16920"/>
      <w:bookmarkStart w:id="303" w:name="_Toc800"/>
      <w:bookmarkStart w:id="304" w:name="_Toc486167690"/>
      <w:bookmarkStart w:id="305" w:name="_Toc28911"/>
      <w:r>
        <w:rPr>
          <w:rFonts w:hint="eastAsia" w:ascii="宋体" w:hAnsi="宋体" w:eastAsia="宋体" w:cs="宋体"/>
          <w:color w:val="auto"/>
          <w:szCs w:val="21"/>
          <w:highlight w:val="none"/>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96"/>
      <w:bookmarkEnd w:id="297"/>
      <w:bookmarkEnd w:id="298"/>
      <w:bookmarkEnd w:id="299"/>
      <w:bookmarkEnd w:id="300"/>
      <w:bookmarkEnd w:id="301"/>
      <w:bookmarkEnd w:id="302"/>
      <w:bookmarkEnd w:id="303"/>
      <w:bookmarkEnd w:id="304"/>
      <w:bookmarkEnd w:id="305"/>
    </w:p>
    <w:p w14:paraId="3F2A982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08E1E17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04A674A8">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C4BEDC3">
      <w:pPr>
        <w:autoSpaceDE w:val="0"/>
        <w:autoSpaceDN w:val="0"/>
        <w:adjustRightInd w:val="0"/>
        <w:spacing w:line="360" w:lineRule="auto"/>
        <w:ind w:left="357" w:leftChars="-100" w:hanging="567"/>
        <w:outlineLvl w:val="2"/>
        <w:rPr>
          <w:rFonts w:ascii="宋体" w:hAnsi="宋体" w:eastAsia="宋体" w:cs="宋体"/>
          <w:color w:val="auto"/>
          <w:szCs w:val="21"/>
          <w:highlight w:val="none"/>
          <w:lang w:val="zh-CN"/>
        </w:rPr>
      </w:pPr>
      <w:bookmarkStart w:id="306" w:name="_Toc195714246"/>
      <w:bookmarkStart w:id="307" w:name="_Toc562"/>
      <w:bookmarkStart w:id="308" w:name="_Toc2927"/>
      <w:bookmarkStart w:id="309" w:name="_Toc31092"/>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306"/>
      <w:bookmarkEnd w:id="307"/>
      <w:bookmarkEnd w:id="308"/>
      <w:bookmarkEnd w:id="309"/>
    </w:p>
    <w:p w14:paraId="44965B7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14:paraId="1881784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p>
    <w:p w14:paraId="54D8174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14:paraId="251576C6">
      <w:pPr>
        <w:autoSpaceDE w:val="0"/>
        <w:autoSpaceDN w:val="0"/>
        <w:adjustRightInd w:val="0"/>
        <w:spacing w:line="360" w:lineRule="auto"/>
        <w:ind w:left="357" w:leftChars="-100" w:hanging="567"/>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26.1.3投标文件中使用的本项目招标文件版本，与交易系统上发布的本项目招标文件的最新版本不一致的；</w:t>
      </w:r>
    </w:p>
    <w:p w14:paraId="7947E10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26.1.4</w:t>
      </w:r>
      <w:r>
        <w:rPr>
          <w:rFonts w:hint="eastAsia" w:ascii="宋体" w:hAnsi="宋体" w:eastAsia="宋体" w:cs="宋体"/>
          <w:color w:val="auto"/>
          <w:szCs w:val="21"/>
          <w:highlight w:val="none"/>
          <w:lang w:val="zh-CN"/>
        </w:rPr>
        <w:t>投标产品的制造商及取得投标产品制造商就本次投标独家授权的经销商同时参与本项目投标的；</w:t>
      </w:r>
    </w:p>
    <w:p w14:paraId="11D85712">
      <w:pPr>
        <w:autoSpaceDE w:val="0"/>
        <w:autoSpaceDN w:val="0"/>
        <w:adjustRightInd w:val="0"/>
        <w:spacing w:line="360" w:lineRule="auto"/>
        <w:ind w:left="357" w:leftChars="-100"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同一投标产品的制造商通过两家或以上就本次投标独家授权的经销商同时参与本项目投标的；</w:t>
      </w:r>
    </w:p>
    <w:p w14:paraId="00BEDEB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26.1.6</w:t>
      </w:r>
      <w:r>
        <w:rPr>
          <w:rFonts w:hint="eastAsia" w:ascii="宋体" w:hAnsi="宋体" w:eastAsia="宋体" w:cs="宋体"/>
          <w:color w:val="auto"/>
          <w:szCs w:val="21"/>
          <w:highlight w:val="none"/>
          <w:lang w:val="zh-CN"/>
        </w:rPr>
        <w:t>投标文件签名使用的数字证书与签到的投标人名称不一致的；</w:t>
      </w:r>
    </w:p>
    <w:p w14:paraId="283760D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14:paraId="3349782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投标文件附有招标人不能接受的条件的；</w:t>
      </w:r>
    </w:p>
    <w:p w14:paraId="6D6A641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款的要求；</w:t>
      </w:r>
    </w:p>
    <w:p w14:paraId="4B73486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投标人未按招标文件要求交纳投标保证金的；</w:t>
      </w:r>
    </w:p>
    <w:p w14:paraId="6FE78D6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投标文件报价信封中填报的投标报价未按照招标文件要求进行折扣系数报价的；</w:t>
      </w:r>
    </w:p>
    <w:p w14:paraId="65EDFB5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投标人以低于企业成本价报价，且投标人不能合理说明或不能提供相关证明材料；</w:t>
      </w:r>
    </w:p>
    <w:p w14:paraId="30C8D53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14:paraId="163BB70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 xml:space="preserve">投标文件未使用企业数字证书或个人数字证书电子签名的； </w:t>
      </w:r>
    </w:p>
    <w:p w14:paraId="4AA327B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投标有效期限不符合要求；</w:t>
      </w:r>
    </w:p>
    <w:p w14:paraId="512B6BD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val="zh-CN"/>
        </w:rPr>
        <w:t>投标文件未对招标范围内的全部内容进行投标报价或投标方案不是唯一；</w:t>
      </w:r>
    </w:p>
    <w:p w14:paraId="291F999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lang w:val="zh-CN"/>
        </w:rPr>
        <w:t>未提供或虚假填写《合同条款偏离表》，或对《合同条款偏离表》有负偏离的；</w:t>
      </w:r>
    </w:p>
    <w:p w14:paraId="1BE9D59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val="zh-CN"/>
        </w:rPr>
        <w:t>未填写或虚假填写《用户需求偏离表》的；</w:t>
      </w:r>
    </w:p>
    <w:p w14:paraId="51FC95C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lang w:val="zh-CN"/>
        </w:rPr>
        <w:t>未响应招标文件提出的实质性要求和条件（标注★的条款）。</w:t>
      </w:r>
    </w:p>
    <w:p w14:paraId="3DA475A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val="zh-CN"/>
        </w:rPr>
        <w:t>属于招标文件中规定为无效标的；属于法律、法规、规章规定的应作无效投标文件处理的。</w:t>
      </w:r>
    </w:p>
    <w:p w14:paraId="13BE929B">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8CAA1A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10" w:name="_Toc12715"/>
      <w:bookmarkStart w:id="311" w:name="_Toc28910_WPSOffice_Level3"/>
      <w:bookmarkStart w:id="312" w:name="_Toc17000"/>
      <w:bookmarkStart w:id="313" w:name="_Toc23436"/>
      <w:bookmarkStart w:id="314" w:name="_Toc486167691"/>
      <w:bookmarkStart w:id="315" w:name="_Toc142508341"/>
      <w:bookmarkStart w:id="316" w:name="_Toc450662876"/>
      <w:bookmarkStart w:id="317" w:name="_Toc18668"/>
      <w:bookmarkStart w:id="318" w:name="_Toc195714247"/>
      <w:bookmarkStart w:id="319" w:name="_Toc27897"/>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310"/>
      <w:bookmarkEnd w:id="311"/>
      <w:bookmarkEnd w:id="312"/>
      <w:bookmarkEnd w:id="313"/>
      <w:bookmarkEnd w:id="314"/>
      <w:bookmarkEnd w:id="315"/>
      <w:bookmarkEnd w:id="316"/>
      <w:bookmarkEnd w:id="317"/>
      <w:bookmarkEnd w:id="318"/>
      <w:bookmarkEnd w:id="319"/>
    </w:p>
    <w:p w14:paraId="30722EA8">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14:paraId="2233E2A3">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14:paraId="24509295">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29F96B6B">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0" w:name="_Toc142508342"/>
      <w:bookmarkStart w:id="321" w:name="_Toc4837"/>
      <w:bookmarkStart w:id="322" w:name="_Toc8995"/>
      <w:bookmarkStart w:id="323" w:name="_Toc14014"/>
      <w:bookmarkStart w:id="324" w:name="_Toc338_WPSOffice_Level3"/>
      <w:bookmarkStart w:id="325" w:name="_Toc195714248"/>
      <w:bookmarkStart w:id="326" w:name="_Toc486167692"/>
      <w:bookmarkStart w:id="327" w:name="_Toc450662877"/>
      <w:bookmarkStart w:id="328" w:name="_Toc30225"/>
      <w:bookmarkStart w:id="329" w:name="_Toc6432"/>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20"/>
      <w:bookmarkEnd w:id="321"/>
      <w:bookmarkEnd w:id="322"/>
      <w:bookmarkEnd w:id="323"/>
      <w:bookmarkEnd w:id="324"/>
      <w:bookmarkEnd w:id="325"/>
      <w:bookmarkEnd w:id="326"/>
      <w:bookmarkEnd w:id="327"/>
      <w:bookmarkEnd w:id="328"/>
      <w:bookmarkEnd w:id="329"/>
    </w:p>
    <w:p w14:paraId="61B8A67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182EB99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30"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lang w:val="en-US" w:eastAsia="zh-CN"/>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lang w:val="en-US" w:eastAsia="zh-CN"/>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lang w:val="en-US" w:eastAsia="zh-CN"/>
        </w:rPr>
        <w:t>联系方式及电子邮箱</w:t>
      </w:r>
      <w:r>
        <w:rPr>
          <w:rFonts w:hint="eastAsia" w:ascii="宋体" w:hAnsi="宋体" w:eastAsia="宋体" w:cs="宋体"/>
          <w:color w:val="auto"/>
          <w:szCs w:val="21"/>
          <w:highlight w:val="none"/>
          <w:lang w:val="zh-CN"/>
        </w:rPr>
        <w:t>，以便能及时收到澄清通知。</w:t>
      </w:r>
    </w:p>
    <w:p w14:paraId="4BD6845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330"/>
    <w:p w14:paraId="33894CEF">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1" w:name="_Toc5783"/>
      <w:bookmarkStart w:id="332" w:name="_Toc10967"/>
      <w:bookmarkStart w:id="333" w:name="_Toc18368_WPSOffice_Level3"/>
      <w:bookmarkStart w:id="334" w:name="_Toc521918096"/>
      <w:bookmarkStart w:id="335" w:name="_Toc22065"/>
      <w:bookmarkStart w:id="336" w:name="_Toc142508343"/>
      <w:bookmarkStart w:id="337" w:name="_Toc522047355"/>
      <w:bookmarkStart w:id="338" w:name="_Toc195714249"/>
      <w:bookmarkStart w:id="339" w:name="_Toc13423"/>
      <w:bookmarkStart w:id="340" w:name="_Toc1400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31"/>
      <w:bookmarkEnd w:id="332"/>
      <w:bookmarkEnd w:id="333"/>
      <w:bookmarkEnd w:id="334"/>
      <w:bookmarkEnd w:id="335"/>
      <w:bookmarkEnd w:id="336"/>
      <w:bookmarkEnd w:id="337"/>
      <w:bookmarkEnd w:id="338"/>
      <w:bookmarkEnd w:id="339"/>
      <w:bookmarkEnd w:id="340"/>
    </w:p>
    <w:p w14:paraId="2E6E82AB">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7A61ABB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2E1849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1B380BB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070A2A2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2221126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2A5A7300">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41" w:name="_Toc521918097"/>
      <w:bookmarkStart w:id="342" w:name="_Toc522047356"/>
    </w:p>
    <w:p w14:paraId="04BFA3C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3" w:name="_Toc195714250"/>
      <w:bookmarkStart w:id="344" w:name="_Toc14804"/>
      <w:bookmarkStart w:id="345" w:name="_Toc22724"/>
      <w:bookmarkStart w:id="346" w:name="_Toc21460_WPSOffice_Level3"/>
      <w:bookmarkStart w:id="347" w:name="_Toc27950"/>
      <w:bookmarkStart w:id="348" w:name="_Toc142508344"/>
      <w:bookmarkStart w:id="349" w:name="_Toc27026"/>
      <w:bookmarkStart w:id="350" w:name="_Toc5451"/>
      <w:r>
        <w:rPr>
          <w:rFonts w:hint="eastAsia" w:ascii="宋体" w:hAnsi="宋体" w:eastAsia="宋体" w:cs="宋体"/>
          <w:color w:val="auto"/>
          <w:szCs w:val="21"/>
          <w:highlight w:val="none"/>
        </w:rPr>
        <w:t>30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41"/>
      <w:bookmarkEnd w:id="342"/>
      <w:bookmarkEnd w:id="343"/>
      <w:bookmarkEnd w:id="344"/>
      <w:bookmarkEnd w:id="345"/>
      <w:bookmarkEnd w:id="346"/>
      <w:bookmarkEnd w:id="347"/>
      <w:bookmarkEnd w:id="348"/>
      <w:bookmarkEnd w:id="349"/>
      <w:bookmarkEnd w:id="350"/>
    </w:p>
    <w:p w14:paraId="49A30E0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498CFF4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p>
    <w:p w14:paraId="1DA4B05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2D553696">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3CC6CF46">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113A906B">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1" w:name="_Toc142508345"/>
      <w:bookmarkStart w:id="352" w:name="_Toc19208"/>
      <w:bookmarkStart w:id="353" w:name="_Toc4819"/>
      <w:bookmarkStart w:id="354" w:name="_Toc466882017"/>
      <w:bookmarkStart w:id="355" w:name="_Toc465358969"/>
      <w:bookmarkStart w:id="356" w:name="_Toc486167694"/>
      <w:bookmarkStart w:id="357" w:name="_Toc195714251"/>
      <w:bookmarkStart w:id="358" w:name="_Toc11615"/>
      <w:bookmarkStart w:id="359" w:name="_Toc26551"/>
      <w:bookmarkStart w:id="360" w:name="_Toc32498_WPSOffice_Level3"/>
      <w:bookmarkStart w:id="361" w:name="_Toc15160"/>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51"/>
      <w:bookmarkEnd w:id="352"/>
      <w:bookmarkEnd w:id="353"/>
      <w:bookmarkEnd w:id="354"/>
      <w:bookmarkEnd w:id="355"/>
      <w:bookmarkEnd w:id="356"/>
      <w:bookmarkEnd w:id="357"/>
      <w:bookmarkEnd w:id="358"/>
      <w:bookmarkEnd w:id="359"/>
      <w:bookmarkEnd w:id="360"/>
      <w:bookmarkEnd w:id="361"/>
    </w:p>
    <w:p w14:paraId="5D6DD7CA">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644EE26A">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07E74CAE">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31.2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0B307665">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163818A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3F102E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920AF5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2420629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2B615EE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62721BD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6A59D43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55284A5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209F3AF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62322C8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4EF4AB8D">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37724296">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62" w:name="_Toc466882018"/>
      <w:bookmarkStart w:id="363" w:name="_Toc142508346"/>
      <w:bookmarkStart w:id="364" w:name="_Toc24224"/>
      <w:bookmarkStart w:id="365" w:name="_Toc465358970"/>
      <w:bookmarkStart w:id="366" w:name="_Toc1848_WPSOffice_Level3"/>
      <w:bookmarkStart w:id="367" w:name="_Toc3154"/>
      <w:bookmarkStart w:id="368" w:name="_Toc195714252"/>
      <w:bookmarkStart w:id="369" w:name="_Toc6945"/>
      <w:bookmarkStart w:id="370" w:name="_Toc26354"/>
      <w:bookmarkStart w:id="371" w:name="_Toc486167695"/>
      <w:bookmarkStart w:id="372" w:name="_Toc3414"/>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362"/>
      <w:bookmarkEnd w:id="363"/>
      <w:bookmarkEnd w:id="364"/>
      <w:bookmarkEnd w:id="365"/>
      <w:bookmarkEnd w:id="366"/>
      <w:bookmarkEnd w:id="367"/>
      <w:bookmarkEnd w:id="368"/>
      <w:bookmarkEnd w:id="369"/>
      <w:bookmarkEnd w:id="370"/>
      <w:bookmarkEnd w:id="371"/>
      <w:bookmarkEnd w:id="372"/>
    </w:p>
    <w:p w14:paraId="1AC148F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39CD195">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221F069">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w:t>
      </w:r>
      <w:r>
        <w:rPr>
          <w:rFonts w:hint="eastAsia" w:ascii="宋体" w:hAnsi="宋体" w:eastAsia="宋体" w:cs="宋体"/>
          <w:b/>
          <w:color w:val="auto"/>
          <w:szCs w:val="21"/>
          <w:highlight w:val="none"/>
          <w:lang w:eastAsia="zh-CN"/>
        </w:rPr>
        <w:t>本投标人须知</w:t>
      </w:r>
      <w:r>
        <w:rPr>
          <w:rFonts w:hint="eastAsia" w:ascii="宋体" w:hAnsi="宋体" w:eastAsia="宋体" w:cs="宋体"/>
          <w:b/>
          <w:color w:val="auto"/>
          <w:szCs w:val="21"/>
          <w:highlight w:val="none"/>
        </w:rPr>
        <w:t>31</w:t>
      </w:r>
      <w:r>
        <w:rPr>
          <w:rFonts w:ascii="宋体" w:hAnsi="宋体" w:eastAsia="宋体" w:cs="宋体"/>
          <w:b/>
          <w:color w:val="auto"/>
          <w:szCs w:val="21"/>
          <w:highlight w:val="none"/>
        </w:rPr>
        <w:t>.2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w:t>
      </w:r>
      <w:r>
        <w:rPr>
          <w:rFonts w:hint="eastAsia" w:ascii="宋体" w:hAnsi="宋体" w:eastAsia="宋体" w:cs="宋体"/>
          <w:b/>
          <w:color w:val="auto"/>
          <w:szCs w:val="21"/>
          <w:highlight w:val="none"/>
          <w:lang w:eastAsia="zh-CN"/>
        </w:rPr>
        <w:t>撤销</w:t>
      </w:r>
      <w:r>
        <w:rPr>
          <w:rFonts w:hint="eastAsia" w:ascii="宋体" w:hAnsi="宋体" w:eastAsia="宋体" w:cs="宋体"/>
          <w:b/>
          <w:color w:val="auto"/>
          <w:szCs w:val="21"/>
          <w:highlight w:val="none"/>
        </w:rPr>
        <w:t>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412ACD7C">
      <w:pPr>
        <w:autoSpaceDE w:val="0"/>
        <w:autoSpaceDN w:val="0"/>
        <w:adjustRightInd w:val="0"/>
        <w:snapToGrid w:val="0"/>
        <w:spacing w:line="360" w:lineRule="auto"/>
        <w:jc w:val="left"/>
        <w:rPr>
          <w:rFonts w:ascii="宋体" w:hAnsi="宋体" w:eastAsia="宋体" w:cs="宋体"/>
          <w:color w:val="auto"/>
          <w:szCs w:val="21"/>
          <w:highlight w:val="none"/>
        </w:rPr>
      </w:pPr>
      <w:bookmarkStart w:id="373" w:name="_Toc465358971"/>
      <w:bookmarkStart w:id="374" w:name="_Toc466882019"/>
    </w:p>
    <w:p w14:paraId="4874D8A3">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75" w:name="_Toc10867_WPSOffice_Level3"/>
      <w:bookmarkStart w:id="376" w:name="_Toc486167696"/>
      <w:bookmarkStart w:id="377" w:name="_Toc3102"/>
      <w:bookmarkStart w:id="378" w:name="_Toc8654"/>
      <w:bookmarkStart w:id="379" w:name="_Toc23672"/>
      <w:bookmarkStart w:id="380" w:name="_Toc195714253"/>
      <w:bookmarkStart w:id="381" w:name="_Toc32262"/>
      <w:bookmarkStart w:id="382" w:name="_Toc142508347"/>
      <w:bookmarkStart w:id="383" w:name="_Toc28790"/>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373"/>
      <w:bookmarkEnd w:id="374"/>
      <w:bookmarkEnd w:id="375"/>
      <w:bookmarkEnd w:id="376"/>
      <w:bookmarkEnd w:id="377"/>
      <w:bookmarkEnd w:id="378"/>
      <w:bookmarkEnd w:id="379"/>
      <w:bookmarkEnd w:id="380"/>
      <w:bookmarkEnd w:id="381"/>
      <w:bookmarkEnd w:id="382"/>
      <w:bookmarkEnd w:id="383"/>
    </w:p>
    <w:p w14:paraId="6A0680B7">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797E0E54">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84" w:name="_Toc450662880"/>
    </w:p>
    <w:p w14:paraId="2671513E">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85" w:name="_Toc195714254"/>
      <w:bookmarkStart w:id="386" w:name="_Toc142508348"/>
      <w:bookmarkStart w:id="387" w:name="_Toc5248"/>
      <w:bookmarkStart w:id="388" w:name="_Toc140596907"/>
      <w:bookmarkStart w:id="389" w:name="_Toc27480"/>
      <w:bookmarkStart w:id="390" w:name="_Toc27936"/>
      <w:bookmarkStart w:id="391" w:name="_Toc16848_WPSOffice_Level2"/>
      <w:bookmarkStart w:id="392" w:name="_Toc16789"/>
      <w:bookmarkStart w:id="393" w:name="_Toc486167697"/>
      <w:bookmarkStart w:id="394" w:name="_Toc2843"/>
      <w:r>
        <w:rPr>
          <w:rFonts w:hint="eastAsia" w:ascii="宋体" w:hAnsi="宋体" w:eastAsia="宋体" w:cs="宋体"/>
          <w:b/>
          <w:bCs/>
          <w:color w:val="auto"/>
          <w:kern w:val="44"/>
          <w:szCs w:val="21"/>
          <w:highlight w:val="none"/>
          <w:lang w:val="zh-CN"/>
        </w:rPr>
        <w:t>六、授予合同</w:t>
      </w:r>
      <w:bookmarkEnd w:id="384"/>
      <w:bookmarkEnd w:id="385"/>
      <w:bookmarkEnd w:id="386"/>
      <w:bookmarkEnd w:id="387"/>
      <w:bookmarkEnd w:id="388"/>
      <w:bookmarkEnd w:id="389"/>
      <w:bookmarkEnd w:id="390"/>
      <w:bookmarkEnd w:id="391"/>
      <w:bookmarkEnd w:id="392"/>
      <w:bookmarkEnd w:id="393"/>
      <w:bookmarkEnd w:id="394"/>
    </w:p>
    <w:p w14:paraId="172787F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5" w:name="_Toc6401_WPSOffice_Level3"/>
      <w:bookmarkStart w:id="396" w:name="_Toc11192"/>
      <w:bookmarkStart w:id="397" w:name="_Toc30988"/>
      <w:bookmarkStart w:id="398" w:name="_Toc31713"/>
      <w:bookmarkStart w:id="399" w:name="_Toc450662881"/>
      <w:bookmarkStart w:id="400" w:name="_Toc195714255"/>
      <w:bookmarkStart w:id="401" w:name="_Toc29383"/>
      <w:bookmarkStart w:id="402" w:name="_Toc142508349"/>
      <w:bookmarkStart w:id="403" w:name="_Toc486167698"/>
      <w:bookmarkStart w:id="404" w:name="_Toc1582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95"/>
      <w:bookmarkEnd w:id="396"/>
      <w:bookmarkEnd w:id="397"/>
      <w:bookmarkEnd w:id="398"/>
      <w:bookmarkEnd w:id="399"/>
      <w:bookmarkEnd w:id="400"/>
      <w:bookmarkEnd w:id="401"/>
      <w:bookmarkEnd w:id="402"/>
      <w:bookmarkEnd w:id="403"/>
      <w:bookmarkEnd w:id="404"/>
    </w:p>
    <w:p w14:paraId="549FABFD">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494AFF63">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060536A2">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252C76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05" w:name="_Toc450662885"/>
    </w:p>
    <w:p w14:paraId="1E73A675">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6" w:name="_Toc8196"/>
      <w:bookmarkStart w:id="407" w:name="_Toc18984"/>
      <w:bookmarkStart w:id="408" w:name="_Toc27692"/>
      <w:bookmarkStart w:id="409" w:name="_Toc142508350"/>
      <w:bookmarkStart w:id="410" w:name="_Toc6726_WPSOffice_Level3"/>
      <w:bookmarkStart w:id="411" w:name="_Toc18405"/>
      <w:bookmarkStart w:id="412" w:name="_Toc195714256"/>
      <w:bookmarkStart w:id="413" w:name="_Toc486167699"/>
      <w:bookmarkStart w:id="414" w:name="_Toc29111"/>
      <w:r>
        <w:rPr>
          <w:rFonts w:hint="eastAsia" w:ascii="宋体" w:hAnsi="宋体" w:eastAsia="宋体" w:cs="宋体"/>
          <w:color w:val="auto"/>
          <w:szCs w:val="21"/>
          <w:highlight w:val="none"/>
        </w:rPr>
        <w:t>35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405"/>
      <w:bookmarkEnd w:id="406"/>
      <w:bookmarkEnd w:id="407"/>
      <w:bookmarkEnd w:id="408"/>
      <w:bookmarkEnd w:id="409"/>
      <w:bookmarkEnd w:id="410"/>
      <w:bookmarkEnd w:id="411"/>
      <w:bookmarkEnd w:id="412"/>
      <w:bookmarkEnd w:id="413"/>
      <w:bookmarkEnd w:id="414"/>
    </w:p>
    <w:p w14:paraId="55293F4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15"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589DDE5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135F754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D3EFF7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6" w:name="_Toc28020"/>
      <w:bookmarkStart w:id="417" w:name="_Toc19127"/>
      <w:bookmarkStart w:id="418" w:name="_Toc195714257"/>
      <w:bookmarkStart w:id="419" w:name="_Toc4843"/>
      <w:bookmarkStart w:id="420" w:name="_Toc18607"/>
      <w:bookmarkStart w:id="421" w:name="_Toc142508351"/>
      <w:bookmarkStart w:id="422" w:name="_Toc9694_WPSOffice_Level3"/>
      <w:bookmarkStart w:id="423" w:name="_Toc486167700"/>
      <w:bookmarkStart w:id="424" w:name="_Toc13861"/>
      <w:r>
        <w:rPr>
          <w:rFonts w:hint="eastAsia" w:ascii="宋体" w:hAnsi="宋体" w:eastAsia="宋体" w:cs="宋体"/>
          <w:color w:val="auto"/>
          <w:szCs w:val="21"/>
          <w:highlight w:val="none"/>
        </w:rPr>
        <w:t>36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415"/>
      <w:bookmarkEnd w:id="416"/>
      <w:bookmarkEnd w:id="417"/>
      <w:bookmarkEnd w:id="418"/>
      <w:bookmarkEnd w:id="419"/>
      <w:bookmarkEnd w:id="420"/>
      <w:bookmarkEnd w:id="421"/>
      <w:bookmarkEnd w:id="422"/>
      <w:bookmarkEnd w:id="423"/>
      <w:bookmarkEnd w:id="424"/>
    </w:p>
    <w:p w14:paraId="2DED768F">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13B87E1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3A33FCAE">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25" w:name="_Toc486167701"/>
      <w:bookmarkStart w:id="426" w:name="_Toc14090"/>
      <w:bookmarkStart w:id="427" w:name="_Toc5304"/>
      <w:bookmarkStart w:id="428" w:name="_Toc10513_WPSOffice_Level3"/>
      <w:bookmarkStart w:id="429" w:name="_Toc450662887"/>
      <w:bookmarkStart w:id="430" w:name="_Toc8181"/>
      <w:bookmarkStart w:id="431" w:name="_Toc16066"/>
      <w:bookmarkStart w:id="432" w:name="_Toc195714258"/>
      <w:bookmarkStart w:id="433" w:name="_Toc142508352"/>
      <w:bookmarkStart w:id="434" w:name="_Toc15322"/>
      <w:r>
        <w:rPr>
          <w:rFonts w:hint="eastAsia" w:ascii="宋体" w:hAnsi="宋体" w:eastAsia="宋体" w:cs="宋体"/>
          <w:color w:val="auto"/>
          <w:szCs w:val="21"/>
          <w:highlight w:val="none"/>
        </w:rPr>
        <w:t>37</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25"/>
      <w:bookmarkEnd w:id="426"/>
      <w:bookmarkEnd w:id="427"/>
      <w:bookmarkEnd w:id="428"/>
      <w:bookmarkEnd w:id="429"/>
      <w:bookmarkEnd w:id="430"/>
      <w:bookmarkEnd w:id="431"/>
      <w:bookmarkEnd w:id="432"/>
      <w:bookmarkEnd w:id="433"/>
      <w:bookmarkEnd w:id="434"/>
    </w:p>
    <w:p w14:paraId="7123C6D0">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35" w:name="_Toc465358977"/>
      <w:bookmarkStart w:id="436" w:name="_Toc466882025"/>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w:t>
      </w:r>
      <w:r>
        <w:rPr>
          <w:rFonts w:hint="eastAsia" w:ascii="宋体" w:hAnsi="宋体" w:eastAsia="宋体" w:cs="Times New Roman"/>
          <w:b/>
          <w:bCs/>
          <w:color w:val="auto"/>
          <w:szCs w:val="21"/>
          <w:highlight w:val="none"/>
          <w:u w:val="single"/>
          <w:lang w:val="en-US" w:eastAsia="zh-CN"/>
        </w:rPr>
        <w:t>暂定</w:t>
      </w:r>
      <w:r>
        <w:rPr>
          <w:rFonts w:hint="eastAsia" w:ascii="宋体" w:hAnsi="宋体" w:eastAsia="宋体" w:cs="Times New Roman"/>
          <w:b/>
          <w:bCs/>
          <w:color w:val="auto"/>
          <w:szCs w:val="21"/>
          <w:highlight w:val="none"/>
          <w:u w:val="single"/>
          <w:lang w:val="zh-CN"/>
        </w:rPr>
        <w:t>价的5%，采用不可撤销银行履约保函形式的金额为合同</w:t>
      </w:r>
      <w:r>
        <w:rPr>
          <w:rFonts w:hint="eastAsia" w:ascii="宋体" w:hAnsi="宋体" w:eastAsia="宋体" w:cs="Times New Roman"/>
          <w:b/>
          <w:bCs/>
          <w:color w:val="auto"/>
          <w:szCs w:val="21"/>
          <w:highlight w:val="none"/>
          <w:u w:val="single"/>
          <w:lang w:val="en-US" w:eastAsia="zh-CN"/>
        </w:rPr>
        <w:t>暂定</w:t>
      </w:r>
      <w:r>
        <w:rPr>
          <w:rFonts w:hint="eastAsia" w:ascii="宋体" w:hAnsi="宋体" w:eastAsia="宋体" w:cs="Times New Roman"/>
          <w:b/>
          <w:bCs/>
          <w:color w:val="auto"/>
          <w:szCs w:val="21"/>
          <w:highlight w:val="none"/>
          <w:u w:val="single"/>
          <w:lang w:val="zh-CN"/>
        </w:rPr>
        <w:t>价的8%，采用</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形式的金额为合同</w:t>
      </w:r>
      <w:r>
        <w:rPr>
          <w:rFonts w:hint="eastAsia" w:ascii="宋体" w:hAnsi="宋体" w:eastAsia="宋体" w:cs="Times New Roman"/>
          <w:b/>
          <w:bCs/>
          <w:color w:val="auto"/>
          <w:szCs w:val="21"/>
          <w:highlight w:val="none"/>
          <w:u w:val="single"/>
          <w:lang w:val="en-US" w:eastAsia="zh-CN"/>
        </w:rPr>
        <w:t>暂定</w:t>
      </w:r>
      <w:r>
        <w:rPr>
          <w:rFonts w:hint="eastAsia" w:ascii="宋体" w:hAnsi="宋体" w:eastAsia="宋体" w:cs="Times New Roman"/>
          <w:b/>
          <w:bCs/>
          <w:color w:val="auto"/>
          <w:szCs w:val="21"/>
          <w:highlight w:val="none"/>
          <w:u w:val="single"/>
          <w:lang w:val="zh-CN"/>
        </w:rPr>
        <w:t>价的8%，采用担保公司履约担保书形式的金额为合同</w:t>
      </w:r>
      <w:r>
        <w:rPr>
          <w:rFonts w:hint="eastAsia" w:ascii="宋体" w:hAnsi="宋体" w:eastAsia="宋体" w:cs="Times New Roman"/>
          <w:b/>
          <w:bCs/>
          <w:color w:val="auto"/>
          <w:szCs w:val="21"/>
          <w:highlight w:val="none"/>
          <w:u w:val="single"/>
          <w:lang w:val="en-US" w:eastAsia="zh-CN"/>
        </w:rPr>
        <w:t>暂定</w:t>
      </w:r>
      <w:r>
        <w:rPr>
          <w:rFonts w:hint="eastAsia" w:ascii="宋体" w:hAnsi="宋体" w:eastAsia="宋体" w:cs="Times New Roman"/>
          <w:b/>
          <w:bCs/>
          <w:color w:val="auto"/>
          <w:szCs w:val="21"/>
          <w:highlight w:val="none"/>
          <w:u w:val="single"/>
          <w:lang w:val="zh-CN"/>
        </w:rPr>
        <w:t>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040FD75F">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37.2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39439E0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3DB9376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224EC83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093BCE6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1655AE5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3E05DB9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29852E2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37.3  履约担保应符合如下规定：</w:t>
      </w:r>
    </w:p>
    <w:p w14:paraId="54C7CB5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0AD33F7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3CD08B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3E95693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440C8D7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1AE69B1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（6）不可撤销银行履约保函（或履约保证保险或担保公司履约担保书）应从合同签订之日起至合同期限届满并完成全部供货验收合格后二十八（28）日内保持有效。</w:t>
      </w:r>
    </w:p>
    <w:p w14:paraId="5667DF6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37.4  履约保证金应用本合同货币。</w:t>
      </w:r>
    </w:p>
    <w:p w14:paraId="3EBE5B6F">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205DCD87">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5843D59B">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rPr>
        <w:t>开户名称：</w:t>
      </w:r>
      <w:r>
        <w:rPr>
          <w:rFonts w:hint="eastAsia" w:ascii="宋体" w:hAnsi="宋体" w:eastAsia="宋体" w:cs="Times New Roman"/>
          <w:b/>
          <w:color w:val="auto"/>
          <w:kern w:val="0"/>
          <w:szCs w:val="21"/>
          <w:highlight w:val="none"/>
          <w:lang w:eastAsia="zh-CN"/>
        </w:rPr>
        <w:t>东莞市水务集团供水有限公司</w:t>
      </w:r>
    </w:p>
    <w:p w14:paraId="32EE06BB">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银行账号：44001778808059999998</w:t>
      </w:r>
    </w:p>
    <w:p w14:paraId="470E5F7C">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开户银行：建行东莞分行营业部</w:t>
      </w:r>
    </w:p>
    <w:p w14:paraId="59E287FB">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602CE8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37.7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合同期限届满并完成全部供货验收合格，招标人向中标人支付全部款项二十八（28）日后，经招标人确认，中标人可向招标人提交退回履约担保的申请。招标人审核无异议后，办理履约担保退还手续，退回时一律以银行转账的形式无息退回到中标人的账户。</w:t>
      </w:r>
    </w:p>
    <w:p w14:paraId="05FA2CF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55F6AB6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7" w:name="_Toc142508353"/>
      <w:bookmarkStart w:id="438" w:name="_Toc486167702"/>
      <w:bookmarkStart w:id="439" w:name="_Toc10548"/>
      <w:bookmarkStart w:id="440" w:name="_Toc20364"/>
      <w:bookmarkStart w:id="441" w:name="_Toc195714259"/>
      <w:bookmarkStart w:id="442" w:name="_Toc27162"/>
      <w:bookmarkStart w:id="443" w:name="_Toc29161"/>
      <w:bookmarkStart w:id="444" w:name="_Toc6001"/>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435"/>
      <w:bookmarkEnd w:id="436"/>
      <w:bookmarkEnd w:id="437"/>
      <w:bookmarkEnd w:id="438"/>
      <w:bookmarkEnd w:id="439"/>
      <w:bookmarkEnd w:id="440"/>
      <w:bookmarkEnd w:id="441"/>
      <w:bookmarkEnd w:id="442"/>
      <w:bookmarkEnd w:id="443"/>
      <w:bookmarkEnd w:id="444"/>
    </w:p>
    <w:p w14:paraId="797B73F2">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38.1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5A2569D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45" w:name="_Toc450662888"/>
    </w:p>
    <w:p w14:paraId="55B4066C">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46" w:name="_Toc486167703"/>
      <w:bookmarkStart w:id="447" w:name="_Toc28921_WPSOffice_Level3"/>
      <w:bookmarkStart w:id="448" w:name="_Toc2401"/>
      <w:bookmarkStart w:id="449" w:name="_Toc195714260"/>
      <w:bookmarkStart w:id="450" w:name="_Toc19862"/>
      <w:bookmarkStart w:id="451" w:name="_Toc23619"/>
      <w:bookmarkStart w:id="452" w:name="_Toc23218"/>
      <w:bookmarkStart w:id="453" w:name="_Toc142508354"/>
      <w:bookmarkStart w:id="454" w:name="_Toc19832"/>
      <w:r>
        <w:rPr>
          <w:rFonts w:hint="eastAsia" w:ascii="宋体" w:hAnsi="宋体" w:eastAsia="宋体" w:cs="宋体"/>
          <w:color w:val="auto"/>
          <w:szCs w:val="21"/>
          <w:highlight w:val="none"/>
        </w:rPr>
        <w:t>39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45"/>
      <w:bookmarkEnd w:id="446"/>
      <w:bookmarkEnd w:id="447"/>
      <w:bookmarkEnd w:id="448"/>
      <w:bookmarkEnd w:id="449"/>
      <w:bookmarkEnd w:id="450"/>
      <w:bookmarkEnd w:id="451"/>
      <w:bookmarkEnd w:id="452"/>
      <w:bookmarkEnd w:id="453"/>
      <w:bookmarkEnd w:id="454"/>
    </w:p>
    <w:p w14:paraId="0C50A822">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本项目以中标折扣系数计算得出的不含税合同</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价为计费额，本项目业务性质：按货物类招标代理服务收费）。</w:t>
      </w:r>
    </w:p>
    <w:p w14:paraId="3944E45B">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 中标人收到中标通知后，须在15日内向招标代理机构交纳中标服务费用。</w:t>
      </w:r>
    </w:p>
    <w:p w14:paraId="2CADD8E3">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.3 中标服务费只接受以银行转账、电汇方式交纳。</w:t>
      </w:r>
    </w:p>
    <w:p w14:paraId="4B6EAD69">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14:paraId="78E05341">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lang w:eastAsia="zh-CN"/>
        </w:rPr>
        <w:t>东莞市达盛招标代理有限公司</w:t>
      </w:r>
    </w:p>
    <w:p w14:paraId="5F4054C0">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银行帐号：647068931654</w:t>
      </w:r>
    </w:p>
    <w:p w14:paraId="349629D8">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开户银行：中国银行东莞花园支行</w:t>
      </w:r>
    </w:p>
    <w:p w14:paraId="2E842356">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.4 中标人如未按第3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.2款规定办理，将不予退还其投标保证金。</w:t>
      </w:r>
    </w:p>
    <w:p w14:paraId="2F8A72D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55" w:name="_Toc450662889"/>
    </w:p>
    <w:p w14:paraId="08554E5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56" w:name="_Toc1528"/>
      <w:bookmarkStart w:id="457" w:name="_Toc6796"/>
      <w:bookmarkStart w:id="458" w:name="_Toc14901"/>
      <w:bookmarkStart w:id="459" w:name="_Toc21985"/>
      <w:bookmarkStart w:id="460" w:name="_Toc6764_WPSOffice_Level3"/>
      <w:bookmarkStart w:id="461" w:name="_Toc486167704"/>
      <w:bookmarkStart w:id="462" w:name="_Toc195714261"/>
      <w:bookmarkStart w:id="463" w:name="_Toc142508355"/>
      <w:bookmarkStart w:id="464" w:name="_Toc25650"/>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455"/>
      <w:bookmarkEnd w:id="456"/>
      <w:bookmarkEnd w:id="457"/>
      <w:bookmarkEnd w:id="458"/>
      <w:bookmarkEnd w:id="459"/>
      <w:bookmarkEnd w:id="460"/>
      <w:bookmarkEnd w:id="461"/>
      <w:bookmarkEnd w:id="462"/>
      <w:bookmarkEnd w:id="463"/>
      <w:bookmarkEnd w:id="464"/>
    </w:p>
    <w:p w14:paraId="43B001E2">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465" w:name="_Toc486167705"/>
      <w:bookmarkStart w:id="466" w:name="_Toc31106_WPSOffice_Level3"/>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w:t>
      </w:r>
      <w:r>
        <w:rPr>
          <w:rFonts w:hint="eastAsia" w:ascii="宋体" w:hAnsi="宋体" w:eastAsia="宋体" w:cs="Times New Roman"/>
          <w:color w:val="auto"/>
          <w:szCs w:val="21"/>
          <w:highlight w:val="none"/>
          <w:lang w:val="en-US" w:eastAsia="zh-CN"/>
        </w:rPr>
        <w:t>普通</w:t>
      </w:r>
      <w:r>
        <w:rPr>
          <w:rFonts w:hint="eastAsia" w:ascii="宋体" w:hAnsi="宋体" w:eastAsia="宋体" w:cs="Times New Roman"/>
          <w:color w:val="auto"/>
          <w:szCs w:val="21"/>
          <w:highlight w:val="none"/>
          <w:lang w:val="zh-CN"/>
        </w:rPr>
        <w:t>发票。</w:t>
      </w:r>
    </w:p>
    <w:p w14:paraId="47A0FA36">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1DD755E3">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67" w:name="_Toc18382"/>
      <w:bookmarkStart w:id="468" w:name="_Toc12802"/>
      <w:bookmarkStart w:id="469" w:name="_Toc8619"/>
      <w:bookmarkStart w:id="470" w:name="_Toc195714262"/>
      <w:bookmarkStart w:id="471" w:name="_Toc142508356"/>
      <w:bookmarkStart w:id="472" w:name="_Toc24547"/>
      <w:bookmarkStart w:id="473" w:name="_Toc31750"/>
      <w:r>
        <w:rPr>
          <w:rFonts w:hint="eastAsia" w:ascii="宋体" w:hAnsi="宋体" w:eastAsia="宋体" w:cs="宋体"/>
          <w:b/>
          <w:color w:val="auto"/>
          <w:szCs w:val="21"/>
          <w:highlight w:val="none"/>
        </w:rPr>
        <w:t>41</w:t>
      </w:r>
      <w:r>
        <w:rPr>
          <w:rFonts w:ascii="宋体" w:hAnsi="宋体" w:eastAsia="宋体" w:cs="宋体"/>
          <w:b/>
          <w:color w:val="auto"/>
          <w:szCs w:val="21"/>
          <w:highlight w:val="none"/>
        </w:rPr>
        <w:t xml:space="preserve"> 招标相关补充约定</w:t>
      </w:r>
      <w:bookmarkEnd w:id="467"/>
      <w:bookmarkEnd w:id="468"/>
      <w:bookmarkEnd w:id="469"/>
      <w:bookmarkEnd w:id="470"/>
      <w:bookmarkEnd w:id="471"/>
      <w:bookmarkEnd w:id="472"/>
      <w:bookmarkEnd w:id="473"/>
    </w:p>
    <w:p w14:paraId="7B3FA8D1">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41</w:t>
      </w:r>
      <w:r>
        <w:rPr>
          <w:rFonts w:ascii="宋体" w:hAnsi="宋体" w:eastAsia="宋体" w:cs="Times New Roman"/>
          <w:b/>
          <w:color w:val="auto"/>
          <w:szCs w:val="21"/>
          <w:highlight w:val="none"/>
        </w:rPr>
        <w:t>.1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5DBB7BB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10829F13">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74" w:name="_Toc26594"/>
      <w:bookmarkStart w:id="475" w:name="_Toc19860"/>
      <w:bookmarkStart w:id="476" w:name="_Toc18453"/>
      <w:bookmarkStart w:id="477" w:name="_Toc29758"/>
      <w:bookmarkStart w:id="478" w:name="_Toc142508357"/>
      <w:bookmarkStart w:id="479" w:name="_Toc195714263"/>
      <w:bookmarkStart w:id="480" w:name="_Toc19760"/>
      <w:r>
        <w:rPr>
          <w:rFonts w:hint="eastAsia" w:ascii="宋体" w:hAnsi="宋体" w:eastAsia="宋体" w:cs="宋体"/>
          <w:color w:val="auto"/>
          <w:szCs w:val="21"/>
          <w:highlight w:val="none"/>
        </w:rPr>
        <w:t>42 本次招标活动的最终解释权归招标代理机构及招标人所有。</w:t>
      </w:r>
      <w:bookmarkEnd w:id="465"/>
      <w:bookmarkEnd w:id="466"/>
      <w:bookmarkEnd w:id="474"/>
      <w:bookmarkEnd w:id="475"/>
      <w:bookmarkEnd w:id="476"/>
      <w:bookmarkEnd w:id="477"/>
      <w:bookmarkEnd w:id="478"/>
      <w:bookmarkEnd w:id="479"/>
      <w:bookmarkEnd w:id="480"/>
    </w:p>
    <w:p w14:paraId="4CE810A7">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81" w:name="_Toc27939_WPSOffice_Level1"/>
      <w:bookmarkStart w:id="482" w:name="_Toc13875"/>
      <w:bookmarkStart w:id="483" w:name="_Toc486167706"/>
      <w:bookmarkStart w:id="484" w:name="_Toc30146"/>
      <w:bookmarkStart w:id="485" w:name="_Toc14879"/>
      <w:bookmarkStart w:id="486" w:name="_Toc142508358"/>
      <w:bookmarkStart w:id="487" w:name="_Toc21446"/>
      <w:bookmarkStart w:id="488" w:name="_Toc450662891"/>
      <w:bookmarkStart w:id="489" w:name="_Toc195714264"/>
      <w:bookmarkStart w:id="490" w:name="_Toc1886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81"/>
      <w:bookmarkEnd w:id="482"/>
      <w:bookmarkEnd w:id="483"/>
      <w:bookmarkEnd w:id="484"/>
      <w:bookmarkEnd w:id="485"/>
      <w:bookmarkEnd w:id="486"/>
      <w:bookmarkEnd w:id="487"/>
      <w:bookmarkEnd w:id="488"/>
      <w:bookmarkEnd w:id="489"/>
      <w:bookmarkEnd w:id="490"/>
    </w:p>
    <w:p w14:paraId="010BED2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项目概况</w:t>
      </w:r>
    </w:p>
    <w:p w14:paraId="5290E7B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根据《中华人民共和国计量法》《饮用冷水水表检定规程》《东莞市城市供水管理办法》等法律法规要求，为</w:t>
      </w:r>
      <w:r>
        <w:rPr>
          <w:rFonts w:hint="eastAsia" w:ascii="宋体" w:hAnsi="宋体" w:eastAsia="宋体" w:cs="宋体"/>
          <w:color w:val="auto"/>
          <w:kern w:val="2"/>
          <w:sz w:val="21"/>
          <w:szCs w:val="21"/>
          <w:highlight w:val="none"/>
          <w:lang w:val="en-US" w:eastAsia="zh-CN"/>
        </w:rPr>
        <w:t>保障供水计量合法依规，提升智能水表覆盖率，推进水表轮换及供水计量智能化</w:t>
      </w:r>
      <w:r>
        <w:rPr>
          <w:rFonts w:hint="eastAsia" w:ascii="宋体" w:hAnsi="宋体" w:eastAsia="宋体" w:cs="宋体"/>
          <w:color w:val="auto"/>
          <w:kern w:val="2"/>
          <w:sz w:val="21"/>
          <w:szCs w:val="21"/>
          <w:highlight w:val="none"/>
          <w:lang w:val="zh-CN"/>
        </w:rPr>
        <w:t>，东莞市水务集团供水有限公司现开展</w:t>
      </w:r>
      <w:r>
        <w:rPr>
          <w:rFonts w:hint="eastAsia" w:ascii="宋体" w:hAnsi="宋体" w:eastAsia="宋体" w:cs="宋体"/>
          <w:color w:val="auto"/>
          <w:kern w:val="2"/>
          <w:sz w:val="21"/>
          <w:szCs w:val="21"/>
          <w:highlight w:val="none"/>
          <w:lang w:val="en-US" w:eastAsia="zh-CN"/>
        </w:rPr>
        <w:t>东莞市供水计量设施更新项目(2025年计量仪表采购)－旋翼式远传水表</w:t>
      </w:r>
      <w:r>
        <w:rPr>
          <w:rFonts w:hint="eastAsia" w:ascii="宋体" w:hAnsi="宋体" w:eastAsia="宋体" w:cs="宋体"/>
          <w:color w:val="auto"/>
          <w:kern w:val="2"/>
          <w:sz w:val="21"/>
          <w:szCs w:val="21"/>
          <w:highlight w:val="none"/>
          <w:lang w:val="zh-CN"/>
        </w:rPr>
        <w:t>，通过公开招标的方式采购DN</w:t>
      </w:r>
      <w:r>
        <w:rPr>
          <w:rFonts w:hint="eastAsia" w:ascii="宋体" w:hAnsi="宋体" w:eastAsia="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DN5</w:t>
      </w:r>
      <w:r>
        <w:rPr>
          <w:rFonts w:hint="eastAsia" w:ascii="宋体" w:hAnsi="宋体" w:eastAsia="宋体" w:cs="宋体"/>
          <w:color w:val="auto"/>
          <w:kern w:val="2"/>
          <w:sz w:val="21"/>
          <w:szCs w:val="21"/>
          <w:highlight w:val="none"/>
          <w:lang w:val="zh-CN"/>
        </w:rPr>
        <w:t>0</w:t>
      </w:r>
      <w:r>
        <w:rPr>
          <w:rFonts w:hint="eastAsia" w:ascii="宋体" w:hAnsi="宋体" w:eastAsia="宋体" w:cs="宋体"/>
          <w:color w:val="auto"/>
          <w:kern w:val="2"/>
          <w:sz w:val="21"/>
          <w:szCs w:val="21"/>
          <w:highlight w:val="none"/>
          <w:lang w:val="en-US" w:eastAsia="zh-CN"/>
        </w:rPr>
        <w:t>旋翼式远传水表</w:t>
      </w:r>
      <w:r>
        <w:rPr>
          <w:rFonts w:hint="eastAsia" w:ascii="宋体" w:hAnsi="宋体" w:eastAsia="宋体" w:cs="宋体"/>
          <w:color w:val="auto"/>
          <w:kern w:val="2"/>
          <w:sz w:val="21"/>
          <w:szCs w:val="21"/>
          <w:highlight w:val="none"/>
          <w:lang w:val="zh-CN"/>
        </w:rPr>
        <w:t>一批，暂定数量为</w:t>
      </w:r>
      <w:r>
        <w:rPr>
          <w:rFonts w:hint="eastAsia" w:ascii="宋体" w:hAnsi="宋体" w:eastAsia="宋体" w:cs="宋体"/>
          <w:color w:val="auto"/>
          <w:kern w:val="2"/>
          <w:sz w:val="21"/>
          <w:szCs w:val="21"/>
          <w:highlight w:val="none"/>
          <w:lang w:val="en-US" w:eastAsia="zh-CN"/>
        </w:rPr>
        <w:t>223830台</w:t>
      </w:r>
      <w:r>
        <w:rPr>
          <w:rFonts w:hint="eastAsia" w:ascii="宋体" w:hAnsi="宋体" w:eastAsia="宋体" w:cs="宋体"/>
          <w:color w:val="auto"/>
          <w:kern w:val="2"/>
          <w:sz w:val="21"/>
          <w:szCs w:val="21"/>
          <w:highlight w:val="none"/>
          <w:lang w:val="zh-CN" w:eastAsia="zh-CN"/>
        </w:rPr>
        <w:t>。</w:t>
      </w:r>
    </w:p>
    <w:p w14:paraId="2618B20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本用户需求书采购清单中的货物数量为暂定数量，仅为便于投标人投标报价使用，不作为招标人最终采购数量的保证。</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的最终采购数量以</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实际采购且经</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验收合格的货物数量为准</w:t>
      </w:r>
      <w:r>
        <w:rPr>
          <w:rFonts w:hint="eastAsia" w:ascii="宋体" w:hAnsi="宋体" w:eastAsia="宋体" w:cs="宋体"/>
          <w:color w:val="auto"/>
          <w:kern w:val="2"/>
          <w:sz w:val="21"/>
          <w:szCs w:val="21"/>
          <w:highlight w:val="none"/>
          <w:lang w:val="en-US"/>
        </w:rPr>
        <w:t>，按实结算。供货期为合同签订之日起</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rPr>
        <w:t>年。在供货期内，中标人不得因招标人实际采购数量的减少或增加而要求提供任何形式的补偿或赔偿，或要求招标人按暂定数量采购相应货物。</w:t>
      </w:r>
    </w:p>
    <w:p w14:paraId="5E2F0C5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p>
    <w:p w14:paraId="7196450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一、总体要求</w:t>
      </w:r>
    </w:p>
    <w:p w14:paraId="7F803B0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 xml:space="preserve">1.1 </w:t>
      </w:r>
      <w:r>
        <w:rPr>
          <w:rFonts w:hint="eastAsia" w:ascii="宋体" w:hAnsi="宋体" w:eastAsia="宋体" w:cs="宋体"/>
          <w:color w:val="auto"/>
          <w:kern w:val="2"/>
          <w:sz w:val="21"/>
          <w:szCs w:val="21"/>
          <w:highlight w:val="none"/>
          <w:lang w:val="en-US"/>
        </w:rPr>
        <w:t>本次采购项目的水表为全新产品，在中国境内可依常规安全合法使用，符合中华人民共和国国家安全质量标准、环保标准或行业标准，适用于自来水行业的居民饮用水计量使用。</w:t>
      </w:r>
    </w:p>
    <w:p w14:paraId="36DC406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sz w:val="21"/>
          <w:szCs w:val="21"/>
          <w:highlight w:val="none"/>
        </w:rPr>
        <w:t>投标人所投产品</w:t>
      </w:r>
      <w:r>
        <w:rPr>
          <w:rFonts w:hint="eastAsia" w:ascii="宋体" w:hAnsi="宋体" w:eastAsia="宋体" w:cs="宋体"/>
          <w:color w:val="auto"/>
          <w:sz w:val="21"/>
          <w:szCs w:val="21"/>
          <w:highlight w:val="none"/>
          <w:lang w:val="en-US" w:eastAsia="zh-CN"/>
        </w:rPr>
        <w:t>DN15-DN50旋翼式远传水表</w:t>
      </w:r>
      <w:r>
        <w:rPr>
          <w:rFonts w:hint="eastAsia" w:ascii="宋体" w:hAnsi="宋体" w:eastAsia="宋体" w:cs="宋体"/>
          <w:color w:val="auto"/>
          <w:sz w:val="21"/>
          <w:szCs w:val="21"/>
          <w:highlight w:val="none"/>
        </w:rPr>
        <w:t>需具有计量器具型式批准证书</w:t>
      </w:r>
      <w:r>
        <w:rPr>
          <w:rFonts w:hint="eastAsia" w:ascii="宋体" w:hAnsi="宋体" w:eastAsia="宋体" w:cs="宋体"/>
          <w:b/>
          <w:bCs/>
          <w:color w:val="auto"/>
          <w:sz w:val="21"/>
          <w:szCs w:val="21"/>
          <w:highlight w:val="none"/>
        </w:rPr>
        <w:t>（须提供有效期内的证书扫描件）</w:t>
      </w:r>
      <w:r>
        <w:rPr>
          <w:rFonts w:hint="eastAsia" w:ascii="宋体" w:hAnsi="宋体" w:eastAsia="宋体" w:cs="宋体"/>
          <w:b/>
          <w:bCs/>
          <w:color w:val="auto"/>
          <w:sz w:val="21"/>
          <w:szCs w:val="21"/>
          <w:highlight w:val="none"/>
          <w:lang w:eastAsia="zh-CN"/>
        </w:rPr>
        <w:t>。</w:t>
      </w:r>
    </w:p>
    <w:p w14:paraId="326F43E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 须遵循的法律、法规、标准和规范（包含但不局限于以下内容，另本要求中提及的规范标准等如非最新版本，应以最新版本为准）：</w:t>
      </w:r>
    </w:p>
    <w:p w14:paraId="41C3F0D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GB/T778-2018《饮用冷水水表和热水水表》标准</w:t>
      </w:r>
    </w:p>
    <w:p w14:paraId="286A271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JJG162-2019中华人民共和国国家计量检定规程《冷水水表》</w:t>
      </w:r>
    </w:p>
    <w:p w14:paraId="3BC76A0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GB/T 17219《生活饮用水输配水设备及防护材料的安全性评价标准》</w:t>
      </w:r>
    </w:p>
    <w:p w14:paraId="64FB6EE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CJ266-2008《饮用水冷水水表安全规则》</w:t>
      </w:r>
    </w:p>
    <w:p w14:paraId="60E2F51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CJ/T188-2018《户用计量仪表数据传输技术条件》 </w:t>
      </w:r>
    </w:p>
    <w:p w14:paraId="09524C2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GB/T 25480-2010《仪器仪表运输、贮存基本环境条件及试验方法》</w:t>
      </w:r>
    </w:p>
    <w:p w14:paraId="1E97FCB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CJ/T224-2012《电子远传水表》</w:t>
      </w:r>
    </w:p>
    <w:p w14:paraId="1F44AD9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CJ/T535《物联网水表》</w:t>
      </w:r>
    </w:p>
    <w:p w14:paraId="5D1AB80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GB/T4208-2017《外壳防护等级（IP代码）》</w:t>
      </w:r>
    </w:p>
    <w:p w14:paraId="03AA739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1.3 供货清单</w:t>
      </w:r>
    </w:p>
    <w:tbl>
      <w:tblPr>
        <w:tblStyle w:val="44"/>
        <w:tblW w:w="50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0"/>
        <w:gridCol w:w="1510"/>
        <w:gridCol w:w="1510"/>
        <w:gridCol w:w="1510"/>
        <w:gridCol w:w="1510"/>
        <w:gridCol w:w="2912"/>
      </w:tblGrid>
      <w:tr w14:paraId="3341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1" w:type="pct"/>
            <w:tcBorders>
              <w:top w:val="single" w:color="000000" w:sz="4" w:space="0"/>
              <w:left w:val="single" w:color="000000" w:sz="4" w:space="0"/>
              <w:bottom w:val="single" w:color="auto" w:sz="4" w:space="0"/>
              <w:right w:val="single" w:color="000000" w:sz="4" w:space="0"/>
            </w:tcBorders>
            <w:noWrap w:val="0"/>
            <w:vAlign w:val="center"/>
          </w:tcPr>
          <w:p w14:paraId="7905A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21" w:type="pct"/>
            <w:tcBorders>
              <w:top w:val="single" w:color="000000" w:sz="4" w:space="0"/>
              <w:left w:val="single" w:color="000000" w:sz="4" w:space="0"/>
              <w:bottom w:val="single" w:color="auto" w:sz="4" w:space="0"/>
              <w:right w:val="single" w:color="000000" w:sz="4" w:space="0"/>
            </w:tcBorders>
            <w:noWrap w:val="0"/>
            <w:vAlign w:val="center"/>
          </w:tcPr>
          <w:p w14:paraId="4FE4E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721" w:type="pct"/>
            <w:tcBorders>
              <w:top w:val="single" w:color="000000" w:sz="4" w:space="0"/>
              <w:left w:val="single" w:color="000000" w:sz="4" w:space="0"/>
              <w:bottom w:val="single" w:color="auto" w:sz="4" w:space="0"/>
              <w:right w:val="single" w:color="000000" w:sz="4" w:space="0"/>
            </w:tcBorders>
            <w:noWrap/>
            <w:vAlign w:val="center"/>
          </w:tcPr>
          <w:p w14:paraId="0E7CB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口径规格</w:t>
            </w:r>
          </w:p>
        </w:tc>
        <w:tc>
          <w:tcPr>
            <w:tcW w:w="721" w:type="pct"/>
            <w:tcBorders>
              <w:top w:val="single" w:color="000000" w:sz="4" w:space="0"/>
              <w:left w:val="single" w:color="000000" w:sz="4" w:space="0"/>
              <w:bottom w:val="single" w:color="auto" w:sz="4" w:space="0"/>
              <w:right w:val="single" w:color="000000" w:sz="4" w:space="0"/>
            </w:tcBorders>
            <w:noWrap w:val="0"/>
            <w:vAlign w:val="center"/>
          </w:tcPr>
          <w:p w14:paraId="03F1F4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21" w:type="pct"/>
            <w:tcBorders>
              <w:top w:val="single" w:color="000000" w:sz="4" w:space="0"/>
              <w:left w:val="single" w:color="000000" w:sz="4" w:space="0"/>
              <w:bottom w:val="single" w:color="auto" w:sz="4" w:space="0"/>
              <w:right w:val="single" w:color="000000" w:sz="4" w:space="0"/>
            </w:tcBorders>
            <w:noWrap w:val="0"/>
            <w:vAlign w:val="center"/>
          </w:tcPr>
          <w:p w14:paraId="7B67FF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391" w:type="pct"/>
            <w:tcBorders>
              <w:top w:val="single" w:color="000000" w:sz="4" w:space="0"/>
              <w:left w:val="single" w:color="000000" w:sz="4" w:space="0"/>
              <w:bottom w:val="single" w:color="auto" w:sz="4" w:space="0"/>
              <w:right w:val="single" w:color="000000" w:sz="4" w:space="0"/>
            </w:tcBorders>
            <w:noWrap w:val="0"/>
            <w:vAlign w:val="center"/>
          </w:tcPr>
          <w:p w14:paraId="61944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569E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1" w:type="pct"/>
            <w:tcBorders>
              <w:top w:val="single" w:color="auto" w:sz="4" w:space="0"/>
              <w:left w:val="single" w:color="auto" w:sz="4" w:space="0"/>
              <w:bottom w:val="single" w:color="auto" w:sz="4" w:space="0"/>
              <w:right w:val="single" w:color="auto" w:sz="4" w:space="0"/>
            </w:tcBorders>
            <w:noWrap/>
            <w:vAlign w:val="center"/>
          </w:tcPr>
          <w:p w14:paraId="49D1A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vMerge w:val="restart"/>
            <w:tcBorders>
              <w:top w:val="single" w:color="auto" w:sz="4" w:space="0"/>
              <w:left w:val="single" w:color="auto" w:sz="4" w:space="0"/>
              <w:bottom w:val="single" w:color="auto" w:sz="4" w:space="0"/>
              <w:right w:val="single" w:color="auto" w:sz="4" w:space="0"/>
            </w:tcBorders>
            <w:noWrap w:val="0"/>
            <w:vAlign w:val="center"/>
          </w:tcPr>
          <w:p w14:paraId="2CFE5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旋翼式远传水表</w:t>
            </w:r>
          </w:p>
        </w:tc>
        <w:tc>
          <w:tcPr>
            <w:tcW w:w="721" w:type="pct"/>
            <w:tcBorders>
              <w:top w:val="single" w:color="auto" w:sz="4" w:space="0"/>
              <w:left w:val="single" w:color="auto" w:sz="4" w:space="0"/>
              <w:bottom w:val="single" w:color="auto" w:sz="4" w:space="0"/>
              <w:right w:val="single" w:color="auto" w:sz="4" w:space="0"/>
            </w:tcBorders>
            <w:noWrap/>
            <w:vAlign w:val="center"/>
          </w:tcPr>
          <w:p w14:paraId="17BD38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DN15</w:t>
            </w:r>
          </w:p>
        </w:tc>
        <w:tc>
          <w:tcPr>
            <w:tcW w:w="721" w:type="pct"/>
            <w:tcBorders>
              <w:top w:val="single" w:color="auto" w:sz="4" w:space="0"/>
              <w:left w:val="single" w:color="auto" w:sz="4" w:space="0"/>
              <w:bottom w:val="single" w:color="auto" w:sz="4" w:space="0"/>
              <w:right w:val="single" w:color="auto" w:sz="4" w:space="0"/>
            </w:tcBorders>
            <w:noWrap/>
            <w:vAlign w:val="center"/>
          </w:tcPr>
          <w:p w14:paraId="0FEC48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1" w:type="pct"/>
            <w:tcBorders>
              <w:top w:val="single" w:color="auto" w:sz="4" w:space="0"/>
              <w:left w:val="single" w:color="auto" w:sz="4" w:space="0"/>
              <w:bottom w:val="single" w:color="auto" w:sz="4" w:space="0"/>
              <w:right w:val="single" w:color="auto" w:sz="4" w:space="0"/>
            </w:tcBorders>
            <w:noWrap/>
            <w:vAlign w:val="center"/>
          </w:tcPr>
          <w:p w14:paraId="2BD21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59700</w:t>
            </w:r>
          </w:p>
        </w:tc>
        <w:tc>
          <w:tcPr>
            <w:tcW w:w="1391" w:type="pct"/>
            <w:vMerge w:val="restart"/>
            <w:tcBorders>
              <w:top w:val="single" w:color="auto" w:sz="4" w:space="0"/>
              <w:left w:val="single" w:color="auto" w:sz="4" w:space="0"/>
              <w:right w:val="single" w:color="auto" w:sz="4" w:space="0"/>
            </w:tcBorders>
            <w:noWrap/>
            <w:vAlign w:val="center"/>
          </w:tcPr>
          <w:p w14:paraId="1CC77E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1、铸铁或不锈钢外壳；准确度等级2级；Q3/Q1（R值）≥100；含NB-IoT无线远传功能；</w:t>
            </w:r>
          </w:p>
          <w:p w14:paraId="4A77E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2、配件：DN15-DN40水表，每台水表需配接管螺母一套（2个接管+2个螺母+2个垫圈）；DN50水表，每台水表含2个垫圈，不含法兰。</w:t>
            </w:r>
          </w:p>
          <w:p w14:paraId="12CA44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3、由中标人负责执行首次检定工作，含运输费、装卸费和水表检定费。</w:t>
            </w:r>
          </w:p>
        </w:tc>
      </w:tr>
      <w:tr w14:paraId="6B0E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1" w:type="pct"/>
            <w:tcBorders>
              <w:top w:val="single" w:color="auto" w:sz="4" w:space="0"/>
              <w:left w:val="single" w:color="auto" w:sz="4" w:space="0"/>
              <w:bottom w:val="single" w:color="auto" w:sz="4" w:space="0"/>
              <w:right w:val="single" w:color="auto" w:sz="4" w:space="0"/>
            </w:tcBorders>
            <w:noWrap/>
            <w:vAlign w:val="center"/>
          </w:tcPr>
          <w:p w14:paraId="3A25F3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vMerge w:val="continue"/>
            <w:tcBorders>
              <w:top w:val="single" w:color="auto" w:sz="4" w:space="0"/>
              <w:left w:val="single" w:color="auto" w:sz="4" w:space="0"/>
              <w:bottom w:val="single" w:color="auto" w:sz="4" w:space="0"/>
              <w:right w:val="single" w:color="auto" w:sz="4" w:space="0"/>
            </w:tcBorders>
            <w:noWrap w:val="0"/>
            <w:vAlign w:val="center"/>
          </w:tcPr>
          <w:p w14:paraId="21EB15A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21" w:type="pct"/>
            <w:tcBorders>
              <w:top w:val="single" w:color="auto" w:sz="4" w:space="0"/>
              <w:left w:val="single" w:color="auto" w:sz="4" w:space="0"/>
              <w:bottom w:val="single" w:color="auto" w:sz="4" w:space="0"/>
              <w:right w:val="single" w:color="auto" w:sz="4" w:space="0"/>
            </w:tcBorders>
            <w:noWrap/>
            <w:vAlign w:val="center"/>
          </w:tcPr>
          <w:p w14:paraId="50CB3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DN20</w:t>
            </w:r>
          </w:p>
        </w:tc>
        <w:tc>
          <w:tcPr>
            <w:tcW w:w="721" w:type="pct"/>
            <w:tcBorders>
              <w:top w:val="single" w:color="auto" w:sz="4" w:space="0"/>
              <w:left w:val="single" w:color="auto" w:sz="4" w:space="0"/>
              <w:bottom w:val="single" w:color="auto" w:sz="4" w:space="0"/>
              <w:right w:val="single" w:color="auto" w:sz="4" w:space="0"/>
            </w:tcBorders>
            <w:noWrap/>
            <w:vAlign w:val="center"/>
          </w:tcPr>
          <w:p w14:paraId="00FFC6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1" w:type="pct"/>
            <w:tcBorders>
              <w:top w:val="single" w:color="auto" w:sz="4" w:space="0"/>
              <w:left w:val="single" w:color="auto" w:sz="4" w:space="0"/>
              <w:bottom w:val="single" w:color="auto" w:sz="4" w:space="0"/>
              <w:right w:val="single" w:color="auto" w:sz="4" w:space="0"/>
            </w:tcBorders>
            <w:noWrap/>
            <w:vAlign w:val="center"/>
          </w:tcPr>
          <w:p w14:paraId="6F1A3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108700</w:t>
            </w:r>
          </w:p>
        </w:tc>
        <w:tc>
          <w:tcPr>
            <w:tcW w:w="1391" w:type="pct"/>
            <w:vMerge w:val="continue"/>
            <w:tcBorders>
              <w:left w:val="single" w:color="auto" w:sz="4" w:space="0"/>
              <w:right w:val="single" w:color="auto" w:sz="4" w:space="0"/>
            </w:tcBorders>
            <w:noWrap/>
            <w:vAlign w:val="center"/>
          </w:tcPr>
          <w:p w14:paraId="0ED4D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BF90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1" w:type="pct"/>
            <w:tcBorders>
              <w:top w:val="single" w:color="auto" w:sz="4" w:space="0"/>
              <w:left w:val="single" w:color="auto" w:sz="4" w:space="0"/>
              <w:bottom w:val="single" w:color="auto" w:sz="4" w:space="0"/>
              <w:right w:val="single" w:color="auto" w:sz="4" w:space="0"/>
            </w:tcBorders>
            <w:noWrap/>
            <w:vAlign w:val="center"/>
          </w:tcPr>
          <w:p w14:paraId="66F7F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21" w:type="pct"/>
            <w:vMerge w:val="continue"/>
            <w:tcBorders>
              <w:top w:val="single" w:color="auto" w:sz="4" w:space="0"/>
              <w:left w:val="single" w:color="auto" w:sz="4" w:space="0"/>
              <w:bottom w:val="single" w:color="auto" w:sz="4" w:space="0"/>
              <w:right w:val="single" w:color="auto" w:sz="4" w:space="0"/>
            </w:tcBorders>
            <w:noWrap w:val="0"/>
            <w:vAlign w:val="center"/>
          </w:tcPr>
          <w:p w14:paraId="51CD201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21" w:type="pct"/>
            <w:tcBorders>
              <w:top w:val="single" w:color="auto" w:sz="4" w:space="0"/>
              <w:left w:val="single" w:color="auto" w:sz="4" w:space="0"/>
              <w:bottom w:val="single" w:color="auto" w:sz="4" w:space="0"/>
              <w:right w:val="single" w:color="auto" w:sz="4" w:space="0"/>
            </w:tcBorders>
            <w:noWrap/>
            <w:vAlign w:val="center"/>
          </w:tcPr>
          <w:p w14:paraId="39227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DN25</w:t>
            </w:r>
          </w:p>
        </w:tc>
        <w:tc>
          <w:tcPr>
            <w:tcW w:w="721" w:type="pct"/>
            <w:tcBorders>
              <w:top w:val="single" w:color="auto" w:sz="4" w:space="0"/>
              <w:left w:val="single" w:color="auto" w:sz="4" w:space="0"/>
              <w:bottom w:val="single" w:color="auto" w:sz="4" w:space="0"/>
              <w:right w:val="single" w:color="auto" w:sz="4" w:space="0"/>
            </w:tcBorders>
            <w:noWrap/>
            <w:vAlign w:val="center"/>
          </w:tcPr>
          <w:p w14:paraId="3599F3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1" w:type="pct"/>
            <w:tcBorders>
              <w:top w:val="single" w:color="auto" w:sz="4" w:space="0"/>
              <w:left w:val="single" w:color="auto" w:sz="4" w:space="0"/>
              <w:bottom w:val="single" w:color="auto" w:sz="4" w:space="0"/>
              <w:right w:val="single" w:color="auto" w:sz="4" w:space="0"/>
            </w:tcBorders>
            <w:noWrap/>
            <w:vAlign w:val="center"/>
          </w:tcPr>
          <w:p w14:paraId="6A521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36700</w:t>
            </w:r>
          </w:p>
        </w:tc>
        <w:tc>
          <w:tcPr>
            <w:tcW w:w="1391" w:type="pct"/>
            <w:vMerge w:val="continue"/>
            <w:tcBorders>
              <w:left w:val="single" w:color="auto" w:sz="4" w:space="0"/>
              <w:right w:val="single" w:color="auto" w:sz="4" w:space="0"/>
            </w:tcBorders>
            <w:noWrap/>
            <w:vAlign w:val="center"/>
          </w:tcPr>
          <w:p w14:paraId="632E3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2B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1" w:type="pct"/>
            <w:tcBorders>
              <w:top w:val="single" w:color="auto" w:sz="4" w:space="0"/>
              <w:left w:val="single" w:color="auto" w:sz="4" w:space="0"/>
              <w:bottom w:val="single" w:color="auto" w:sz="4" w:space="0"/>
              <w:right w:val="single" w:color="auto" w:sz="4" w:space="0"/>
            </w:tcBorders>
            <w:noWrap/>
            <w:vAlign w:val="center"/>
          </w:tcPr>
          <w:p w14:paraId="7BE06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vMerge w:val="continue"/>
            <w:tcBorders>
              <w:top w:val="single" w:color="auto" w:sz="4" w:space="0"/>
              <w:left w:val="single" w:color="auto" w:sz="4" w:space="0"/>
              <w:bottom w:val="single" w:color="auto" w:sz="4" w:space="0"/>
              <w:right w:val="single" w:color="auto" w:sz="4" w:space="0"/>
            </w:tcBorders>
            <w:noWrap w:val="0"/>
            <w:vAlign w:val="center"/>
          </w:tcPr>
          <w:p w14:paraId="36E7D6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1"/>
                <w:szCs w:val="21"/>
                <w:highlight w:val="none"/>
                <w:u w:val="none"/>
              </w:rPr>
            </w:pPr>
          </w:p>
        </w:tc>
        <w:tc>
          <w:tcPr>
            <w:tcW w:w="721" w:type="pct"/>
            <w:tcBorders>
              <w:top w:val="single" w:color="auto" w:sz="4" w:space="0"/>
              <w:left w:val="single" w:color="auto" w:sz="4" w:space="0"/>
              <w:bottom w:val="single" w:color="auto" w:sz="4" w:space="0"/>
              <w:right w:val="single" w:color="auto" w:sz="4" w:space="0"/>
            </w:tcBorders>
            <w:noWrap/>
            <w:vAlign w:val="center"/>
          </w:tcPr>
          <w:p w14:paraId="660345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bidi="ar"/>
              </w:rPr>
              <w:t>DN40</w:t>
            </w:r>
          </w:p>
        </w:tc>
        <w:tc>
          <w:tcPr>
            <w:tcW w:w="721" w:type="pct"/>
            <w:tcBorders>
              <w:top w:val="single" w:color="auto" w:sz="4" w:space="0"/>
              <w:left w:val="single" w:color="auto" w:sz="4" w:space="0"/>
              <w:bottom w:val="single" w:color="auto" w:sz="4" w:space="0"/>
              <w:right w:val="single" w:color="auto" w:sz="4" w:space="0"/>
            </w:tcBorders>
            <w:noWrap/>
            <w:vAlign w:val="center"/>
          </w:tcPr>
          <w:p w14:paraId="6AD33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1" w:type="pct"/>
            <w:tcBorders>
              <w:top w:val="single" w:color="auto" w:sz="4" w:space="0"/>
              <w:left w:val="single" w:color="auto" w:sz="4" w:space="0"/>
              <w:bottom w:val="single" w:color="auto" w:sz="4" w:space="0"/>
              <w:right w:val="single" w:color="auto" w:sz="4" w:space="0"/>
            </w:tcBorders>
            <w:noWrap/>
            <w:vAlign w:val="center"/>
          </w:tcPr>
          <w:p w14:paraId="01D537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10130</w:t>
            </w:r>
          </w:p>
        </w:tc>
        <w:tc>
          <w:tcPr>
            <w:tcW w:w="1391" w:type="pct"/>
            <w:vMerge w:val="continue"/>
            <w:tcBorders>
              <w:left w:val="single" w:color="auto" w:sz="4" w:space="0"/>
              <w:right w:val="single" w:color="auto" w:sz="4" w:space="0"/>
            </w:tcBorders>
            <w:noWrap/>
            <w:vAlign w:val="center"/>
          </w:tcPr>
          <w:p w14:paraId="485A5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31C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1" w:type="pct"/>
            <w:tcBorders>
              <w:top w:val="single" w:color="auto" w:sz="4" w:space="0"/>
              <w:left w:val="single" w:color="auto" w:sz="4" w:space="0"/>
              <w:bottom w:val="single" w:color="auto" w:sz="4" w:space="0"/>
              <w:right w:val="single" w:color="auto" w:sz="4" w:space="0"/>
            </w:tcBorders>
            <w:noWrap/>
            <w:vAlign w:val="center"/>
          </w:tcPr>
          <w:p w14:paraId="5A0A81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21" w:type="pct"/>
            <w:vMerge w:val="continue"/>
            <w:tcBorders>
              <w:top w:val="single" w:color="auto" w:sz="4" w:space="0"/>
              <w:left w:val="single" w:color="auto" w:sz="4" w:space="0"/>
              <w:bottom w:val="single" w:color="auto" w:sz="4" w:space="0"/>
              <w:right w:val="single" w:color="auto" w:sz="4" w:space="0"/>
            </w:tcBorders>
            <w:noWrap w:val="0"/>
            <w:vAlign w:val="center"/>
          </w:tcPr>
          <w:p w14:paraId="54364B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eastAsia="zh-CN"/>
              </w:rPr>
            </w:pPr>
          </w:p>
        </w:tc>
        <w:tc>
          <w:tcPr>
            <w:tcW w:w="721" w:type="pct"/>
            <w:tcBorders>
              <w:top w:val="single" w:color="auto" w:sz="4" w:space="0"/>
              <w:left w:val="single" w:color="auto" w:sz="4" w:space="0"/>
              <w:bottom w:val="single" w:color="auto" w:sz="4" w:space="0"/>
              <w:right w:val="single" w:color="auto" w:sz="4" w:space="0"/>
            </w:tcBorders>
            <w:noWrap/>
            <w:vAlign w:val="center"/>
          </w:tcPr>
          <w:p w14:paraId="230BA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DN50</w:t>
            </w:r>
          </w:p>
        </w:tc>
        <w:tc>
          <w:tcPr>
            <w:tcW w:w="721" w:type="pct"/>
            <w:tcBorders>
              <w:top w:val="single" w:color="auto" w:sz="4" w:space="0"/>
              <w:left w:val="single" w:color="auto" w:sz="4" w:space="0"/>
              <w:bottom w:val="single" w:color="auto" w:sz="4" w:space="0"/>
              <w:right w:val="single" w:color="auto" w:sz="4" w:space="0"/>
            </w:tcBorders>
            <w:noWrap/>
            <w:vAlign w:val="center"/>
          </w:tcPr>
          <w:p w14:paraId="794AC9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21" w:type="pct"/>
            <w:tcBorders>
              <w:top w:val="single" w:color="auto" w:sz="4" w:space="0"/>
              <w:left w:val="single" w:color="auto" w:sz="4" w:space="0"/>
              <w:bottom w:val="single" w:color="auto" w:sz="4" w:space="0"/>
              <w:right w:val="single" w:color="auto" w:sz="4" w:space="0"/>
            </w:tcBorders>
            <w:noWrap/>
            <w:vAlign w:val="center"/>
          </w:tcPr>
          <w:p w14:paraId="49870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8600</w:t>
            </w:r>
          </w:p>
        </w:tc>
        <w:tc>
          <w:tcPr>
            <w:tcW w:w="1391" w:type="pct"/>
            <w:vMerge w:val="continue"/>
            <w:tcBorders>
              <w:left w:val="single" w:color="auto" w:sz="4" w:space="0"/>
              <w:right w:val="single" w:color="auto" w:sz="4" w:space="0"/>
            </w:tcBorders>
            <w:noWrap/>
            <w:vAlign w:val="center"/>
          </w:tcPr>
          <w:p w14:paraId="4A55B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F8D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64" w:type="pct"/>
            <w:gridSpan w:val="3"/>
            <w:tcBorders>
              <w:top w:val="single" w:color="auto" w:sz="4" w:space="0"/>
              <w:left w:val="single" w:color="auto" w:sz="4" w:space="0"/>
              <w:bottom w:val="single" w:color="auto" w:sz="4" w:space="0"/>
              <w:right w:val="single" w:color="auto" w:sz="4" w:space="0"/>
            </w:tcBorders>
            <w:noWrap/>
            <w:vAlign w:val="center"/>
          </w:tcPr>
          <w:p w14:paraId="562519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汇总</w:t>
            </w:r>
          </w:p>
        </w:tc>
        <w:tc>
          <w:tcPr>
            <w:tcW w:w="721" w:type="pct"/>
            <w:tcBorders>
              <w:top w:val="single" w:color="auto" w:sz="4" w:space="0"/>
              <w:left w:val="single" w:color="auto" w:sz="4" w:space="0"/>
              <w:bottom w:val="single" w:color="auto" w:sz="4" w:space="0"/>
              <w:right w:val="single" w:color="auto" w:sz="4" w:space="0"/>
            </w:tcBorders>
            <w:noWrap/>
            <w:vAlign w:val="center"/>
          </w:tcPr>
          <w:p w14:paraId="59831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21" w:type="pct"/>
            <w:tcBorders>
              <w:top w:val="single" w:color="auto" w:sz="4" w:space="0"/>
              <w:left w:val="single" w:color="auto" w:sz="4" w:space="0"/>
              <w:bottom w:val="single" w:color="auto" w:sz="4" w:space="0"/>
              <w:right w:val="single" w:color="auto" w:sz="4" w:space="0"/>
            </w:tcBorders>
            <w:noWrap/>
            <w:vAlign w:val="center"/>
          </w:tcPr>
          <w:p w14:paraId="15261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223830</w:t>
            </w:r>
          </w:p>
        </w:tc>
        <w:tc>
          <w:tcPr>
            <w:tcW w:w="1391" w:type="pct"/>
            <w:vMerge w:val="continue"/>
            <w:tcBorders>
              <w:left w:val="single" w:color="auto" w:sz="4" w:space="0"/>
              <w:bottom w:val="single" w:color="auto" w:sz="4" w:space="0"/>
              <w:right w:val="single" w:color="auto" w:sz="4" w:space="0"/>
            </w:tcBorders>
            <w:noWrap/>
            <w:vAlign w:val="center"/>
          </w:tcPr>
          <w:p w14:paraId="6CFD7E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1FF5963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p>
    <w:p w14:paraId="461A3F1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二、水表技术要求</w:t>
      </w:r>
    </w:p>
    <w:p w14:paraId="2D31BB1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 基本要求：</w:t>
      </w:r>
    </w:p>
    <w:p w14:paraId="2D62223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2.1.1 介质温度范围：0-30℃。</w:t>
      </w:r>
    </w:p>
    <w:p w14:paraId="02C25B8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2.1.2 工作环境温度范围：0-55℃。</w:t>
      </w:r>
    </w:p>
    <w:p w14:paraId="10A98EE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★2.1.3 防护等级：IP68。</w:t>
      </w:r>
    </w:p>
    <w:p w14:paraId="416C93B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▲2.1.4 电磁环境等级：</w:t>
      </w:r>
      <w:r>
        <w:rPr>
          <w:rFonts w:hint="eastAsia" w:ascii="宋体" w:hAnsi="宋体" w:eastAsia="宋体" w:cs="宋体"/>
          <w:color w:val="auto"/>
          <w:kern w:val="2"/>
          <w:sz w:val="21"/>
          <w:szCs w:val="21"/>
          <w:highlight w:val="none"/>
          <w:lang w:bidi="ar"/>
        </w:rPr>
        <w:t>不低于E1</w:t>
      </w:r>
      <w:r>
        <w:rPr>
          <w:rFonts w:hint="eastAsia" w:ascii="宋体" w:hAnsi="宋体" w:eastAsia="宋体" w:cs="宋体"/>
          <w:color w:val="auto"/>
          <w:kern w:val="2"/>
          <w:sz w:val="21"/>
          <w:szCs w:val="21"/>
          <w:highlight w:val="none"/>
          <w:lang w:val="en-US" w:eastAsia="zh-CN"/>
        </w:rPr>
        <w:t>级。</w:t>
      </w:r>
    </w:p>
    <w:p w14:paraId="1F984A5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 基表：</w:t>
      </w:r>
    </w:p>
    <w:p w14:paraId="76D4486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2.2.1 压力等级：不低于MAP10。</w:t>
      </w:r>
    </w:p>
    <w:p w14:paraId="488FFDD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★2.2.2 水表准确度等级：2级。</w:t>
      </w:r>
    </w:p>
    <w:p w14:paraId="37D713F3">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 xml:space="preserve">2.2.3 </w:t>
      </w:r>
      <w:r>
        <w:rPr>
          <w:rFonts w:hint="eastAsia" w:ascii="宋体" w:hAnsi="宋体" w:eastAsia="宋体" w:cs="宋体"/>
          <w:color w:val="auto"/>
          <w:kern w:val="2"/>
          <w:sz w:val="21"/>
          <w:szCs w:val="21"/>
          <w:highlight w:val="none"/>
        </w:rPr>
        <w:t>旋翼式智能远传水表选用湿式液封、半液封或干式设计的水表基表，</w:t>
      </w:r>
      <w:r>
        <w:rPr>
          <w:rFonts w:hint="eastAsia" w:ascii="宋体" w:hAnsi="宋体" w:eastAsia="宋体" w:cs="宋体"/>
          <w:color w:val="auto"/>
          <w:sz w:val="21"/>
          <w:szCs w:val="21"/>
          <w:highlight w:val="none"/>
        </w:rPr>
        <w:t>其远传模块与水表基表应为分体式结构设计。</w:t>
      </w:r>
    </w:p>
    <w:p w14:paraId="7980C22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★2.2.4 流量参数要求</w:t>
      </w:r>
    </w:p>
    <w:tbl>
      <w:tblPr>
        <w:tblStyle w:val="44"/>
        <w:tblpPr w:leftFromText="180" w:rightFromText="180" w:vertAnchor="text" w:horzAnchor="page" w:tblpX="1280" w:tblpY="284"/>
        <w:tblOverlap w:val="never"/>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402"/>
        <w:gridCol w:w="2058"/>
        <w:gridCol w:w="2260"/>
        <w:gridCol w:w="1978"/>
      </w:tblGrid>
      <w:tr w14:paraId="34B3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restart"/>
            <w:noWrap/>
            <w:vAlign w:val="center"/>
          </w:tcPr>
          <w:p w14:paraId="5440328A">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rPr>
              <w:t>旋翼式远传水表</w:t>
            </w:r>
          </w:p>
        </w:tc>
        <w:tc>
          <w:tcPr>
            <w:tcW w:w="1402" w:type="dxa"/>
            <w:noWrap/>
            <w:vAlign w:val="center"/>
          </w:tcPr>
          <w:p w14:paraId="6F82843A">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公称口径</w:t>
            </w:r>
          </w:p>
          <w:p w14:paraId="4BD96141">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DN(mm)</w:t>
            </w:r>
          </w:p>
        </w:tc>
        <w:tc>
          <w:tcPr>
            <w:tcW w:w="2058" w:type="dxa"/>
            <w:noWrap/>
            <w:vAlign w:val="center"/>
          </w:tcPr>
          <w:p w14:paraId="1450B394">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常用流量</w:t>
            </w:r>
          </w:p>
          <w:p w14:paraId="76D31AB2">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Q3（m³/h）</w:t>
            </w:r>
          </w:p>
        </w:tc>
        <w:tc>
          <w:tcPr>
            <w:tcW w:w="2260" w:type="dxa"/>
            <w:noWrap/>
            <w:vAlign w:val="center"/>
          </w:tcPr>
          <w:p w14:paraId="7EFDF495">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常用流量/最小流量</w:t>
            </w:r>
          </w:p>
          <w:p w14:paraId="3AE7564B">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Q3/Q1</w:t>
            </w:r>
          </w:p>
        </w:tc>
        <w:tc>
          <w:tcPr>
            <w:tcW w:w="1978" w:type="dxa"/>
            <w:noWrap/>
            <w:vAlign w:val="center"/>
          </w:tcPr>
          <w:p w14:paraId="226E139A">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rPr>
              <w:t>分界流量/最小流量</w:t>
            </w:r>
            <w:r>
              <w:rPr>
                <w:rFonts w:hint="eastAsia" w:ascii="宋体" w:hAnsi="宋体" w:eastAsia="宋体" w:cs="宋体"/>
                <w:bCs/>
                <w:color w:val="auto"/>
                <w:kern w:val="0"/>
                <w:sz w:val="21"/>
                <w:szCs w:val="21"/>
                <w:highlight w:val="none"/>
              </w:rPr>
              <w:t>Q2/Q1</w:t>
            </w:r>
          </w:p>
        </w:tc>
      </w:tr>
      <w:tr w14:paraId="053C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5FAE8FA0">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p>
        </w:tc>
        <w:tc>
          <w:tcPr>
            <w:tcW w:w="1402" w:type="dxa"/>
            <w:noWrap/>
            <w:vAlign w:val="center"/>
          </w:tcPr>
          <w:p w14:paraId="5E34B7E6">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w:t>
            </w:r>
          </w:p>
        </w:tc>
        <w:tc>
          <w:tcPr>
            <w:tcW w:w="2058" w:type="dxa"/>
            <w:noWrap/>
            <w:vAlign w:val="center"/>
          </w:tcPr>
          <w:p w14:paraId="75E57EE7">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2.5</w:t>
            </w:r>
          </w:p>
        </w:tc>
        <w:tc>
          <w:tcPr>
            <w:tcW w:w="2260" w:type="dxa"/>
            <w:noWrap/>
            <w:vAlign w:val="center"/>
          </w:tcPr>
          <w:p w14:paraId="0DB85D89">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≥100</w:t>
            </w:r>
          </w:p>
        </w:tc>
        <w:tc>
          <w:tcPr>
            <w:tcW w:w="1978" w:type="dxa"/>
            <w:noWrap/>
            <w:vAlign w:val="center"/>
          </w:tcPr>
          <w:p w14:paraId="120A941A">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w:t>
            </w:r>
          </w:p>
        </w:tc>
      </w:tr>
      <w:tr w14:paraId="3720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14A5654B">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p>
        </w:tc>
        <w:tc>
          <w:tcPr>
            <w:tcW w:w="1402" w:type="dxa"/>
            <w:noWrap/>
            <w:vAlign w:val="center"/>
          </w:tcPr>
          <w:p w14:paraId="1E32AA44">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20</w:t>
            </w:r>
          </w:p>
        </w:tc>
        <w:tc>
          <w:tcPr>
            <w:tcW w:w="2058" w:type="dxa"/>
            <w:noWrap/>
            <w:vAlign w:val="center"/>
          </w:tcPr>
          <w:p w14:paraId="1EEDC251">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w:t>
            </w:r>
          </w:p>
        </w:tc>
        <w:tc>
          <w:tcPr>
            <w:tcW w:w="2260" w:type="dxa"/>
            <w:noWrap/>
            <w:vAlign w:val="center"/>
          </w:tcPr>
          <w:p w14:paraId="7DC6B8FC">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≥100</w:t>
            </w:r>
          </w:p>
        </w:tc>
        <w:tc>
          <w:tcPr>
            <w:tcW w:w="1978" w:type="dxa"/>
            <w:noWrap/>
            <w:vAlign w:val="center"/>
          </w:tcPr>
          <w:p w14:paraId="606FD2E3">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w:t>
            </w:r>
          </w:p>
        </w:tc>
      </w:tr>
      <w:tr w14:paraId="645F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4E12BC64">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p>
        </w:tc>
        <w:tc>
          <w:tcPr>
            <w:tcW w:w="1402" w:type="dxa"/>
            <w:noWrap/>
            <w:vAlign w:val="center"/>
          </w:tcPr>
          <w:p w14:paraId="69ED39B6">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25</w:t>
            </w:r>
          </w:p>
        </w:tc>
        <w:tc>
          <w:tcPr>
            <w:tcW w:w="2058" w:type="dxa"/>
            <w:noWrap/>
            <w:vAlign w:val="center"/>
          </w:tcPr>
          <w:p w14:paraId="46B8F4CD">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6.3</w:t>
            </w:r>
          </w:p>
        </w:tc>
        <w:tc>
          <w:tcPr>
            <w:tcW w:w="2260" w:type="dxa"/>
            <w:noWrap/>
            <w:vAlign w:val="center"/>
          </w:tcPr>
          <w:p w14:paraId="4227DC34">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≥100</w:t>
            </w:r>
          </w:p>
        </w:tc>
        <w:tc>
          <w:tcPr>
            <w:tcW w:w="1978" w:type="dxa"/>
            <w:noWrap/>
            <w:vAlign w:val="center"/>
          </w:tcPr>
          <w:p w14:paraId="208E093C">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w:t>
            </w:r>
          </w:p>
        </w:tc>
      </w:tr>
      <w:tr w14:paraId="5B30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30F2C131">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p>
        </w:tc>
        <w:tc>
          <w:tcPr>
            <w:tcW w:w="1402" w:type="dxa"/>
            <w:noWrap/>
            <w:vAlign w:val="center"/>
          </w:tcPr>
          <w:p w14:paraId="130BE6F8">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40</w:t>
            </w:r>
          </w:p>
        </w:tc>
        <w:tc>
          <w:tcPr>
            <w:tcW w:w="2058" w:type="dxa"/>
            <w:noWrap/>
            <w:vAlign w:val="center"/>
          </w:tcPr>
          <w:p w14:paraId="4433AD15">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w:t>
            </w:r>
          </w:p>
        </w:tc>
        <w:tc>
          <w:tcPr>
            <w:tcW w:w="2260" w:type="dxa"/>
            <w:noWrap/>
            <w:vAlign w:val="center"/>
          </w:tcPr>
          <w:p w14:paraId="7D7C77E0">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≥100</w:t>
            </w:r>
          </w:p>
        </w:tc>
        <w:tc>
          <w:tcPr>
            <w:tcW w:w="1978" w:type="dxa"/>
            <w:noWrap/>
            <w:vAlign w:val="center"/>
          </w:tcPr>
          <w:p w14:paraId="092E11EB">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w:t>
            </w:r>
          </w:p>
        </w:tc>
      </w:tr>
      <w:tr w14:paraId="1495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noWrap/>
            <w:vAlign w:val="center"/>
          </w:tcPr>
          <w:p w14:paraId="13C0B101">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p>
        </w:tc>
        <w:tc>
          <w:tcPr>
            <w:tcW w:w="1402" w:type="dxa"/>
            <w:noWrap/>
            <w:vAlign w:val="center"/>
          </w:tcPr>
          <w:p w14:paraId="67E3412F">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50</w:t>
            </w:r>
          </w:p>
        </w:tc>
        <w:tc>
          <w:tcPr>
            <w:tcW w:w="2058" w:type="dxa"/>
            <w:noWrap/>
            <w:vAlign w:val="center"/>
          </w:tcPr>
          <w:p w14:paraId="463CE395">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25</w:t>
            </w:r>
          </w:p>
        </w:tc>
        <w:tc>
          <w:tcPr>
            <w:tcW w:w="2260" w:type="dxa"/>
            <w:noWrap/>
            <w:vAlign w:val="center"/>
          </w:tcPr>
          <w:p w14:paraId="163B4EB7">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≥100</w:t>
            </w:r>
          </w:p>
        </w:tc>
        <w:tc>
          <w:tcPr>
            <w:tcW w:w="1978" w:type="dxa"/>
            <w:noWrap/>
            <w:vAlign w:val="center"/>
          </w:tcPr>
          <w:p w14:paraId="758A1DC8">
            <w:pPr>
              <w:pStyle w:val="221"/>
              <w:keepNext w:val="0"/>
              <w:keepLines w:val="0"/>
              <w:suppressLineNumbers w:val="0"/>
              <w:spacing w:before="0" w:beforeAutospacing="0" w:after="0" w:afterAutospacing="0"/>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1.6</w:t>
            </w:r>
          </w:p>
        </w:tc>
      </w:tr>
    </w:tbl>
    <w:p w14:paraId="187784D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p>
    <w:p w14:paraId="16A35BF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p>
    <w:p w14:paraId="4B70D18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p>
    <w:p w14:paraId="474BAFE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p>
    <w:p w14:paraId="7CD2D9C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p>
    <w:p w14:paraId="7CC2CD5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p>
    <w:p w14:paraId="42A7C26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2.2.5 与饮用水接触的水表设备和防护材料不得污染水质，须符合《生活饮用水输配水设备及防护材料卫生安全评价标准》的卫生安全要求。</w:t>
      </w:r>
    </w:p>
    <w:p w14:paraId="41D8EDBC">
      <w:pPr>
        <w:pStyle w:val="221"/>
        <w:spacing w:line="360" w:lineRule="auto"/>
        <w:ind w:firstLineChars="200"/>
        <w:rPr>
          <w:rFonts w:hint="eastAsia" w:ascii="宋体" w:hAnsi="宋体" w:eastAsia="宋体" w:cs="宋体"/>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2.2.6 水表应印有“东莞水务集团供水公司L0G0+客服热线96968”字样（具体样式中标后由招标人提供），其中印刷费计入投标报价。</w:t>
      </w:r>
    </w:p>
    <w:p w14:paraId="51D5FE9F">
      <w:pPr>
        <w:pStyle w:val="221"/>
        <w:spacing w:line="360" w:lineRule="auto"/>
        <w:ind w:firstLineChars="20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水表外壳、指示装置或铭牌、不可分离的表盖上，应集中或分散标明计量参数、流向箭头、公称口径、制造年月和编号等信息。</w:t>
      </w:r>
    </w:p>
    <w:p w14:paraId="1AE2E325">
      <w:pPr>
        <w:pStyle w:val="221"/>
        <w:spacing w:line="360" w:lineRule="auto"/>
        <w:ind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rPr>
        <w:t>2.2.7</w:t>
      </w:r>
      <w:r>
        <w:rPr>
          <w:rFonts w:hint="eastAsia" w:ascii="宋体" w:hAnsi="宋体" w:eastAsia="宋体" w:cs="宋体"/>
          <w:color w:val="auto"/>
          <w:kern w:val="2"/>
          <w:sz w:val="21"/>
          <w:szCs w:val="21"/>
          <w:highlight w:val="none"/>
        </w:rPr>
        <w:t>水表尺寸的要求</w:t>
      </w:r>
      <w:r>
        <w:rPr>
          <w:rFonts w:hint="eastAsia" w:ascii="宋体" w:hAnsi="宋体" w:eastAsia="宋体" w:cs="宋体"/>
          <w:color w:val="auto"/>
          <w:kern w:val="0"/>
          <w:sz w:val="21"/>
          <w:szCs w:val="21"/>
          <w:highlight w:val="none"/>
        </w:rPr>
        <w:t>：</w:t>
      </w:r>
    </w:p>
    <w:tbl>
      <w:tblPr>
        <w:tblStyle w:val="44"/>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4"/>
        <w:gridCol w:w="3094"/>
        <w:gridCol w:w="3095"/>
      </w:tblGrid>
      <w:tr w14:paraId="1330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4" w:type="dxa"/>
            <w:noWrap/>
            <w:vAlign w:val="center"/>
          </w:tcPr>
          <w:p w14:paraId="1E58CEEE">
            <w:pPr>
              <w:pStyle w:val="221"/>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公称口径DN(mm)</w:t>
            </w:r>
          </w:p>
        </w:tc>
        <w:tc>
          <w:tcPr>
            <w:tcW w:w="3094" w:type="dxa"/>
            <w:noWrap/>
            <w:vAlign w:val="center"/>
          </w:tcPr>
          <w:p w14:paraId="65011DC4">
            <w:pPr>
              <w:pStyle w:val="221"/>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长（mm）</w:t>
            </w:r>
          </w:p>
        </w:tc>
        <w:tc>
          <w:tcPr>
            <w:tcW w:w="3095" w:type="dxa"/>
            <w:noWrap/>
            <w:vAlign w:val="center"/>
          </w:tcPr>
          <w:p w14:paraId="29504D7D">
            <w:pPr>
              <w:pStyle w:val="221"/>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连接方式</w:t>
            </w:r>
          </w:p>
        </w:tc>
      </w:tr>
      <w:tr w14:paraId="1DC5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4" w:type="dxa"/>
            <w:noWrap/>
            <w:vAlign w:val="center"/>
          </w:tcPr>
          <w:p w14:paraId="254EE177">
            <w:pPr>
              <w:pStyle w:val="221"/>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3094" w:type="dxa"/>
            <w:noWrap/>
            <w:vAlign w:val="center"/>
          </w:tcPr>
          <w:p w14:paraId="70907D75">
            <w:pPr>
              <w:pStyle w:val="221"/>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165</w:t>
            </w:r>
          </w:p>
        </w:tc>
        <w:tc>
          <w:tcPr>
            <w:tcW w:w="3095" w:type="dxa"/>
            <w:vMerge w:val="restart"/>
            <w:noWrap/>
            <w:vAlign w:val="center"/>
          </w:tcPr>
          <w:p w14:paraId="6E37FA9A">
            <w:pPr>
              <w:pStyle w:val="221"/>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螺纹连接</w:t>
            </w:r>
          </w:p>
        </w:tc>
      </w:tr>
      <w:tr w14:paraId="4D49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4" w:type="dxa"/>
            <w:noWrap/>
            <w:vAlign w:val="center"/>
          </w:tcPr>
          <w:p w14:paraId="2A73EFD7">
            <w:pPr>
              <w:pStyle w:val="221"/>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3094" w:type="dxa"/>
            <w:noWrap/>
            <w:vAlign w:val="center"/>
          </w:tcPr>
          <w:p w14:paraId="51723383">
            <w:pPr>
              <w:pStyle w:val="221"/>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195</w:t>
            </w:r>
          </w:p>
        </w:tc>
        <w:tc>
          <w:tcPr>
            <w:tcW w:w="3095" w:type="dxa"/>
            <w:vMerge w:val="continue"/>
            <w:noWrap/>
            <w:vAlign w:val="center"/>
          </w:tcPr>
          <w:p w14:paraId="1E5EBC76">
            <w:pPr>
              <w:pStyle w:val="221"/>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rPr>
            </w:pPr>
          </w:p>
        </w:tc>
      </w:tr>
      <w:tr w14:paraId="4C0B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4" w:type="dxa"/>
            <w:noWrap/>
            <w:vAlign w:val="center"/>
          </w:tcPr>
          <w:p w14:paraId="5BDEDF79">
            <w:pPr>
              <w:pStyle w:val="221"/>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3094" w:type="dxa"/>
            <w:noWrap/>
            <w:vAlign w:val="center"/>
          </w:tcPr>
          <w:p w14:paraId="2FFDDE53">
            <w:pPr>
              <w:pStyle w:val="221"/>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225</w:t>
            </w:r>
          </w:p>
        </w:tc>
        <w:tc>
          <w:tcPr>
            <w:tcW w:w="3095" w:type="dxa"/>
            <w:vMerge w:val="continue"/>
            <w:noWrap/>
            <w:vAlign w:val="center"/>
          </w:tcPr>
          <w:p w14:paraId="3B57B810">
            <w:pPr>
              <w:pStyle w:val="221"/>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rPr>
            </w:pPr>
          </w:p>
        </w:tc>
      </w:tr>
      <w:tr w14:paraId="34F0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4" w:type="dxa"/>
            <w:noWrap/>
            <w:vAlign w:val="center"/>
          </w:tcPr>
          <w:p w14:paraId="5701B347">
            <w:pPr>
              <w:pStyle w:val="221"/>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w:t>
            </w:r>
          </w:p>
        </w:tc>
        <w:tc>
          <w:tcPr>
            <w:tcW w:w="3094" w:type="dxa"/>
            <w:noWrap/>
            <w:vAlign w:val="top"/>
          </w:tcPr>
          <w:p w14:paraId="339FA2C9">
            <w:pPr>
              <w:pStyle w:val="221"/>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245</w:t>
            </w:r>
          </w:p>
        </w:tc>
        <w:tc>
          <w:tcPr>
            <w:tcW w:w="3095" w:type="dxa"/>
            <w:vMerge w:val="continue"/>
            <w:noWrap/>
            <w:vAlign w:val="top"/>
          </w:tcPr>
          <w:p w14:paraId="1118AE50">
            <w:pPr>
              <w:keepNext w:val="0"/>
              <w:keepLines w:val="0"/>
              <w:widowControl w:val="0"/>
              <w:suppressLineNumbers w:val="0"/>
              <w:autoSpaceDE w:val="0"/>
              <w:autoSpaceDN w:val="0"/>
              <w:adjustRightInd w:val="0"/>
              <w:spacing w:before="0" w:beforeAutospacing="0" w:after="0" w:afterAutospacing="0" w:line="360" w:lineRule="auto"/>
              <w:ind w:left="0" w:right="-26"/>
              <w:jc w:val="center"/>
              <w:rPr>
                <w:rFonts w:hint="eastAsia" w:ascii="宋体" w:hAnsi="宋体" w:eastAsia="宋体" w:cs="宋体"/>
                <w:b/>
                <w:bCs/>
                <w:color w:val="auto"/>
                <w:kern w:val="2"/>
                <w:sz w:val="21"/>
                <w:szCs w:val="21"/>
                <w:highlight w:val="none"/>
                <w:lang w:val="zh-CN" w:eastAsia="zh-CN" w:bidi="ar-SA"/>
              </w:rPr>
            </w:pPr>
          </w:p>
        </w:tc>
      </w:tr>
      <w:tr w14:paraId="3233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4" w:type="dxa"/>
            <w:noWrap/>
            <w:vAlign w:val="center"/>
          </w:tcPr>
          <w:p w14:paraId="5ECBCF1D">
            <w:pPr>
              <w:pStyle w:val="221"/>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w:t>
            </w:r>
          </w:p>
        </w:tc>
        <w:tc>
          <w:tcPr>
            <w:tcW w:w="3094" w:type="dxa"/>
            <w:noWrap/>
            <w:vAlign w:val="top"/>
          </w:tcPr>
          <w:p w14:paraId="7AD7BECE">
            <w:pPr>
              <w:pStyle w:val="221"/>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280</w:t>
            </w:r>
          </w:p>
        </w:tc>
        <w:tc>
          <w:tcPr>
            <w:tcW w:w="3095" w:type="dxa"/>
            <w:noWrap/>
            <w:vAlign w:val="top"/>
          </w:tcPr>
          <w:p w14:paraId="70B0AC1A">
            <w:pPr>
              <w:keepNext w:val="0"/>
              <w:keepLines w:val="0"/>
              <w:widowControl w:val="0"/>
              <w:suppressLineNumbers w:val="0"/>
              <w:autoSpaceDE w:val="0"/>
              <w:autoSpaceDN w:val="0"/>
              <w:adjustRightInd w:val="0"/>
              <w:spacing w:before="0" w:beforeAutospacing="0" w:after="0" w:afterAutospacing="0" w:line="360" w:lineRule="auto"/>
              <w:ind w:left="0" w:right="-26"/>
              <w:jc w:val="center"/>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val="0"/>
                <w:bCs w:val="0"/>
                <w:color w:val="auto"/>
                <w:kern w:val="0"/>
                <w:sz w:val="21"/>
                <w:szCs w:val="21"/>
                <w:highlight w:val="none"/>
                <w:lang w:val="en-US" w:eastAsia="zh-CN" w:bidi="ar-SA"/>
              </w:rPr>
              <w:t>法兰连接</w:t>
            </w:r>
          </w:p>
        </w:tc>
      </w:tr>
    </w:tbl>
    <w:p w14:paraId="35228877">
      <w:pPr>
        <w:pStyle w:val="221"/>
        <w:spacing w:line="360" w:lineRule="auto"/>
        <w:ind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2.2.8</w:t>
      </w:r>
      <w:r>
        <w:rPr>
          <w:rFonts w:hint="eastAsia" w:ascii="宋体" w:hAnsi="宋体" w:eastAsia="宋体" w:cs="宋体"/>
          <w:color w:val="auto"/>
          <w:kern w:val="2"/>
          <w:sz w:val="21"/>
          <w:szCs w:val="21"/>
          <w:highlight w:val="none"/>
        </w:rPr>
        <w:t>水表的流量累计指示装置应为数字和模拟指示相结合，其立方米和立方米以上单位的累计部分应是数字式。水表的读数应显示清晰、美观，能长期保持指示清晰。</w:t>
      </w:r>
    </w:p>
    <w:p w14:paraId="292A239E">
      <w:pPr>
        <w:pStyle w:val="221"/>
        <w:spacing w:line="360" w:lineRule="auto"/>
        <w:ind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2.2</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 xml:space="preserve"> DN15-DN40采用螺纹连接，DN50采用法兰连接，连接件</w:t>
      </w:r>
      <w:r>
        <w:rPr>
          <w:rFonts w:hint="eastAsia" w:ascii="宋体" w:hAnsi="宋体" w:eastAsia="宋体" w:cs="宋体"/>
          <w:color w:val="auto"/>
          <w:sz w:val="21"/>
          <w:szCs w:val="21"/>
          <w:highlight w:val="none"/>
        </w:rPr>
        <w:t>须采用</w:t>
      </w:r>
      <w:r>
        <w:rPr>
          <w:rFonts w:hint="eastAsia" w:ascii="宋体" w:hAnsi="宋体" w:eastAsia="宋体" w:cs="宋体"/>
          <w:bCs w:val="0"/>
          <w:color w:val="auto"/>
          <w:sz w:val="21"/>
          <w:szCs w:val="21"/>
          <w:highlight w:val="none"/>
        </w:rPr>
        <w:t>符合饮用水标准的铜质管件或完全满足HPb59-1标准的铜质管件。</w:t>
      </w:r>
    </w:p>
    <w:p w14:paraId="05F635A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2.2.10 水表要具有防护装置，有效的封印，表罩需有有效的防拆措施（表罩需采用防晒抗雨材质，确保质保期内不能出现非人为的损坏），能够有效防止未经许可的改变读数显示行为，另需有安装铅封的小孔。</w:t>
      </w:r>
    </w:p>
    <w:p w14:paraId="2F19E7F4">
      <w:pPr>
        <w:pStyle w:val="221"/>
        <w:keepNext w:val="0"/>
        <w:keepLines w:val="0"/>
        <w:pageBreakBefore w:val="0"/>
        <w:widowControl w:val="0"/>
        <w:kinsoku/>
        <w:wordWrap/>
        <w:overflowPunct/>
        <w:topLinePunct w:val="0"/>
        <w:autoSpaceDE w:val="0"/>
        <w:autoSpaceDN w:val="0"/>
        <w:bidi w:val="0"/>
        <w:adjustRightInd w:val="0"/>
        <w:snapToGrid w:val="0"/>
        <w:spacing w:line="360" w:lineRule="auto"/>
        <w:ind w:left="0" w:firstLineChars="200"/>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2.2.11 水表制造材料：</w:t>
      </w:r>
    </w:p>
    <w:p w14:paraId="7604ED4B">
      <w:pPr>
        <w:pStyle w:val="221"/>
        <w:keepNext w:val="0"/>
        <w:keepLines w:val="0"/>
        <w:pageBreakBefore w:val="0"/>
        <w:widowControl w:val="0"/>
        <w:kinsoku/>
        <w:wordWrap/>
        <w:overflowPunct/>
        <w:topLinePunct w:val="0"/>
        <w:autoSpaceDE w:val="0"/>
        <w:autoSpaceDN w:val="0"/>
        <w:bidi w:val="0"/>
        <w:adjustRightInd w:val="0"/>
        <w:snapToGrid w:val="0"/>
        <w:spacing w:line="360" w:lineRule="auto"/>
        <w:ind w:left="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(1)表壳材料选用符合国家标准要求的球墨铸铁或不锈钢（不低于304不锈钢），内外表面经静电喷塑处理，不允许有气泡或漆块堆积，</w:t>
      </w:r>
      <w:r>
        <w:rPr>
          <w:rFonts w:hint="eastAsia" w:ascii="宋体" w:hAnsi="宋体" w:eastAsia="宋体" w:cs="宋体"/>
          <w:color w:val="auto"/>
          <w:sz w:val="21"/>
          <w:szCs w:val="21"/>
          <w:highlight w:val="none"/>
        </w:rPr>
        <w:t>且符合CMA/WM778《小口径饮用水冷水表表壳技术规范》相关要求</w:t>
      </w:r>
      <w:r>
        <w:rPr>
          <w:rFonts w:hint="eastAsia" w:ascii="宋体" w:hAnsi="宋体" w:eastAsia="宋体" w:cs="宋体"/>
          <w:color w:val="auto"/>
          <w:kern w:val="2"/>
          <w:sz w:val="21"/>
          <w:szCs w:val="21"/>
          <w:highlight w:val="none"/>
          <w:lang w:val="en-US" w:eastAsia="zh-CN"/>
        </w:rPr>
        <w:t>；</w:t>
      </w:r>
    </w:p>
    <w:p w14:paraId="6F2AC87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水表机芯主要材料应选用ABS或聚甲酫全新工程塑料</w:t>
      </w:r>
      <w:r>
        <w:rPr>
          <w:rFonts w:hint="eastAsia" w:ascii="宋体" w:hAnsi="宋体" w:eastAsia="宋体" w:cs="宋体"/>
          <w:color w:val="auto"/>
          <w:kern w:val="2"/>
          <w:sz w:val="21"/>
          <w:szCs w:val="21"/>
          <w:highlight w:val="none"/>
          <w:lang w:val="en-US" w:eastAsia="zh-CN"/>
        </w:rPr>
        <w:t>，顶尖轴、叶轮轴均应采用不锈钢材料；</w:t>
      </w:r>
    </w:p>
    <w:p w14:paraId="521590F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2.2.12</w:t>
      </w:r>
      <w:r>
        <w:rPr>
          <w:rFonts w:hint="eastAsia" w:ascii="宋体" w:hAnsi="宋体" w:eastAsia="宋体" w:cs="宋体"/>
          <w:color w:val="auto"/>
          <w:sz w:val="21"/>
          <w:szCs w:val="21"/>
          <w:highlight w:val="none"/>
        </w:rPr>
        <w:t>数据输出应采取无磁传感技术</w:t>
      </w:r>
      <w:r>
        <w:rPr>
          <w:rFonts w:hint="eastAsia" w:ascii="宋体" w:hAnsi="宋体" w:eastAsia="宋体" w:cs="宋体"/>
          <w:color w:val="auto"/>
          <w:kern w:val="2"/>
          <w:sz w:val="21"/>
          <w:szCs w:val="21"/>
          <w:highlight w:val="none"/>
          <w:lang w:val="en-US" w:eastAsia="zh-CN"/>
        </w:rPr>
        <w:t>。</w:t>
      </w:r>
    </w:p>
    <w:p w14:paraId="59A7CC3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2.2.13 环境等级：C级或O级（安装在室外的固定水表），水表须完全防磁，在任何外磁场干扰下不影响水表的正常计量性能。</w:t>
      </w:r>
    </w:p>
    <w:p w14:paraId="7ABD797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★2.2.14 首次检定：投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w:t>
      </w:r>
      <w:r>
        <w:rPr>
          <w:rFonts w:hint="eastAsia" w:ascii="宋体" w:hAnsi="宋体" w:eastAsia="宋体" w:cs="宋体"/>
          <w:b/>
          <w:bCs/>
          <w:color w:val="auto"/>
          <w:kern w:val="2"/>
          <w:sz w:val="21"/>
          <w:szCs w:val="21"/>
          <w:highlight w:val="none"/>
          <w:lang w:val="en-US" w:eastAsia="zh-CN"/>
        </w:rPr>
        <w:t>（投标阶段需就上述事项提供相关承诺文件）</w:t>
      </w:r>
      <w:r>
        <w:rPr>
          <w:rFonts w:hint="eastAsia" w:ascii="宋体" w:hAnsi="宋体" w:eastAsia="宋体" w:cs="宋体"/>
          <w:b w:val="0"/>
          <w:bCs w:val="0"/>
          <w:color w:val="auto"/>
          <w:kern w:val="2"/>
          <w:sz w:val="21"/>
          <w:szCs w:val="21"/>
          <w:highlight w:val="none"/>
          <w:lang w:val="en-US" w:eastAsia="zh-CN"/>
        </w:rPr>
        <w:t>。</w:t>
      </w:r>
    </w:p>
    <w:p w14:paraId="1310448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 远传模块要求：</w:t>
      </w:r>
    </w:p>
    <w:p w14:paraId="00BBE4C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2.3.1 远传模块可拆卸，直接安装在水表上，要求安装牢固可靠，远传模块与基表的安装结合应无妨碍检定和读数的缺陷，拆除远传模块应不影响水表固有的计量性能。</w:t>
      </w:r>
    </w:p>
    <w:p w14:paraId="750818C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▲2.3.2 数据采集：支持采集累计正、反向累计流量数据，数据采集精确到L位，支持时钟同步功能、倒流报警和低电压报警等功能。默认每日周期上报：上报前一天24小时的数据记录，水量数据采集周期为30分钟/次。可通过应用平台进行高频率上报周期设置，最小做到1小时周期上报。</w:t>
      </w:r>
    </w:p>
    <w:p w14:paraId="5E27F25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2.3.3 通讯电池：锂电池，在上报频次为1次/日时，</w:t>
      </w:r>
      <w:r>
        <w:rPr>
          <w:rFonts w:hint="eastAsia" w:ascii="宋体" w:hAnsi="宋体" w:eastAsia="宋体" w:cs="宋体"/>
          <w:b w:val="0"/>
          <w:bCs w:val="0"/>
          <w:color w:val="auto"/>
          <w:sz w:val="21"/>
          <w:szCs w:val="21"/>
          <w:highlight w:val="none"/>
          <w:lang w:val="en-US" w:eastAsia="zh-CN"/>
        </w:rPr>
        <w:t>DN15~DN25水表通讯电池</w:t>
      </w:r>
      <w:r>
        <w:rPr>
          <w:rFonts w:hint="eastAsia" w:ascii="宋体" w:hAnsi="宋体" w:eastAsia="宋体" w:cs="宋体"/>
          <w:color w:val="auto"/>
          <w:kern w:val="2"/>
          <w:sz w:val="21"/>
          <w:szCs w:val="21"/>
          <w:highlight w:val="none"/>
          <w:lang w:val="en-US" w:eastAsia="zh-CN"/>
        </w:rPr>
        <w:t>保证可连续使用≥7年，</w:t>
      </w:r>
      <w:r>
        <w:rPr>
          <w:rFonts w:hint="eastAsia" w:ascii="宋体" w:hAnsi="宋体" w:eastAsia="宋体" w:cs="宋体"/>
          <w:b w:val="0"/>
          <w:bCs w:val="0"/>
          <w:color w:val="auto"/>
          <w:sz w:val="21"/>
          <w:szCs w:val="21"/>
          <w:highlight w:val="none"/>
          <w:lang w:val="en-US" w:eastAsia="zh-CN"/>
        </w:rPr>
        <w:t>DN40~DN50水表通讯电池</w:t>
      </w:r>
      <w:r>
        <w:rPr>
          <w:rFonts w:hint="eastAsia" w:ascii="宋体" w:hAnsi="宋体" w:eastAsia="宋体" w:cs="宋体"/>
          <w:color w:val="auto"/>
          <w:kern w:val="2"/>
          <w:sz w:val="21"/>
          <w:szCs w:val="21"/>
          <w:highlight w:val="none"/>
          <w:lang w:val="en-US" w:eastAsia="zh-CN"/>
        </w:rPr>
        <w:t>保证可连续使用≥5年且必须采取安全保护措施，保证电池不发生爆炸或自燃，使用寿命未达到规定年限的，由供商应负责免费更换电池。</w:t>
      </w:r>
    </w:p>
    <w:p w14:paraId="48BB5CD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2.3.4 数据存储：采集周期为30分钟/次时，可存储数据≥30天，当存储介质存满时，新采集的数据自动覆盖最早数据。</w:t>
      </w:r>
    </w:p>
    <w:p w14:paraId="5D0E15B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▲2.3.5 日数据传输成功率≥99% ，抄读准确率≥99.9%</w:t>
      </w:r>
      <w:r>
        <w:rPr>
          <w:rFonts w:hint="eastAsia" w:ascii="宋体" w:hAnsi="宋体" w:eastAsia="宋体" w:cs="宋体"/>
          <w:b/>
          <w:bCs/>
          <w:color w:val="auto"/>
          <w:kern w:val="2"/>
          <w:sz w:val="21"/>
          <w:szCs w:val="21"/>
          <w:highlight w:val="none"/>
          <w:lang w:val="en-US" w:eastAsia="zh-CN"/>
        </w:rPr>
        <w:t>（投标人投标阶段需就上述事项提供相关水表用户使用情况及证明材料）</w:t>
      </w:r>
      <w:r>
        <w:rPr>
          <w:rFonts w:hint="eastAsia" w:ascii="宋体" w:hAnsi="宋体" w:eastAsia="宋体" w:cs="宋体"/>
          <w:color w:val="auto"/>
          <w:kern w:val="2"/>
          <w:sz w:val="21"/>
          <w:szCs w:val="21"/>
          <w:highlight w:val="none"/>
          <w:lang w:val="en-US" w:eastAsia="zh-CN"/>
        </w:rPr>
        <w:t>。</w:t>
      </w:r>
    </w:p>
    <w:p w14:paraId="05869213">
      <w:pPr>
        <w:pStyle w:val="221"/>
        <w:spacing w:line="360" w:lineRule="auto"/>
        <w:ind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.6年故障率≤1%。</w:t>
      </w:r>
    </w:p>
    <w:p w14:paraId="1DDEAB1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2.3.7 远程模块须印有统一的识别标识及设备编号，其组件、外壳和连接线材应采用阻燃材质。</w:t>
      </w:r>
    </w:p>
    <w:p w14:paraId="26902CE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★2.3.8 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cs="宋体"/>
          <w:b/>
          <w:bCs/>
          <w:color w:val="auto"/>
          <w:kern w:val="2"/>
          <w:sz w:val="21"/>
          <w:szCs w:val="21"/>
          <w:highlight w:val="none"/>
          <w:lang w:val="en-US" w:eastAsia="zh-CN"/>
        </w:rPr>
        <w:t>（投标阶段需就上述事项提供产品说明书和相关承诺文件）</w:t>
      </w:r>
      <w:r>
        <w:rPr>
          <w:rFonts w:hint="eastAsia" w:ascii="宋体" w:hAnsi="宋体" w:eastAsia="宋体" w:cs="宋体"/>
          <w:b w:val="0"/>
          <w:bCs w:val="0"/>
          <w:color w:val="auto"/>
          <w:kern w:val="2"/>
          <w:sz w:val="21"/>
          <w:szCs w:val="21"/>
          <w:highlight w:val="none"/>
          <w:lang w:val="en-US" w:eastAsia="zh-CN"/>
        </w:rPr>
        <w:t>。</w:t>
      </w:r>
    </w:p>
    <w:p w14:paraId="3A3FF99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2.3.9 若处于NB-IOT信号接收不利点，投标人应采取措施，例如</w:t>
      </w:r>
      <w:r>
        <w:rPr>
          <w:rFonts w:hint="eastAsia" w:ascii="宋体" w:hAnsi="宋体" w:eastAsia="宋体" w:cs="宋体"/>
          <w:color w:val="auto"/>
          <w:kern w:val="0"/>
          <w:sz w:val="21"/>
          <w:szCs w:val="21"/>
          <w:highlight w:val="none"/>
          <w:lang w:val="en-US" w:eastAsia="zh-CN"/>
        </w:rPr>
        <w:t>配置增长天线的远传模块、</w:t>
      </w:r>
      <w:r>
        <w:rPr>
          <w:rFonts w:hint="eastAsia" w:ascii="宋体" w:hAnsi="宋体" w:eastAsia="宋体" w:cs="宋体"/>
          <w:color w:val="auto"/>
          <w:kern w:val="2"/>
          <w:sz w:val="21"/>
          <w:szCs w:val="21"/>
          <w:highlight w:val="none"/>
          <w:lang w:val="en-US" w:eastAsia="zh-CN"/>
        </w:rPr>
        <w:t>与运营商协调网络优化、转用4G移动通讯网络等方法，提升网络性能质量，确保数据传输成功率达到要求。采取措施所发生的所有费用，由投标人负责。</w:t>
      </w:r>
    </w:p>
    <w:p w14:paraId="1D56C62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2.3.10 远传参数设置：可通过有线连接、手机蓝牙连接或近端手持终端设备进行参数设置和远传设备调试。</w:t>
      </w:r>
    </w:p>
    <w:p w14:paraId="31DBB1D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★2.3.11 远传模块的通讯协议需符合招标人物联网终端传输规约的有关要求</w:t>
      </w:r>
      <w:r>
        <w:rPr>
          <w:rFonts w:hint="eastAsia" w:ascii="宋体" w:hAnsi="宋体" w:eastAsia="宋体" w:cs="宋体"/>
          <w:b/>
          <w:bCs/>
          <w:color w:val="auto"/>
          <w:kern w:val="2"/>
          <w:sz w:val="21"/>
          <w:szCs w:val="21"/>
          <w:highlight w:val="none"/>
          <w:lang w:val="en-US" w:eastAsia="zh-CN"/>
        </w:rPr>
        <w:t>（投标阶段需就上述事项提供相关承诺文件）</w:t>
      </w:r>
      <w:r>
        <w:rPr>
          <w:rFonts w:hint="eastAsia" w:ascii="宋体" w:hAnsi="宋体" w:eastAsia="宋体" w:cs="宋体"/>
          <w:b w:val="0"/>
          <w:bCs w:val="0"/>
          <w:color w:val="auto"/>
          <w:kern w:val="2"/>
          <w:sz w:val="21"/>
          <w:szCs w:val="21"/>
          <w:highlight w:val="none"/>
          <w:lang w:val="en-US" w:eastAsia="zh-CN"/>
        </w:rPr>
        <w:t>。</w:t>
      </w:r>
    </w:p>
    <w:p w14:paraId="6B8E3E6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★2.3.12 平台对接：所有数据按招标人要求无缝融合到招标人指定的智能水表管理系统，中标人需无偿配合远传水表的接入工作</w:t>
      </w:r>
      <w:r>
        <w:rPr>
          <w:rFonts w:hint="eastAsia" w:ascii="宋体" w:hAnsi="宋体" w:eastAsia="宋体" w:cs="宋体"/>
          <w:b/>
          <w:bCs/>
          <w:color w:val="auto"/>
          <w:kern w:val="2"/>
          <w:sz w:val="21"/>
          <w:szCs w:val="21"/>
          <w:highlight w:val="none"/>
          <w:lang w:val="en-US" w:eastAsia="zh-CN"/>
        </w:rPr>
        <w:t>（投标阶段需就上述事项提供可无缝接入招标人所指定的系统管理平台的承诺函）</w:t>
      </w:r>
      <w:r>
        <w:rPr>
          <w:rFonts w:hint="eastAsia" w:ascii="宋体" w:hAnsi="宋体" w:eastAsia="宋体" w:cs="宋体"/>
          <w:b w:val="0"/>
          <w:bCs w:val="0"/>
          <w:color w:val="auto"/>
          <w:kern w:val="2"/>
          <w:sz w:val="21"/>
          <w:szCs w:val="21"/>
          <w:highlight w:val="none"/>
          <w:lang w:val="en-US" w:eastAsia="zh-CN"/>
        </w:rPr>
        <w:t>。</w:t>
      </w:r>
    </w:p>
    <w:p w14:paraId="7B1D1556">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三、物联网终端传输规约要求</w:t>
      </w:r>
    </w:p>
    <w:p w14:paraId="7C24DC7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投标人的投标产品需符合招标人物联网终端传输规约要求，包括但不限于以下协议框架、应用数据结构等，其他相关要求可于中标后咨询招标人。</w:t>
      </w:r>
    </w:p>
    <w:p w14:paraId="26C1C5E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 协议框架</w:t>
      </w:r>
    </w:p>
    <w:p w14:paraId="49B0C9D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3.1.1 上行框架</w:t>
      </w:r>
    </w:p>
    <w:p w14:paraId="223869E7">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上行框架规定了所有从设备端发往平台端的数据帧的基础格式，结构如下：</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820"/>
        <w:gridCol w:w="1095"/>
        <w:gridCol w:w="4730"/>
      </w:tblGrid>
      <w:tr w14:paraId="1D6A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6AD4A3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帧起始符（</w:t>
            </w:r>
            <w:r>
              <w:rPr>
                <w:rFonts w:hint="eastAsia" w:ascii="宋体" w:hAnsi="宋体" w:eastAsia="宋体" w:cs="宋体"/>
                <w:b w:val="0"/>
                <w:bCs w:val="0"/>
                <w:color w:val="auto"/>
                <w:kern w:val="2"/>
                <w:sz w:val="21"/>
                <w:szCs w:val="21"/>
                <w:highlight w:val="none"/>
                <w:vertAlign w:val="baseline"/>
                <w:lang w:val="en-US" w:eastAsia="zh-CN" w:bidi="ar-SA"/>
              </w:rPr>
              <w:t>68H</w:t>
            </w:r>
            <w:r>
              <w:rPr>
                <w:rFonts w:hint="eastAsia" w:ascii="宋体" w:hAnsi="宋体" w:eastAsia="宋体" w:cs="宋体"/>
                <w:b w:val="0"/>
                <w:bCs w:val="0"/>
                <w:color w:val="auto"/>
                <w:kern w:val="2"/>
                <w:sz w:val="21"/>
                <w:szCs w:val="21"/>
                <w:highlight w:val="none"/>
                <w:vertAlign w:val="baseline"/>
                <w:lang w:val="zh-CN" w:eastAsia="zh-CN" w:bidi="ar-SA"/>
              </w:rPr>
              <w:t>）</w:t>
            </w:r>
          </w:p>
        </w:tc>
        <w:tc>
          <w:tcPr>
            <w:tcW w:w="1095" w:type="dxa"/>
            <w:noWrap w:val="0"/>
            <w:vAlign w:val="center"/>
          </w:tcPr>
          <w:p w14:paraId="0EF24F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7AF1F7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固定值</w:t>
            </w:r>
          </w:p>
        </w:tc>
      </w:tr>
      <w:tr w14:paraId="18C1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5CA1AD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帧长度</w:t>
            </w:r>
          </w:p>
        </w:tc>
        <w:tc>
          <w:tcPr>
            <w:tcW w:w="1095" w:type="dxa"/>
            <w:noWrap w:val="0"/>
            <w:vAlign w:val="center"/>
          </w:tcPr>
          <w:p w14:paraId="31BCD9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noWrap w:val="0"/>
            <w:vAlign w:val="center"/>
          </w:tcPr>
          <w:p w14:paraId="0F7F23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从</w:t>
            </w:r>
            <w:r>
              <w:rPr>
                <w:rFonts w:hint="eastAsia" w:ascii="宋体" w:hAnsi="宋体" w:eastAsia="宋体" w:cs="宋体"/>
                <w:b w:val="0"/>
                <w:bCs w:val="0"/>
                <w:color w:val="auto"/>
                <w:kern w:val="2"/>
                <w:sz w:val="21"/>
                <w:szCs w:val="21"/>
                <w:highlight w:val="none"/>
                <w:vertAlign w:val="baseline"/>
                <w:lang w:val="zh-CN" w:eastAsia="zh-CN" w:bidi="ar-SA"/>
              </w:rPr>
              <w:t>帧起始符（</w:t>
            </w:r>
            <w:r>
              <w:rPr>
                <w:rFonts w:hint="eastAsia" w:ascii="宋体" w:hAnsi="宋体" w:eastAsia="宋体" w:cs="宋体"/>
                <w:b w:val="0"/>
                <w:bCs w:val="0"/>
                <w:color w:val="auto"/>
                <w:kern w:val="2"/>
                <w:sz w:val="21"/>
                <w:szCs w:val="21"/>
                <w:highlight w:val="none"/>
                <w:vertAlign w:val="baseline"/>
                <w:lang w:val="en-US" w:eastAsia="zh-CN" w:bidi="ar-SA"/>
              </w:rPr>
              <w:t>68H</w:t>
            </w:r>
            <w:r>
              <w:rPr>
                <w:rFonts w:hint="eastAsia" w:ascii="宋体" w:hAnsi="宋体" w:eastAsia="宋体" w:cs="宋体"/>
                <w:b w:val="0"/>
                <w:bCs w:val="0"/>
                <w:color w:val="auto"/>
                <w:kern w:val="2"/>
                <w:sz w:val="21"/>
                <w:szCs w:val="21"/>
                <w:highlight w:val="none"/>
                <w:vertAlign w:val="baseline"/>
                <w:lang w:val="zh-CN" w:eastAsia="zh-CN" w:bidi="ar-SA"/>
              </w:rPr>
              <w:t>）至帧结束符（</w:t>
            </w:r>
            <w:r>
              <w:rPr>
                <w:rFonts w:hint="eastAsia" w:ascii="宋体" w:hAnsi="宋体" w:eastAsia="宋体" w:cs="宋体"/>
                <w:b w:val="0"/>
                <w:bCs w:val="0"/>
                <w:color w:val="auto"/>
                <w:kern w:val="2"/>
                <w:sz w:val="21"/>
                <w:szCs w:val="21"/>
                <w:highlight w:val="none"/>
                <w:vertAlign w:val="baseline"/>
                <w:lang w:val="en-US" w:eastAsia="zh-CN" w:bidi="ar-SA"/>
              </w:rPr>
              <w:t>16H</w:t>
            </w:r>
            <w:r>
              <w:rPr>
                <w:rFonts w:hint="eastAsia" w:ascii="宋体" w:hAnsi="宋体" w:eastAsia="宋体" w:cs="宋体"/>
                <w:b w:val="0"/>
                <w:bCs w:val="0"/>
                <w:color w:val="auto"/>
                <w:kern w:val="2"/>
                <w:sz w:val="21"/>
                <w:szCs w:val="21"/>
                <w:highlight w:val="none"/>
                <w:vertAlign w:val="baseline"/>
                <w:lang w:val="zh-CN" w:eastAsia="zh-CN" w:bidi="ar-SA"/>
              </w:rPr>
              <w:t>）之间的字节总数，</w:t>
            </w:r>
            <w:r>
              <w:rPr>
                <w:rFonts w:hint="eastAsia" w:ascii="宋体" w:hAnsi="宋体" w:eastAsia="宋体" w:cs="宋体"/>
                <w:b w:val="0"/>
                <w:bCs w:val="0"/>
                <w:color w:val="auto"/>
                <w:kern w:val="2"/>
                <w:sz w:val="21"/>
                <w:szCs w:val="21"/>
                <w:highlight w:val="none"/>
                <w:vertAlign w:val="baseline"/>
                <w:lang w:val="en-US" w:eastAsia="zh-CN" w:bidi="ar-SA"/>
              </w:rPr>
              <w:t>不含68H和16H。</w:t>
            </w:r>
          </w:p>
        </w:tc>
      </w:tr>
      <w:tr w14:paraId="17CA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458849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帧标识</w:t>
            </w:r>
          </w:p>
        </w:tc>
        <w:tc>
          <w:tcPr>
            <w:tcW w:w="1095" w:type="dxa"/>
            <w:noWrap w:val="0"/>
            <w:vAlign w:val="center"/>
          </w:tcPr>
          <w:p w14:paraId="0FEA62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0C67AF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zh-CN" w:eastAsia="zh-CN" w:bidi="ar-SA"/>
              </w:rPr>
              <w:t>是否加密</w:t>
            </w:r>
            <w:r>
              <w:rPr>
                <w:rFonts w:hint="eastAsia" w:ascii="宋体" w:hAnsi="宋体" w:eastAsia="宋体" w:cs="宋体"/>
                <w:b w:val="0"/>
                <w:bCs w:val="0"/>
                <w:color w:val="auto"/>
                <w:kern w:val="2"/>
                <w:sz w:val="21"/>
                <w:szCs w:val="21"/>
                <w:highlight w:val="none"/>
                <w:vertAlign w:val="baseline"/>
                <w:lang w:val="en-US" w:eastAsia="zh-CN" w:bidi="ar-SA"/>
              </w:rPr>
              <w:t>1bit、是否分帧2bit、帧序号4bit、是否包含运行参数段1bit</w:t>
            </w:r>
          </w:p>
        </w:tc>
      </w:tr>
      <w:tr w14:paraId="662B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31B84B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 xml:space="preserve">协议版本 </w:t>
            </w:r>
          </w:p>
        </w:tc>
        <w:tc>
          <w:tcPr>
            <w:tcW w:w="1095" w:type="dxa"/>
            <w:noWrap w:val="0"/>
            <w:vAlign w:val="center"/>
          </w:tcPr>
          <w:p w14:paraId="75DDE9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01AA03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zh-CN" w:eastAsia="zh-CN" w:bidi="ar-SA"/>
              </w:rPr>
              <w:t>主版本</w:t>
            </w:r>
            <w:r>
              <w:rPr>
                <w:rFonts w:hint="eastAsia" w:ascii="宋体" w:hAnsi="宋体" w:eastAsia="宋体" w:cs="宋体"/>
                <w:b w:val="0"/>
                <w:bCs w:val="0"/>
                <w:color w:val="auto"/>
                <w:kern w:val="2"/>
                <w:sz w:val="21"/>
                <w:szCs w:val="21"/>
                <w:highlight w:val="none"/>
                <w:vertAlign w:val="baseline"/>
                <w:lang w:val="en-US" w:eastAsia="zh-CN" w:bidi="ar-SA"/>
              </w:rPr>
              <w:t>4bit、子版本4bit</w:t>
            </w:r>
          </w:p>
        </w:tc>
      </w:tr>
      <w:tr w14:paraId="5BAF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160428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设备地址</w:t>
            </w:r>
          </w:p>
        </w:tc>
        <w:tc>
          <w:tcPr>
            <w:tcW w:w="1095" w:type="dxa"/>
            <w:noWrap w:val="0"/>
            <w:vAlign w:val="center"/>
          </w:tcPr>
          <w:p w14:paraId="0CF1E9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8Byte</w:t>
            </w:r>
          </w:p>
        </w:tc>
        <w:tc>
          <w:tcPr>
            <w:tcW w:w="4730" w:type="dxa"/>
            <w:noWrap w:val="0"/>
            <w:vAlign w:val="center"/>
          </w:tcPr>
          <w:p w14:paraId="3F6769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表码</w:t>
            </w:r>
          </w:p>
        </w:tc>
      </w:tr>
      <w:tr w14:paraId="6340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1A3BD4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功能码</w:t>
            </w:r>
          </w:p>
        </w:tc>
        <w:tc>
          <w:tcPr>
            <w:tcW w:w="1095" w:type="dxa"/>
            <w:noWrap w:val="0"/>
            <w:vAlign w:val="center"/>
          </w:tcPr>
          <w:p w14:paraId="4EF49F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075467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功能码</w:t>
            </w:r>
          </w:p>
        </w:tc>
      </w:tr>
      <w:tr w14:paraId="249F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689A15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帧确认符（</w:t>
            </w:r>
            <w:r>
              <w:rPr>
                <w:rFonts w:hint="eastAsia" w:ascii="宋体" w:hAnsi="宋体" w:eastAsia="宋体" w:cs="宋体"/>
                <w:b w:val="0"/>
                <w:bCs w:val="0"/>
                <w:color w:val="auto"/>
                <w:kern w:val="2"/>
                <w:sz w:val="21"/>
                <w:szCs w:val="21"/>
                <w:highlight w:val="none"/>
                <w:vertAlign w:val="baseline"/>
                <w:lang w:val="en-US" w:eastAsia="zh-CN" w:bidi="ar-SA"/>
              </w:rPr>
              <w:t>68H</w:t>
            </w:r>
            <w:r>
              <w:rPr>
                <w:rFonts w:hint="eastAsia" w:ascii="宋体" w:hAnsi="宋体" w:eastAsia="宋体" w:cs="宋体"/>
                <w:b w:val="0"/>
                <w:bCs w:val="0"/>
                <w:color w:val="auto"/>
                <w:kern w:val="2"/>
                <w:sz w:val="21"/>
                <w:szCs w:val="21"/>
                <w:highlight w:val="none"/>
                <w:vertAlign w:val="baseline"/>
                <w:lang w:val="zh-CN" w:eastAsia="zh-CN" w:bidi="ar-SA"/>
              </w:rPr>
              <w:t>）</w:t>
            </w:r>
          </w:p>
        </w:tc>
        <w:tc>
          <w:tcPr>
            <w:tcW w:w="1095" w:type="dxa"/>
            <w:noWrap w:val="0"/>
            <w:vAlign w:val="center"/>
          </w:tcPr>
          <w:p w14:paraId="54E0F5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29CB42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固定值</w:t>
            </w:r>
          </w:p>
        </w:tc>
      </w:tr>
      <w:tr w14:paraId="56F6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restart"/>
            <w:noWrap w:val="0"/>
            <w:vAlign w:val="center"/>
          </w:tcPr>
          <w:p w14:paraId="109778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运行参数段</w:t>
            </w:r>
          </w:p>
        </w:tc>
        <w:tc>
          <w:tcPr>
            <w:tcW w:w="2820" w:type="dxa"/>
            <w:noWrap w:val="0"/>
            <w:vAlign w:val="center"/>
          </w:tcPr>
          <w:p w14:paraId="1646B3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设备标识</w:t>
            </w:r>
          </w:p>
        </w:tc>
        <w:tc>
          <w:tcPr>
            <w:tcW w:w="1095" w:type="dxa"/>
            <w:noWrap w:val="0"/>
            <w:vAlign w:val="center"/>
          </w:tcPr>
          <w:p w14:paraId="28F7E1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526D36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包含设备工作模式（1Bit）、设备类型（7Bit）</w:t>
            </w:r>
          </w:p>
        </w:tc>
      </w:tr>
      <w:tr w14:paraId="5FFD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3EF49F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lang w:val="zh-CN" w:eastAsia="zh-CN" w:bidi="ar-SA"/>
              </w:rPr>
            </w:pPr>
          </w:p>
        </w:tc>
        <w:tc>
          <w:tcPr>
            <w:tcW w:w="2820" w:type="dxa"/>
            <w:noWrap w:val="0"/>
            <w:vAlign w:val="center"/>
          </w:tcPr>
          <w:p w14:paraId="58E4F2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设备电压</w:t>
            </w:r>
          </w:p>
        </w:tc>
        <w:tc>
          <w:tcPr>
            <w:tcW w:w="1095" w:type="dxa"/>
            <w:noWrap w:val="0"/>
            <w:vAlign w:val="center"/>
          </w:tcPr>
          <w:p w14:paraId="089A1D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noWrap w:val="0"/>
            <w:vAlign w:val="center"/>
          </w:tcPr>
          <w:p w14:paraId="37F645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1CBF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0C9D7A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3D99C3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信号强度</w:t>
            </w:r>
          </w:p>
        </w:tc>
        <w:tc>
          <w:tcPr>
            <w:tcW w:w="1095" w:type="dxa"/>
            <w:noWrap w:val="0"/>
            <w:vAlign w:val="center"/>
          </w:tcPr>
          <w:p w14:paraId="4D66F0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2AA882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7D4D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01FD89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720FE6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接收功率</w:t>
            </w:r>
          </w:p>
        </w:tc>
        <w:tc>
          <w:tcPr>
            <w:tcW w:w="1095" w:type="dxa"/>
            <w:noWrap w:val="0"/>
            <w:vAlign w:val="center"/>
          </w:tcPr>
          <w:p w14:paraId="24ABC3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noWrap w:val="0"/>
            <w:vAlign w:val="center"/>
          </w:tcPr>
          <w:p w14:paraId="0E52A1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7E28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43E93C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1E82CD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信噪比</w:t>
            </w:r>
          </w:p>
        </w:tc>
        <w:tc>
          <w:tcPr>
            <w:tcW w:w="1095" w:type="dxa"/>
            <w:noWrap w:val="0"/>
            <w:vAlign w:val="center"/>
          </w:tcPr>
          <w:p w14:paraId="48E5AA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noWrap w:val="0"/>
            <w:vAlign w:val="center"/>
          </w:tcPr>
          <w:p w14:paraId="511ABA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BE3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64B166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6C5183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覆盖等级</w:t>
            </w:r>
          </w:p>
        </w:tc>
        <w:tc>
          <w:tcPr>
            <w:tcW w:w="1095" w:type="dxa"/>
            <w:noWrap w:val="0"/>
            <w:vAlign w:val="center"/>
          </w:tcPr>
          <w:p w14:paraId="711A56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592503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237E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2E3423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2BA1D3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小区ID</w:t>
            </w:r>
          </w:p>
        </w:tc>
        <w:tc>
          <w:tcPr>
            <w:tcW w:w="1095" w:type="dxa"/>
            <w:noWrap w:val="0"/>
            <w:vAlign w:val="center"/>
          </w:tcPr>
          <w:p w14:paraId="360B50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4Byte</w:t>
            </w:r>
          </w:p>
        </w:tc>
        <w:tc>
          <w:tcPr>
            <w:tcW w:w="4730" w:type="dxa"/>
            <w:noWrap w:val="0"/>
            <w:vAlign w:val="center"/>
          </w:tcPr>
          <w:p w14:paraId="6C90AF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2F48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21F27B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575957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IMEI标识</w:t>
            </w:r>
          </w:p>
        </w:tc>
        <w:tc>
          <w:tcPr>
            <w:tcW w:w="1095" w:type="dxa"/>
            <w:noWrap w:val="0"/>
            <w:vAlign w:val="center"/>
          </w:tcPr>
          <w:p w14:paraId="6B65EF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8Byte</w:t>
            </w:r>
          </w:p>
        </w:tc>
        <w:tc>
          <w:tcPr>
            <w:tcW w:w="4730" w:type="dxa"/>
            <w:noWrap w:val="0"/>
            <w:vAlign w:val="center"/>
          </w:tcPr>
          <w:p w14:paraId="78AA40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w:t>
            </w:r>
          </w:p>
        </w:tc>
      </w:tr>
      <w:tr w14:paraId="02EF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5" w:type="dxa"/>
            <w:vMerge w:val="continue"/>
            <w:noWrap w:val="0"/>
            <w:vAlign w:val="center"/>
          </w:tcPr>
          <w:p w14:paraId="72246F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820" w:type="dxa"/>
            <w:noWrap w:val="0"/>
            <w:vAlign w:val="center"/>
          </w:tcPr>
          <w:p w14:paraId="7324D8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SIM标识</w:t>
            </w:r>
          </w:p>
        </w:tc>
        <w:tc>
          <w:tcPr>
            <w:tcW w:w="1095" w:type="dxa"/>
            <w:noWrap w:val="0"/>
            <w:vAlign w:val="center"/>
          </w:tcPr>
          <w:p w14:paraId="2B3253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10Byte</w:t>
            </w:r>
          </w:p>
        </w:tc>
        <w:tc>
          <w:tcPr>
            <w:tcW w:w="4730" w:type="dxa"/>
            <w:noWrap w:val="0"/>
            <w:vAlign w:val="center"/>
          </w:tcPr>
          <w:p w14:paraId="37059C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w:t>
            </w:r>
          </w:p>
        </w:tc>
      </w:tr>
      <w:tr w14:paraId="455F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03BBA1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指令MID</w:t>
            </w:r>
          </w:p>
        </w:tc>
        <w:tc>
          <w:tcPr>
            <w:tcW w:w="1095" w:type="dxa"/>
            <w:noWrap w:val="0"/>
            <w:vAlign w:val="center"/>
          </w:tcPr>
          <w:p w14:paraId="26F809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noWrap w:val="0"/>
            <w:vAlign w:val="center"/>
          </w:tcPr>
          <w:p w14:paraId="3421BC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指令标识，高字节在前，发起方生成，接收方原码返回</w:t>
            </w:r>
          </w:p>
        </w:tc>
      </w:tr>
      <w:tr w14:paraId="7E84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7FB204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功能数据段</w:t>
            </w:r>
          </w:p>
        </w:tc>
        <w:tc>
          <w:tcPr>
            <w:tcW w:w="1095" w:type="dxa"/>
            <w:noWrap w:val="0"/>
            <w:vAlign w:val="center"/>
          </w:tcPr>
          <w:p w14:paraId="51AA4E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变长</w:t>
            </w:r>
          </w:p>
        </w:tc>
        <w:tc>
          <w:tcPr>
            <w:tcW w:w="4730" w:type="dxa"/>
            <w:noWrap w:val="0"/>
            <w:vAlign w:val="center"/>
          </w:tcPr>
          <w:p w14:paraId="06A28A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由功能码决定</w:t>
            </w:r>
          </w:p>
        </w:tc>
      </w:tr>
      <w:tr w14:paraId="4AE4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61D856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帧校验</w:t>
            </w:r>
          </w:p>
        </w:tc>
        <w:tc>
          <w:tcPr>
            <w:tcW w:w="1095" w:type="dxa"/>
            <w:noWrap w:val="0"/>
            <w:vAlign w:val="center"/>
          </w:tcPr>
          <w:p w14:paraId="31C9FA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36EEB7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27BD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gridSpan w:val="2"/>
            <w:noWrap w:val="0"/>
            <w:vAlign w:val="center"/>
          </w:tcPr>
          <w:p w14:paraId="3393C0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帧结束符（16H）</w:t>
            </w:r>
          </w:p>
        </w:tc>
        <w:tc>
          <w:tcPr>
            <w:tcW w:w="1095" w:type="dxa"/>
            <w:noWrap w:val="0"/>
            <w:vAlign w:val="center"/>
          </w:tcPr>
          <w:p w14:paraId="37A77F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511066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固定值</w:t>
            </w:r>
          </w:p>
        </w:tc>
      </w:tr>
    </w:tbl>
    <w:p w14:paraId="3D53EC4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3.1.2 下行框架</w:t>
      </w:r>
    </w:p>
    <w:p w14:paraId="734954E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下行框架规定了所有从平台端发往设备端的数据帧的基础格式，结构如下：</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5"/>
        <w:gridCol w:w="1095"/>
        <w:gridCol w:w="4730"/>
      </w:tblGrid>
      <w:tr w14:paraId="7FB2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2B609DBD">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帧起始符（</w:t>
            </w:r>
            <w:r>
              <w:rPr>
                <w:rFonts w:hint="eastAsia" w:ascii="宋体" w:hAnsi="宋体" w:eastAsia="宋体" w:cs="宋体"/>
                <w:b w:val="0"/>
                <w:bCs w:val="0"/>
                <w:color w:val="auto"/>
                <w:kern w:val="2"/>
                <w:sz w:val="21"/>
                <w:szCs w:val="21"/>
                <w:highlight w:val="none"/>
                <w:vertAlign w:val="baseline"/>
                <w:lang w:val="en-US" w:eastAsia="zh-CN" w:bidi="ar-SA"/>
              </w:rPr>
              <w:t>68H</w:t>
            </w:r>
            <w:r>
              <w:rPr>
                <w:rFonts w:hint="eastAsia" w:ascii="宋体" w:hAnsi="宋体" w:eastAsia="宋体" w:cs="宋体"/>
                <w:b w:val="0"/>
                <w:bCs w:val="0"/>
                <w:color w:val="auto"/>
                <w:kern w:val="2"/>
                <w:sz w:val="21"/>
                <w:szCs w:val="21"/>
                <w:highlight w:val="none"/>
                <w:vertAlign w:val="baseline"/>
                <w:lang w:val="zh-CN" w:eastAsia="zh-CN" w:bidi="ar-SA"/>
              </w:rPr>
              <w:t>）</w:t>
            </w:r>
          </w:p>
        </w:tc>
        <w:tc>
          <w:tcPr>
            <w:tcW w:w="1095" w:type="dxa"/>
            <w:noWrap w:val="0"/>
            <w:vAlign w:val="center"/>
          </w:tcPr>
          <w:p w14:paraId="6C7EBB5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157349F4">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固定值</w:t>
            </w:r>
          </w:p>
        </w:tc>
      </w:tr>
      <w:tr w14:paraId="7077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35A7FED3">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帧长度</w:t>
            </w:r>
          </w:p>
        </w:tc>
        <w:tc>
          <w:tcPr>
            <w:tcW w:w="1095" w:type="dxa"/>
            <w:noWrap w:val="0"/>
            <w:vAlign w:val="center"/>
          </w:tcPr>
          <w:p w14:paraId="5BD399D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noWrap w:val="0"/>
            <w:vAlign w:val="center"/>
          </w:tcPr>
          <w:p w14:paraId="5D96694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从</w:t>
            </w:r>
            <w:r>
              <w:rPr>
                <w:rFonts w:hint="eastAsia" w:ascii="宋体" w:hAnsi="宋体" w:eastAsia="宋体" w:cs="宋体"/>
                <w:b w:val="0"/>
                <w:bCs w:val="0"/>
                <w:color w:val="auto"/>
                <w:kern w:val="2"/>
                <w:sz w:val="21"/>
                <w:szCs w:val="21"/>
                <w:highlight w:val="none"/>
                <w:vertAlign w:val="baseline"/>
                <w:lang w:val="zh-CN" w:eastAsia="zh-CN" w:bidi="ar-SA"/>
              </w:rPr>
              <w:t>帧起始符（</w:t>
            </w:r>
            <w:r>
              <w:rPr>
                <w:rFonts w:hint="eastAsia" w:ascii="宋体" w:hAnsi="宋体" w:eastAsia="宋体" w:cs="宋体"/>
                <w:b w:val="0"/>
                <w:bCs w:val="0"/>
                <w:color w:val="auto"/>
                <w:kern w:val="2"/>
                <w:sz w:val="21"/>
                <w:szCs w:val="21"/>
                <w:highlight w:val="none"/>
                <w:vertAlign w:val="baseline"/>
                <w:lang w:val="en-US" w:eastAsia="zh-CN" w:bidi="ar-SA"/>
              </w:rPr>
              <w:t>68H</w:t>
            </w:r>
            <w:r>
              <w:rPr>
                <w:rFonts w:hint="eastAsia" w:ascii="宋体" w:hAnsi="宋体" w:eastAsia="宋体" w:cs="宋体"/>
                <w:b w:val="0"/>
                <w:bCs w:val="0"/>
                <w:color w:val="auto"/>
                <w:kern w:val="2"/>
                <w:sz w:val="21"/>
                <w:szCs w:val="21"/>
                <w:highlight w:val="none"/>
                <w:vertAlign w:val="baseline"/>
                <w:lang w:val="zh-CN" w:eastAsia="zh-CN" w:bidi="ar-SA"/>
              </w:rPr>
              <w:t>）开始至帧结束符（</w:t>
            </w:r>
            <w:r>
              <w:rPr>
                <w:rFonts w:hint="eastAsia" w:ascii="宋体" w:hAnsi="宋体" w:eastAsia="宋体" w:cs="宋体"/>
                <w:b w:val="0"/>
                <w:bCs w:val="0"/>
                <w:color w:val="auto"/>
                <w:kern w:val="2"/>
                <w:sz w:val="21"/>
                <w:szCs w:val="21"/>
                <w:highlight w:val="none"/>
                <w:vertAlign w:val="baseline"/>
                <w:lang w:val="en-US" w:eastAsia="zh-CN" w:bidi="ar-SA"/>
              </w:rPr>
              <w:t>16H</w:t>
            </w:r>
            <w:r>
              <w:rPr>
                <w:rFonts w:hint="eastAsia" w:ascii="宋体" w:hAnsi="宋体" w:eastAsia="宋体" w:cs="宋体"/>
                <w:b w:val="0"/>
                <w:bCs w:val="0"/>
                <w:color w:val="auto"/>
                <w:kern w:val="2"/>
                <w:sz w:val="21"/>
                <w:szCs w:val="21"/>
                <w:highlight w:val="none"/>
                <w:vertAlign w:val="baseline"/>
                <w:lang w:val="zh-CN" w:eastAsia="zh-CN" w:bidi="ar-SA"/>
              </w:rPr>
              <w:t>）之间的字节总数</w:t>
            </w:r>
          </w:p>
        </w:tc>
      </w:tr>
      <w:tr w14:paraId="5D6F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6C5CB150">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帧标识</w:t>
            </w:r>
          </w:p>
        </w:tc>
        <w:tc>
          <w:tcPr>
            <w:tcW w:w="1095" w:type="dxa"/>
            <w:noWrap w:val="0"/>
            <w:vAlign w:val="center"/>
          </w:tcPr>
          <w:p w14:paraId="60DA455D">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336951C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4B3E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1A6BBD94">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 xml:space="preserve">协议版本 </w:t>
            </w:r>
          </w:p>
        </w:tc>
        <w:tc>
          <w:tcPr>
            <w:tcW w:w="1095" w:type="dxa"/>
            <w:noWrap w:val="0"/>
            <w:vAlign w:val="center"/>
          </w:tcPr>
          <w:p w14:paraId="776EC14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708048BF">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3FDF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406AE01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设备地址</w:t>
            </w:r>
          </w:p>
        </w:tc>
        <w:tc>
          <w:tcPr>
            <w:tcW w:w="1095" w:type="dxa"/>
            <w:noWrap w:val="0"/>
            <w:vAlign w:val="center"/>
          </w:tcPr>
          <w:p w14:paraId="3E744AA7">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8Byte</w:t>
            </w:r>
          </w:p>
        </w:tc>
        <w:tc>
          <w:tcPr>
            <w:tcW w:w="4730" w:type="dxa"/>
            <w:noWrap w:val="0"/>
            <w:vAlign w:val="center"/>
          </w:tcPr>
          <w:p w14:paraId="5E57EC93">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0024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54E9AE4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功能码</w:t>
            </w:r>
          </w:p>
        </w:tc>
        <w:tc>
          <w:tcPr>
            <w:tcW w:w="1095" w:type="dxa"/>
            <w:noWrap w:val="0"/>
            <w:vAlign w:val="center"/>
          </w:tcPr>
          <w:p w14:paraId="1CD805A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1831DD0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功能码</w:t>
            </w:r>
          </w:p>
        </w:tc>
      </w:tr>
      <w:tr w14:paraId="2C6E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bottom w:val="single" w:color="auto" w:sz="4" w:space="0"/>
            </w:tcBorders>
            <w:noWrap w:val="0"/>
            <w:vAlign w:val="center"/>
          </w:tcPr>
          <w:p w14:paraId="6DD1DBCB">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zh-CN" w:eastAsia="zh-CN" w:bidi="ar-SA"/>
              </w:rPr>
              <w:t>帧确认符（</w:t>
            </w:r>
            <w:r>
              <w:rPr>
                <w:rFonts w:hint="eastAsia" w:ascii="宋体" w:hAnsi="宋体" w:eastAsia="宋体" w:cs="宋体"/>
                <w:b w:val="0"/>
                <w:bCs w:val="0"/>
                <w:color w:val="auto"/>
                <w:kern w:val="2"/>
                <w:sz w:val="21"/>
                <w:szCs w:val="21"/>
                <w:highlight w:val="none"/>
                <w:vertAlign w:val="baseline"/>
                <w:lang w:val="en-US" w:eastAsia="zh-CN" w:bidi="ar-SA"/>
              </w:rPr>
              <w:t>68H</w:t>
            </w:r>
            <w:r>
              <w:rPr>
                <w:rFonts w:hint="eastAsia" w:ascii="宋体" w:hAnsi="宋体" w:eastAsia="宋体" w:cs="宋体"/>
                <w:b w:val="0"/>
                <w:bCs w:val="0"/>
                <w:color w:val="auto"/>
                <w:kern w:val="2"/>
                <w:sz w:val="21"/>
                <w:szCs w:val="21"/>
                <w:highlight w:val="none"/>
                <w:vertAlign w:val="baseline"/>
                <w:lang w:val="zh-CN" w:eastAsia="zh-CN" w:bidi="ar-SA"/>
              </w:rPr>
              <w:t>）</w:t>
            </w:r>
          </w:p>
        </w:tc>
        <w:tc>
          <w:tcPr>
            <w:tcW w:w="1095" w:type="dxa"/>
            <w:tcBorders>
              <w:bottom w:val="single" w:color="auto" w:sz="4" w:space="0"/>
            </w:tcBorders>
            <w:noWrap w:val="0"/>
            <w:vAlign w:val="center"/>
          </w:tcPr>
          <w:p w14:paraId="433EA130">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tcBorders>
              <w:bottom w:val="single" w:color="auto" w:sz="4" w:space="0"/>
            </w:tcBorders>
            <w:noWrap w:val="0"/>
            <w:vAlign w:val="center"/>
          </w:tcPr>
          <w:p w14:paraId="3C714914">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固定值</w:t>
            </w:r>
          </w:p>
        </w:tc>
      </w:tr>
      <w:tr w14:paraId="4D2A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bottom w:val="single" w:color="auto" w:sz="4" w:space="0"/>
            </w:tcBorders>
            <w:noWrap w:val="0"/>
            <w:vAlign w:val="center"/>
          </w:tcPr>
          <w:p w14:paraId="6DE9DF11">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指令MID</w:t>
            </w:r>
          </w:p>
        </w:tc>
        <w:tc>
          <w:tcPr>
            <w:tcW w:w="1095" w:type="dxa"/>
            <w:tcBorders>
              <w:bottom w:val="single" w:color="auto" w:sz="4" w:space="0"/>
            </w:tcBorders>
            <w:noWrap w:val="0"/>
            <w:vAlign w:val="center"/>
          </w:tcPr>
          <w:p w14:paraId="5691E72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2Byte</w:t>
            </w:r>
          </w:p>
        </w:tc>
        <w:tc>
          <w:tcPr>
            <w:tcW w:w="4730" w:type="dxa"/>
            <w:tcBorders>
              <w:bottom w:val="single" w:color="auto" w:sz="4" w:space="0"/>
            </w:tcBorders>
            <w:noWrap w:val="0"/>
            <w:vAlign w:val="center"/>
          </w:tcPr>
          <w:p w14:paraId="3378BB4E">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指令标识，高字节在前，发起方生成，接收方原码返回</w:t>
            </w:r>
          </w:p>
        </w:tc>
      </w:tr>
      <w:tr w14:paraId="667E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tcBorders>
              <w:top w:val="single" w:color="auto" w:sz="4" w:space="0"/>
            </w:tcBorders>
            <w:noWrap w:val="0"/>
            <w:vAlign w:val="center"/>
          </w:tcPr>
          <w:p w14:paraId="29917ED9">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功能数据段</w:t>
            </w:r>
          </w:p>
        </w:tc>
        <w:tc>
          <w:tcPr>
            <w:tcW w:w="1095" w:type="dxa"/>
            <w:tcBorders>
              <w:top w:val="single" w:color="auto" w:sz="4" w:space="0"/>
            </w:tcBorders>
            <w:noWrap w:val="0"/>
            <w:vAlign w:val="center"/>
          </w:tcPr>
          <w:p w14:paraId="7B660663">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变长</w:t>
            </w:r>
          </w:p>
        </w:tc>
        <w:tc>
          <w:tcPr>
            <w:tcW w:w="4730" w:type="dxa"/>
            <w:tcBorders>
              <w:top w:val="single" w:color="auto" w:sz="4" w:space="0"/>
            </w:tcBorders>
            <w:noWrap w:val="0"/>
            <w:vAlign w:val="center"/>
          </w:tcPr>
          <w:p w14:paraId="4A352ED0">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zh-CN" w:eastAsia="zh-CN" w:bidi="ar-SA"/>
              </w:rPr>
            </w:pPr>
            <w:r>
              <w:rPr>
                <w:rFonts w:hint="eastAsia" w:ascii="宋体" w:hAnsi="宋体" w:eastAsia="宋体" w:cs="宋体"/>
                <w:b w:val="0"/>
                <w:bCs w:val="0"/>
                <w:color w:val="auto"/>
                <w:kern w:val="2"/>
                <w:sz w:val="21"/>
                <w:szCs w:val="21"/>
                <w:highlight w:val="none"/>
                <w:vertAlign w:val="baseline"/>
                <w:lang w:val="zh-CN" w:eastAsia="zh-CN" w:bidi="ar-SA"/>
              </w:rPr>
              <w:t>由功能码决定</w:t>
            </w:r>
          </w:p>
        </w:tc>
      </w:tr>
      <w:tr w14:paraId="4EE5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5B977044">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帧校验</w:t>
            </w:r>
          </w:p>
        </w:tc>
        <w:tc>
          <w:tcPr>
            <w:tcW w:w="1095" w:type="dxa"/>
            <w:noWrap w:val="0"/>
            <w:vAlign w:val="center"/>
          </w:tcPr>
          <w:p w14:paraId="77CA408D">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2CB9919D">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1D4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55" w:type="dxa"/>
            <w:noWrap w:val="0"/>
            <w:vAlign w:val="center"/>
          </w:tcPr>
          <w:p w14:paraId="7EB77E8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帧结束符（16H）</w:t>
            </w:r>
          </w:p>
        </w:tc>
        <w:tc>
          <w:tcPr>
            <w:tcW w:w="1095" w:type="dxa"/>
            <w:noWrap w:val="0"/>
            <w:vAlign w:val="center"/>
          </w:tcPr>
          <w:p w14:paraId="2D2EF1C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1Byte</w:t>
            </w:r>
          </w:p>
        </w:tc>
        <w:tc>
          <w:tcPr>
            <w:tcW w:w="4730" w:type="dxa"/>
            <w:noWrap w:val="0"/>
            <w:vAlign w:val="center"/>
          </w:tcPr>
          <w:p w14:paraId="4839362D">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固定值</w:t>
            </w:r>
          </w:p>
        </w:tc>
      </w:tr>
    </w:tbl>
    <w:p w14:paraId="096E27A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3.1.3 帧长度</w:t>
      </w:r>
    </w:p>
    <w:p w14:paraId="0B3F47D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帧长度由2字节表示，高字节在前，低字节在后。帧长度包含从帧起始符（68H，不含）开始至帧结束符（16H，不含）之间的字节总数。</w:t>
      </w:r>
    </w:p>
    <w:p w14:paraId="26ADD45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3.1.4 帧标识</w:t>
      </w:r>
    </w:p>
    <w:p w14:paraId="5923B1AC">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帧标识由1个字节表示，各二进制位组织格式如下：</w:t>
      </w:r>
    </w:p>
    <w:tbl>
      <w:tblPr>
        <w:tblStyle w:val="4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1693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40CBD1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1152" w:type="dxa"/>
            <w:noWrap w:val="0"/>
            <w:vAlign w:val="center"/>
          </w:tcPr>
          <w:p w14:paraId="4E0D71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1152" w:type="dxa"/>
            <w:noWrap w:val="0"/>
            <w:vAlign w:val="center"/>
          </w:tcPr>
          <w:p w14:paraId="78284A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1152" w:type="dxa"/>
            <w:noWrap w:val="0"/>
            <w:vAlign w:val="center"/>
          </w:tcPr>
          <w:p w14:paraId="5E4AEA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1152" w:type="dxa"/>
            <w:noWrap w:val="0"/>
            <w:vAlign w:val="center"/>
          </w:tcPr>
          <w:p w14:paraId="1979DF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1152" w:type="dxa"/>
            <w:noWrap w:val="0"/>
            <w:vAlign w:val="center"/>
          </w:tcPr>
          <w:p w14:paraId="638EC1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1152" w:type="dxa"/>
            <w:noWrap w:val="0"/>
            <w:vAlign w:val="center"/>
          </w:tcPr>
          <w:p w14:paraId="5CA22E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1152" w:type="dxa"/>
            <w:noWrap w:val="0"/>
            <w:vAlign w:val="center"/>
          </w:tcPr>
          <w:p w14:paraId="71069F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r>
      <w:tr w14:paraId="35B9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5C24B9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运行参数段标志</w:t>
            </w:r>
          </w:p>
        </w:tc>
        <w:tc>
          <w:tcPr>
            <w:tcW w:w="1152" w:type="dxa"/>
            <w:noWrap w:val="0"/>
            <w:vAlign w:val="center"/>
          </w:tcPr>
          <w:p w14:paraId="245F65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是否加密标志</w:t>
            </w:r>
          </w:p>
        </w:tc>
        <w:tc>
          <w:tcPr>
            <w:tcW w:w="1152" w:type="dxa"/>
            <w:noWrap w:val="0"/>
            <w:vAlign w:val="center"/>
          </w:tcPr>
          <w:p w14:paraId="764C19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分帧标识1</w:t>
            </w:r>
          </w:p>
        </w:tc>
        <w:tc>
          <w:tcPr>
            <w:tcW w:w="1152" w:type="dxa"/>
            <w:noWrap w:val="0"/>
            <w:vAlign w:val="center"/>
          </w:tcPr>
          <w:p w14:paraId="3BAD9F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分帧标识2</w:t>
            </w:r>
          </w:p>
        </w:tc>
        <w:tc>
          <w:tcPr>
            <w:tcW w:w="4608" w:type="dxa"/>
            <w:gridSpan w:val="4"/>
            <w:noWrap w:val="0"/>
            <w:vAlign w:val="center"/>
          </w:tcPr>
          <w:p w14:paraId="04B959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28"/>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帧流水号</w:t>
            </w:r>
          </w:p>
        </w:tc>
      </w:tr>
    </w:tbl>
    <w:p w14:paraId="7957B15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运行参数段标志：1表示该帧数据包含运行参数数据段，0表示不含运行参数数据段。运行参数段中包含设备信息和信号信息等，详见运行参数段章节。</w:t>
      </w:r>
    </w:p>
    <w:p w14:paraId="54A20A4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是否加密标志：1表示功能数据段已加密，0表示未加密。本协议规定使用AES-128/ECB/PKCS7Padding对数据进行加解密。</w:t>
      </w:r>
    </w:p>
    <w:p w14:paraId="6DC2980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分帧标识：由2个位组成，当数据量较大需要拆分为多帧传输时，每一帧都必须包含完整的帧组织框架（即每一帧都必须能够被独立解析）。</w:t>
      </w:r>
    </w:p>
    <w:p w14:paraId="16D20DB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分帧标识组合含义见下表：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320"/>
        <w:gridCol w:w="3615"/>
      </w:tblGrid>
      <w:tr w14:paraId="3E13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27F049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分帧标识1</w:t>
            </w:r>
          </w:p>
        </w:tc>
        <w:tc>
          <w:tcPr>
            <w:tcW w:w="1320" w:type="dxa"/>
            <w:noWrap w:val="0"/>
            <w:vAlign w:val="center"/>
          </w:tcPr>
          <w:p w14:paraId="524244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分帧标识2</w:t>
            </w:r>
          </w:p>
        </w:tc>
        <w:tc>
          <w:tcPr>
            <w:tcW w:w="3615" w:type="dxa"/>
            <w:noWrap w:val="0"/>
            <w:vAlign w:val="center"/>
          </w:tcPr>
          <w:p w14:paraId="40C99E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含义</w:t>
            </w:r>
          </w:p>
        </w:tc>
      </w:tr>
      <w:tr w14:paraId="4045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3A3D64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c>
          <w:tcPr>
            <w:tcW w:w="1320" w:type="dxa"/>
            <w:noWrap w:val="0"/>
            <w:vAlign w:val="center"/>
          </w:tcPr>
          <w:p w14:paraId="1BC272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c>
          <w:tcPr>
            <w:tcW w:w="3615" w:type="dxa"/>
            <w:noWrap w:val="0"/>
            <w:vAlign w:val="center"/>
          </w:tcPr>
          <w:p w14:paraId="36FB8F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传输分为多帧，当前为中间帧</w:t>
            </w:r>
          </w:p>
        </w:tc>
      </w:tr>
      <w:tr w14:paraId="66CA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137E60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c>
          <w:tcPr>
            <w:tcW w:w="1320" w:type="dxa"/>
            <w:noWrap w:val="0"/>
            <w:vAlign w:val="center"/>
          </w:tcPr>
          <w:p w14:paraId="30ED56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3615" w:type="dxa"/>
            <w:noWrap w:val="0"/>
            <w:vAlign w:val="center"/>
          </w:tcPr>
          <w:p w14:paraId="03729B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传输分为多帧，当前为结束帧</w:t>
            </w:r>
          </w:p>
        </w:tc>
      </w:tr>
      <w:tr w14:paraId="1E6C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4DFB83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1320" w:type="dxa"/>
            <w:noWrap w:val="0"/>
            <w:vAlign w:val="center"/>
          </w:tcPr>
          <w:p w14:paraId="4FD582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c>
          <w:tcPr>
            <w:tcW w:w="3615" w:type="dxa"/>
            <w:noWrap w:val="0"/>
            <w:vAlign w:val="center"/>
          </w:tcPr>
          <w:p w14:paraId="02FBD6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传输分为多帧，当前为第1帧，还有后续帧</w:t>
            </w:r>
          </w:p>
        </w:tc>
      </w:tr>
      <w:tr w14:paraId="2DEB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4" w:type="dxa"/>
            <w:noWrap w:val="0"/>
            <w:vAlign w:val="center"/>
          </w:tcPr>
          <w:p w14:paraId="3A6A19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1320" w:type="dxa"/>
            <w:noWrap w:val="0"/>
            <w:vAlign w:val="center"/>
          </w:tcPr>
          <w:p w14:paraId="2CE8EF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3615" w:type="dxa"/>
            <w:noWrap w:val="0"/>
            <w:vAlign w:val="center"/>
          </w:tcPr>
          <w:p w14:paraId="39280F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未分帧</w:t>
            </w:r>
          </w:p>
        </w:tc>
      </w:tr>
    </w:tbl>
    <w:p w14:paraId="53D247E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帧流水号：由4个位组成，取值0~15。用于标识数据帧通信流水号，终端每执行一次发送流水号加1，超过15后归0。</w:t>
      </w:r>
    </w:p>
    <w:p w14:paraId="1B57385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注意：重发数据帧流水号也应该加1，数据帧应使用指令MID来进行标识。</w:t>
      </w:r>
    </w:p>
    <w:p w14:paraId="7A08724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3.1.5 协议版本</w:t>
      </w:r>
    </w:p>
    <w:p w14:paraId="56106FE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协议版本号用于兼容性识别，版本号由1个字节组成，其中高4位表示主版本号，低4位表示子版本号。</w:t>
      </w:r>
    </w:p>
    <w:p w14:paraId="64F539E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必须正确上报该版本号信息，通信帧中版本号应使用该协议当前版本号。</w:t>
      </w:r>
    </w:p>
    <w:tbl>
      <w:tblPr>
        <w:tblStyle w:val="4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3A0D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61A847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1152" w:type="dxa"/>
            <w:noWrap w:val="0"/>
            <w:vAlign w:val="center"/>
          </w:tcPr>
          <w:p w14:paraId="33B1B7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1152" w:type="dxa"/>
            <w:noWrap w:val="0"/>
            <w:vAlign w:val="center"/>
          </w:tcPr>
          <w:p w14:paraId="195E94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1152" w:type="dxa"/>
            <w:noWrap w:val="0"/>
            <w:vAlign w:val="center"/>
          </w:tcPr>
          <w:p w14:paraId="5DC040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1152" w:type="dxa"/>
            <w:noWrap w:val="0"/>
            <w:vAlign w:val="center"/>
          </w:tcPr>
          <w:p w14:paraId="4DADC5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1152" w:type="dxa"/>
            <w:noWrap w:val="0"/>
            <w:vAlign w:val="center"/>
          </w:tcPr>
          <w:p w14:paraId="0F61B6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1152" w:type="dxa"/>
            <w:noWrap w:val="0"/>
            <w:vAlign w:val="center"/>
          </w:tcPr>
          <w:p w14:paraId="78416E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1152" w:type="dxa"/>
            <w:noWrap w:val="0"/>
            <w:vAlign w:val="center"/>
          </w:tcPr>
          <w:p w14:paraId="4C34E5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r>
      <w:tr w14:paraId="16FA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08" w:type="dxa"/>
            <w:gridSpan w:val="4"/>
            <w:noWrap w:val="0"/>
            <w:vAlign w:val="center"/>
          </w:tcPr>
          <w:p w14:paraId="7ED54D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主版本号</w:t>
            </w:r>
          </w:p>
        </w:tc>
        <w:tc>
          <w:tcPr>
            <w:tcW w:w="4608" w:type="dxa"/>
            <w:gridSpan w:val="4"/>
            <w:noWrap w:val="0"/>
            <w:vAlign w:val="center"/>
          </w:tcPr>
          <w:p w14:paraId="3219FC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子版本号</w:t>
            </w:r>
          </w:p>
        </w:tc>
      </w:tr>
    </w:tbl>
    <w:p w14:paraId="3567E3D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在协议版本更新和修订时涉及到原数据结构调整的将更新主版本号，不影响原数据结构或不影响原主要指令的修订将更新子版本号。</w:t>
      </w:r>
    </w:p>
    <w:p w14:paraId="22EE63C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3.1.6 设备地址</w:t>
      </w:r>
    </w:p>
    <w:p w14:paraId="1863E9C2">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设备地址由8字节的BCD码组成，设备地址规范如下图所示，不同类型设备需注意各部分代表不同含义。</w:t>
      </w:r>
    </w:p>
    <w:p w14:paraId="1A81863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厂商代码（1字节BCD）+年份（1字节BCD）+6字节BCD</w:t>
      </w:r>
    </w:p>
    <w:p w14:paraId="2F6A9E0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val="0"/>
          <w:bCs w:val="0"/>
          <w:color w:val="auto"/>
          <w:sz w:val="21"/>
          <w:szCs w:val="21"/>
          <w:highlight w:val="none"/>
        </w:rPr>
        <w:drawing>
          <wp:inline distT="0" distB="0" distL="114300" distR="114300">
            <wp:extent cx="4248150" cy="431165"/>
            <wp:effectExtent l="0" t="0" r="0" b="698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1"/>
                    <a:srcRect t="31413"/>
                    <a:stretch>
                      <a:fillRect/>
                    </a:stretch>
                  </pic:blipFill>
                  <pic:spPr>
                    <a:xfrm>
                      <a:off x="0" y="0"/>
                      <a:ext cx="4248150" cy="431165"/>
                    </a:xfrm>
                    <a:prstGeom prst="rect">
                      <a:avLst/>
                    </a:prstGeom>
                    <a:noFill/>
                    <a:ln>
                      <a:noFill/>
                    </a:ln>
                  </pic:spPr>
                </pic:pic>
              </a:graphicData>
            </a:graphic>
          </wp:inline>
        </w:drawing>
      </w:r>
    </w:p>
    <w:p w14:paraId="3FC9E53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设备为一体式水表（设备类型代码：1、2）：</w:t>
      </w:r>
    </w:p>
    <w:p w14:paraId="3F7383F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【2位厂商代码】：水表厂商代码，由信息部统一管理和分配；</w:t>
      </w:r>
    </w:p>
    <w:p w14:paraId="4FF3D41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【2位年份】：水表出厂年份；</w:t>
      </w:r>
    </w:p>
    <w:p w14:paraId="5A6F6C60">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【12位厂家自编BCD码】：水表表码，与表身码、表头显示码一致；</w:t>
      </w:r>
    </w:p>
    <w:p w14:paraId="03729E5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设备为分体式远传终端（采集智能水表）（设备类型代码：5）：</w:t>
      </w:r>
    </w:p>
    <w:p w14:paraId="6BFC65F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【2位厂商代码】：远传终端厂商代码，由信息部统一管理和分配；</w:t>
      </w:r>
    </w:p>
    <w:p w14:paraId="4DDB4C1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【2位年份】：远传终端出厂年份；</w:t>
      </w:r>
    </w:p>
    <w:p w14:paraId="05ECAE2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位厂家自编BCD码】：水表表码，与表身码、表头显示码一致（可以理解为将水表表码透传到平台。具备表码输出的表头建议动态读取表头输出的表码做为此部分内容，尽量不要配置为常量值，也必须避免出现上传平台的表码与现场水表表码不符）；</w:t>
      </w:r>
    </w:p>
    <w:p w14:paraId="75DEAD0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其它远传设备：</w:t>
      </w:r>
    </w:p>
    <w:p w14:paraId="5D9C647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【2位厂商代码】：设备厂商代码，由信息部统一管理和分配；</w:t>
      </w:r>
    </w:p>
    <w:p w14:paraId="1E556C51">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【2位年份】：设备出厂年份；</w:t>
      </w:r>
    </w:p>
    <w:p w14:paraId="5C47246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【12位厂家自编BCD码】：设备出厂编号；</w:t>
      </w:r>
    </w:p>
    <w:p w14:paraId="6DD210E6">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3.1.7 功能码</w:t>
      </w:r>
    </w:p>
    <w:p w14:paraId="62EBE42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功能码由1个字节组成，功能码决定数据段内容。部分功能码没有数据段。下表中的功能代码为十进制表示值。</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5892"/>
        <w:gridCol w:w="2011"/>
      </w:tblGrid>
      <w:tr w14:paraId="4697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08C29A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功能码</w:t>
            </w:r>
          </w:p>
        </w:tc>
        <w:tc>
          <w:tcPr>
            <w:tcW w:w="5892" w:type="dxa"/>
            <w:noWrap w:val="0"/>
            <w:vAlign w:val="center"/>
          </w:tcPr>
          <w:p w14:paraId="0CD7F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功能码用途</w:t>
            </w:r>
          </w:p>
        </w:tc>
        <w:tc>
          <w:tcPr>
            <w:tcW w:w="2011" w:type="dxa"/>
            <w:noWrap w:val="0"/>
            <w:vAlign w:val="center"/>
          </w:tcPr>
          <w:p w14:paraId="1A95A3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方向</w:t>
            </w:r>
          </w:p>
        </w:tc>
      </w:tr>
      <w:tr w14:paraId="2030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0DC8A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c>
          <w:tcPr>
            <w:tcW w:w="5892" w:type="dxa"/>
            <w:noWrap w:val="0"/>
            <w:vAlign w:val="center"/>
          </w:tcPr>
          <w:p w14:paraId="53B0C4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保留</w:t>
            </w:r>
          </w:p>
        </w:tc>
        <w:tc>
          <w:tcPr>
            <w:tcW w:w="2011" w:type="dxa"/>
            <w:noWrap w:val="0"/>
            <w:vAlign w:val="center"/>
          </w:tcPr>
          <w:p w14:paraId="450A07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08D6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56D55C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5892" w:type="dxa"/>
            <w:noWrap w:val="0"/>
            <w:vAlign w:val="center"/>
          </w:tcPr>
          <w:p w14:paraId="7BE78C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主动上报数据指令</w:t>
            </w:r>
          </w:p>
        </w:tc>
        <w:tc>
          <w:tcPr>
            <w:tcW w:w="2011" w:type="dxa"/>
            <w:noWrap w:val="0"/>
            <w:vAlign w:val="center"/>
          </w:tcPr>
          <w:p w14:paraId="2C23ED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设备发起</w:t>
            </w:r>
          </w:p>
        </w:tc>
      </w:tr>
      <w:tr w14:paraId="55C3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26C59F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5892" w:type="dxa"/>
            <w:noWrap w:val="0"/>
            <w:vAlign w:val="center"/>
          </w:tcPr>
          <w:p w14:paraId="4D7423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数据查询指令</w:t>
            </w:r>
          </w:p>
        </w:tc>
        <w:tc>
          <w:tcPr>
            <w:tcW w:w="2011" w:type="dxa"/>
            <w:noWrap w:val="0"/>
            <w:vAlign w:val="center"/>
          </w:tcPr>
          <w:p w14:paraId="585647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平台发起</w:t>
            </w:r>
          </w:p>
        </w:tc>
      </w:tr>
      <w:tr w14:paraId="07F7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297606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5892" w:type="dxa"/>
            <w:noWrap w:val="0"/>
            <w:vAlign w:val="center"/>
          </w:tcPr>
          <w:p w14:paraId="55C5FB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告警上报指令</w:t>
            </w:r>
          </w:p>
        </w:tc>
        <w:tc>
          <w:tcPr>
            <w:tcW w:w="2011" w:type="dxa"/>
            <w:noWrap w:val="0"/>
            <w:vAlign w:val="center"/>
          </w:tcPr>
          <w:p w14:paraId="7FD773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设备发起</w:t>
            </w:r>
          </w:p>
        </w:tc>
      </w:tr>
      <w:tr w14:paraId="4276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672DA8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5892" w:type="dxa"/>
            <w:noWrap w:val="0"/>
            <w:vAlign w:val="center"/>
          </w:tcPr>
          <w:p w14:paraId="3DC096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设置终端时钟</w:t>
            </w:r>
          </w:p>
        </w:tc>
        <w:tc>
          <w:tcPr>
            <w:tcW w:w="2011" w:type="dxa"/>
            <w:noWrap w:val="0"/>
            <w:vAlign w:val="center"/>
          </w:tcPr>
          <w:p w14:paraId="33F0A0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13F4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366832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5892" w:type="dxa"/>
            <w:noWrap w:val="0"/>
            <w:vAlign w:val="center"/>
          </w:tcPr>
          <w:p w14:paraId="30130A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设置历史数据存盘间隔</w:t>
            </w:r>
          </w:p>
        </w:tc>
        <w:tc>
          <w:tcPr>
            <w:tcW w:w="2011" w:type="dxa"/>
            <w:noWrap w:val="0"/>
            <w:vAlign w:val="center"/>
          </w:tcPr>
          <w:p w14:paraId="09D7FA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3AA9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0FEEE9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5892" w:type="dxa"/>
            <w:noWrap w:val="0"/>
            <w:vAlign w:val="center"/>
          </w:tcPr>
          <w:p w14:paraId="08C486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设置主动上报参数</w:t>
            </w:r>
          </w:p>
        </w:tc>
        <w:tc>
          <w:tcPr>
            <w:tcW w:w="2011" w:type="dxa"/>
            <w:noWrap w:val="0"/>
            <w:vAlign w:val="center"/>
          </w:tcPr>
          <w:p w14:paraId="039587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11D0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noWrap w:val="0"/>
            <w:vAlign w:val="center"/>
          </w:tcPr>
          <w:p w14:paraId="7E0C36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5892" w:type="dxa"/>
            <w:noWrap w:val="0"/>
            <w:vAlign w:val="center"/>
          </w:tcPr>
          <w:p w14:paraId="50AF66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设置数据中心地址</w:t>
            </w:r>
          </w:p>
        </w:tc>
        <w:tc>
          <w:tcPr>
            <w:tcW w:w="2011" w:type="dxa"/>
            <w:noWrap w:val="0"/>
            <w:vAlign w:val="center"/>
          </w:tcPr>
          <w:p w14:paraId="5D4DCB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45EC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7297B4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w:t>
            </w:r>
          </w:p>
        </w:tc>
        <w:tc>
          <w:tcPr>
            <w:tcW w:w="5892" w:type="dxa"/>
            <w:noWrap w:val="0"/>
            <w:vAlign w:val="center"/>
          </w:tcPr>
          <w:p w14:paraId="3D7A0D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设置终端工作模式</w:t>
            </w:r>
          </w:p>
        </w:tc>
        <w:tc>
          <w:tcPr>
            <w:tcW w:w="2011" w:type="dxa"/>
            <w:noWrap w:val="0"/>
            <w:vAlign w:val="center"/>
          </w:tcPr>
          <w:p w14:paraId="791B1F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0209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45CD97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9</w:t>
            </w:r>
          </w:p>
        </w:tc>
        <w:tc>
          <w:tcPr>
            <w:tcW w:w="5892" w:type="dxa"/>
            <w:noWrap w:val="0"/>
            <w:vAlign w:val="center"/>
          </w:tcPr>
          <w:p w14:paraId="571253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设置终端地址</w:t>
            </w:r>
          </w:p>
        </w:tc>
        <w:tc>
          <w:tcPr>
            <w:tcW w:w="2011" w:type="dxa"/>
            <w:noWrap w:val="0"/>
            <w:vAlign w:val="center"/>
          </w:tcPr>
          <w:p w14:paraId="720569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2B79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70A602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10</w:t>
            </w:r>
          </w:p>
        </w:tc>
        <w:tc>
          <w:tcPr>
            <w:tcW w:w="5892" w:type="dxa"/>
            <w:noWrap w:val="0"/>
            <w:vAlign w:val="center"/>
          </w:tcPr>
          <w:p w14:paraId="473215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设置加密标志</w:t>
            </w:r>
          </w:p>
        </w:tc>
        <w:tc>
          <w:tcPr>
            <w:tcW w:w="2011" w:type="dxa"/>
            <w:noWrap w:val="0"/>
            <w:vAlign w:val="center"/>
          </w:tcPr>
          <w:p w14:paraId="087F51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3EAF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13BDEC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11</w:t>
            </w:r>
          </w:p>
        </w:tc>
        <w:tc>
          <w:tcPr>
            <w:tcW w:w="5892" w:type="dxa"/>
            <w:noWrap w:val="0"/>
            <w:vAlign w:val="center"/>
          </w:tcPr>
          <w:p w14:paraId="2E1205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查询历史数据存盘间隔</w:t>
            </w:r>
          </w:p>
        </w:tc>
        <w:tc>
          <w:tcPr>
            <w:tcW w:w="2011" w:type="dxa"/>
            <w:noWrap w:val="0"/>
            <w:vAlign w:val="center"/>
          </w:tcPr>
          <w:p w14:paraId="1B1D80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6BE4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222EA2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12</w:t>
            </w:r>
          </w:p>
        </w:tc>
        <w:tc>
          <w:tcPr>
            <w:tcW w:w="5892" w:type="dxa"/>
            <w:noWrap w:val="0"/>
            <w:vAlign w:val="center"/>
          </w:tcPr>
          <w:p w14:paraId="57D8DD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查询主动上报参数</w:t>
            </w:r>
          </w:p>
        </w:tc>
        <w:tc>
          <w:tcPr>
            <w:tcW w:w="2011" w:type="dxa"/>
            <w:noWrap w:val="0"/>
            <w:vAlign w:val="center"/>
          </w:tcPr>
          <w:p w14:paraId="1B0E02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r w14:paraId="139B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0"/>
            <w:vAlign w:val="center"/>
          </w:tcPr>
          <w:p w14:paraId="3120FF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13</w:t>
            </w:r>
          </w:p>
        </w:tc>
        <w:tc>
          <w:tcPr>
            <w:tcW w:w="5892" w:type="dxa"/>
            <w:noWrap w:val="0"/>
            <w:vAlign w:val="center"/>
          </w:tcPr>
          <w:p w14:paraId="1CF156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查询数据中心地址</w:t>
            </w:r>
          </w:p>
        </w:tc>
        <w:tc>
          <w:tcPr>
            <w:tcW w:w="2011" w:type="dxa"/>
            <w:noWrap w:val="0"/>
            <w:vAlign w:val="center"/>
          </w:tcPr>
          <w:p w14:paraId="24D12B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平台发起</w:t>
            </w:r>
          </w:p>
        </w:tc>
      </w:tr>
    </w:tbl>
    <w:p w14:paraId="4EDCD3F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3.1.8 运行参数段</w:t>
      </w:r>
    </w:p>
    <w:p w14:paraId="0EADD2B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运行参数段用于传输设备当前工作参数数据，包括电压、信号等数据。运行参数段是一个可选数据段，是否包含运行参数段由帧标识字节中的最高位进行标识。</w:t>
      </w:r>
    </w:p>
    <w:p w14:paraId="5B25D9A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在分帧传输时首帧必须包含运行参数段，后续帧可以不包含运行参数段。</w:t>
      </w:r>
    </w:p>
    <w:p w14:paraId="6A27DCAE">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运行参数段中，设备不具备条件的参数信息使用0填充。</w:t>
      </w:r>
    </w:p>
    <w:p w14:paraId="003692D8">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（1）设备标识</w:t>
      </w:r>
    </w:p>
    <w:p w14:paraId="661D45A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设备标识由1个字节组成，其中最高位表示设备工作模式，低7位表示设备类型。</w:t>
      </w:r>
    </w:p>
    <w:tbl>
      <w:tblPr>
        <w:tblStyle w:val="4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2"/>
      </w:tblGrid>
      <w:tr w14:paraId="4445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3B0FD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1152" w:type="dxa"/>
            <w:noWrap w:val="0"/>
            <w:vAlign w:val="center"/>
          </w:tcPr>
          <w:p w14:paraId="6B39C5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1152" w:type="dxa"/>
            <w:noWrap w:val="0"/>
            <w:vAlign w:val="center"/>
          </w:tcPr>
          <w:p w14:paraId="1E1D9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1152" w:type="dxa"/>
            <w:noWrap w:val="0"/>
            <w:vAlign w:val="center"/>
          </w:tcPr>
          <w:p w14:paraId="01037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1152" w:type="dxa"/>
            <w:noWrap w:val="0"/>
            <w:vAlign w:val="center"/>
          </w:tcPr>
          <w:p w14:paraId="060056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1152" w:type="dxa"/>
            <w:noWrap w:val="0"/>
            <w:vAlign w:val="center"/>
          </w:tcPr>
          <w:p w14:paraId="753617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1152" w:type="dxa"/>
            <w:noWrap w:val="0"/>
            <w:vAlign w:val="center"/>
          </w:tcPr>
          <w:p w14:paraId="093C86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1152" w:type="dxa"/>
            <w:noWrap w:val="0"/>
            <w:vAlign w:val="center"/>
          </w:tcPr>
          <w:p w14:paraId="520B97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r>
      <w:tr w14:paraId="70E2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52" w:type="dxa"/>
            <w:noWrap w:val="0"/>
            <w:vAlign w:val="center"/>
          </w:tcPr>
          <w:p w14:paraId="1FE60D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工作模式</w:t>
            </w:r>
          </w:p>
        </w:tc>
        <w:tc>
          <w:tcPr>
            <w:tcW w:w="8064" w:type="dxa"/>
            <w:gridSpan w:val="7"/>
            <w:noWrap w:val="0"/>
            <w:vAlign w:val="center"/>
          </w:tcPr>
          <w:p w14:paraId="62595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设备类型代码</w:t>
            </w:r>
          </w:p>
        </w:tc>
      </w:tr>
    </w:tbl>
    <w:p w14:paraId="795A5F5D">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工作模式：0表示设备处于休眠工作模式，1表示设备处于长期在线待命状态。</w:t>
      </w:r>
    </w:p>
    <w:p w14:paraId="7269ED7F">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设备类型代码：表示设备种类代码，代码表见附录A。</w:t>
      </w:r>
    </w:p>
    <w:p w14:paraId="5733EE8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（2）设备电压</w:t>
      </w:r>
    </w:p>
    <w:p w14:paraId="278210A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由2字节组成，高字节在前，低字节在后。设备上发时将电压放大100倍后使用整型传输，上位机解码时将数值还原。对于存在表芯电压与远传模块电压的设备，此处应为远传模块电压，表芯电压放在32H数据段。对于只有一个电压的设备，此处为32H数据段中的最新值。</w:t>
      </w:r>
    </w:p>
    <w:p w14:paraId="3BEA03D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示例： 02H E8H = 744 * 0.01 =7.44V</w:t>
      </w:r>
    </w:p>
    <w:p w14:paraId="440A5F6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（3）信号强度</w:t>
      </w:r>
    </w:p>
    <w:p w14:paraId="6DD3B2E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信号强度（CSQ）由1字节组成。</w:t>
      </w:r>
    </w:p>
    <w:p w14:paraId="52F3A64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（4）接收功率</w:t>
      </w:r>
    </w:p>
    <w:p w14:paraId="10F491A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信号接收功率（RSRP）由2字节组成，高字节在前，低字节在后。</w:t>
      </w:r>
    </w:p>
    <w:p w14:paraId="53BF8B0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（5）信噪比</w:t>
      </w:r>
    </w:p>
    <w:p w14:paraId="521A490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信噪比（SNR）由2字节组成，高字节在前，低字节在后。</w:t>
      </w:r>
    </w:p>
    <w:p w14:paraId="474148E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（6）覆盖等级</w:t>
      </w:r>
    </w:p>
    <w:p w14:paraId="38AA50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覆盖等级（ECL）由1字节组成。</w:t>
      </w:r>
    </w:p>
    <w:p w14:paraId="2A5E754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（7）小区ID</w:t>
      </w:r>
    </w:p>
    <w:p w14:paraId="0B2FE33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小区ID（PCI）由4字节组成，高字节在前，低字节在后。</w:t>
      </w:r>
    </w:p>
    <w:p w14:paraId="0369141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（8）IMEI标识</w:t>
      </w:r>
    </w:p>
    <w:p w14:paraId="1A19BBD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IMEI标识由8字节BCD组成。</w:t>
      </w:r>
    </w:p>
    <w:p w14:paraId="5D74AF4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（9）SIM标识</w:t>
      </w:r>
    </w:p>
    <w:p w14:paraId="4A51C5B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SIM标识由10字节BCD组成，即ICCID。</w:t>
      </w:r>
    </w:p>
    <w:p w14:paraId="232BBF3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3.1.9 指令MID</w:t>
      </w:r>
    </w:p>
    <w:p w14:paraId="2FA7CEC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指令MID用于识别指令任务，该值由发起方生成，接收方原码返回。指令重发MID不变。功能码01数据帧MID保持为0。</w:t>
      </w:r>
    </w:p>
    <w:p w14:paraId="71B851F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3.1.10 功能数据段</w:t>
      </w:r>
    </w:p>
    <w:p w14:paraId="70AB445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整体协议框架中规定功能数据段为可变数据格式，数据格式和长度由功能码决定。详见第5章功能</w:t>
      </w:r>
    </w:p>
    <w:p w14:paraId="3AF29B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3.1.11 帧校验</w:t>
      </w:r>
    </w:p>
    <w:p w14:paraId="6CFD52F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帧校验和为1个字节，是从帧起始符（68H，包含68H）开始至校验字节前的所有字节的8位位组算术和，不考虑溢出位。若这些校验有一个失败，舍弃此帧，若无差错，则此帧数据有效。</w:t>
      </w:r>
    </w:p>
    <w:p w14:paraId="469DACA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3.2 应用数据结构</w:t>
      </w:r>
    </w:p>
    <w:p w14:paraId="4008C4E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3.2.1 功能码01（主动上报数据指令）</w:t>
      </w:r>
    </w:p>
    <w:p w14:paraId="402B32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功能码01用于设备主动周期性上报历史或实时数据，该功能码由设备端主动发起。</w:t>
      </w:r>
    </w:p>
    <w:p w14:paraId="15A4304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（1）上行数据段格式</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5FB2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FE214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6C6E1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6B1DCA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39F913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0DD0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085D6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数据起始时间</w:t>
            </w:r>
          </w:p>
        </w:tc>
        <w:tc>
          <w:tcPr>
            <w:tcW w:w="2345" w:type="dxa"/>
            <w:noWrap w:val="0"/>
            <w:vAlign w:val="center"/>
          </w:tcPr>
          <w:p w14:paraId="404AB7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00895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BCD码：YYMMDDHHNNSS</w:t>
            </w:r>
          </w:p>
        </w:tc>
        <w:tc>
          <w:tcPr>
            <w:tcW w:w="2345" w:type="dxa"/>
            <w:noWrap w:val="0"/>
            <w:vAlign w:val="center"/>
          </w:tcPr>
          <w:p w14:paraId="399C44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3AD764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r w14:paraId="3519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EF5CF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时间段个数</w:t>
            </w:r>
          </w:p>
        </w:tc>
        <w:tc>
          <w:tcPr>
            <w:tcW w:w="2345" w:type="dxa"/>
            <w:noWrap w:val="0"/>
            <w:vAlign w:val="center"/>
          </w:tcPr>
          <w:p w14:paraId="1023D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72A0AA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23FBD5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1F7E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7E5F3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时间间隔</w:t>
            </w:r>
          </w:p>
        </w:tc>
        <w:tc>
          <w:tcPr>
            <w:tcW w:w="2345" w:type="dxa"/>
            <w:noWrap w:val="0"/>
            <w:vAlign w:val="center"/>
          </w:tcPr>
          <w:p w14:paraId="2F410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3F07FF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高字节在前</w:t>
            </w:r>
          </w:p>
        </w:tc>
        <w:tc>
          <w:tcPr>
            <w:tcW w:w="2345" w:type="dxa"/>
            <w:noWrap w:val="0"/>
            <w:vAlign w:val="center"/>
          </w:tcPr>
          <w:p w14:paraId="6E7CFB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50A5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0CB07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数据类型1数据</w:t>
            </w:r>
          </w:p>
        </w:tc>
        <w:tc>
          <w:tcPr>
            <w:tcW w:w="2345" w:type="dxa"/>
            <w:noWrap w:val="0"/>
            <w:vAlign w:val="center"/>
          </w:tcPr>
          <w:p w14:paraId="36F4B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4DACE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见附录C</w:t>
            </w:r>
          </w:p>
        </w:tc>
        <w:tc>
          <w:tcPr>
            <w:tcW w:w="2345" w:type="dxa"/>
            <w:noWrap w:val="0"/>
            <w:vAlign w:val="center"/>
          </w:tcPr>
          <w:p w14:paraId="6C0D9C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3F1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3635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数据类型2数据</w:t>
            </w:r>
          </w:p>
        </w:tc>
        <w:tc>
          <w:tcPr>
            <w:tcW w:w="2345" w:type="dxa"/>
            <w:noWrap w:val="0"/>
            <w:vAlign w:val="center"/>
          </w:tcPr>
          <w:p w14:paraId="6D59B0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48D0EB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见附录C</w:t>
            </w:r>
          </w:p>
        </w:tc>
        <w:tc>
          <w:tcPr>
            <w:tcW w:w="2345" w:type="dxa"/>
            <w:noWrap w:val="0"/>
            <w:vAlign w:val="center"/>
          </w:tcPr>
          <w:p w14:paraId="1E7268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045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01B2F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2345" w:type="dxa"/>
            <w:noWrap w:val="0"/>
            <w:vAlign w:val="center"/>
          </w:tcPr>
          <w:p w14:paraId="74A2BF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0D385C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1E1BF6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09ECDB93">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91" w:name="_Toc28194"/>
      <w:bookmarkStart w:id="492" w:name="_Toc5726"/>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下行数据段格式</w:t>
      </w:r>
      <w:bookmarkEnd w:id="491"/>
      <w:bookmarkEnd w:id="492"/>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0CD6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D567A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62C0E7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26B2E9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253809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19AD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70BE5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平台当前时间</w:t>
            </w:r>
          </w:p>
        </w:tc>
        <w:tc>
          <w:tcPr>
            <w:tcW w:w="2345" w:type="dxa"/>
            <w:noWrap w:val="0"/>
            <w:vAlign w:val="center"/>
          </w:tcPr>
          <w:p w14:paraId="1DF67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4AE661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BCD码：YYMMDDHHNNSS</w:t>
            </w:r>
          </w:p>
        </w:tc>
        <w:tc>
          <w:tcPr>
            <w:tcW w:w="2345" w:type="dxa"/>
            <w:noWrap w:val="0"/>
            <w:vAlign w:val="center"/>
          </w:tcPr>
          <w:p w14:paraId="1A547B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704BAE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bl>
    <w:p w14:paraId="5EA20939">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93" w:name="_Toc22170"/>
      <w:bookmarkStart w:id="494" w:name="_Toc29486"/>
      <w:r>
        <w:rPr>
          <w:rFonts w:hint="eastAsia" w:ascii="宋体" w:hAnsi="宋体" w:eastAsia="宋体" w:cs="宋体"/>
          <w:b w:val="0"/>
          <w:bCs w:val="0"/>
          <w:color w:val="auto"/>
          <w:kern w:val="0"/>
          <w:sz w:val="21"/>
          <w:szCs w:val="21"/>
          <w:highlight w:val="none"/>
          <w:lang w:val="en-US" w:eastAsia="zh-CN" w:bidi="ar-SA"/>
        </w:rPr>
        <w:t>备注：设备可通过NB模组实现与基站时钟校准，也可使用该下行数据中的平台当前时间进行时钟校准。</w:t>
      </w:r>
      <w:bookmarkEnd w:id="493"/>
      <w:bookmarkEnd w:id="494"/>
    </w:p>
    <w:p w14:paraId="6D72087D">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495" w:name="_Toc14320"/>
      <w:bookmarkStart w:id="496" w:name="_Toc25014"/>
      <w:r>
        <w:rPr>
          <w:rFonts w:hint="eastAsia" w:ascii="宋体" w:hAnsi="宋体" w:eastAsia="宋体" w:cs="宋体"/>
          <w:b w:val="0"/>
          <w:bCs w:val="0"/>
          <w:color w:val="auto"/>
          <w:kern w:val="0"/>
          <w:sz w:val="21"/>
          <w:szCs w:val="21"/>
          <w:highlight w:val="none"/>
          <w:lang w:val="en-US" w:eastAsia="zh-CN" w:bidi="ar-SA"/>
        </w:rPr>
        <w:t>3.2.2 功能码02（数据查询指令）</w:t>
      </w:r>
      <w:bookmarkEnd w:id="495"/>
      <w:bookmarkEnd w:id="496"/>
    </w:p>
    <w:p w14:paraId="177B574A">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功能码02由平台主动发起，用于向设备查询某一时间节点的历史数据或实时数据。</w:t>
      </w:r>
    </w:p>
    <w:p w14:paraId="4A0D08F9">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97" w:name="_Toc14089"/>
      <w:bookmarkStart w:id="498" w:name="_Toc11530"/>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497"/>
      <w:bookmarkEnd w:id="498"/>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7B49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C68B5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4713BB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4B154C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1C002A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2977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08FBF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数据起始时间</w:t>
            </w:r>
          </w:p>
        </w:tc>
        <w:tc>
          <w:tcPr>
            <w:tcW w:w="2345" w:type="dxa"/>
            <w:noWrap w:val="0"/>
            <w:vAlign w:val="center"/>
          </w:tcPr>
          <w:p w14:paraId="683097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3C5F35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BCD码：YYMMDDHHNNSS</w:t>
            </w:r>
          </w:p>
        </w:tc>
        <w:tc>
          <w:tcPr>
            <w:tcW w:w="2345" w:type="dxa"/>
            <w:noWrap w:val="0"/>
            <w:vAlign w:val="center"/>
          </w:tcPr>
          <w:p w14:paraId="7181D0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59A064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r w14:paraId="1F8F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C3C68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时间段个数</w:t>
            </w:r>
          </w:p>
        </w:tc>
        <w:tc>
          <w:tcPr>
            <w:tcW w:w="2345" w:type="dxa"/>
            <w:noWrap w:val="0"/>
            <w:vAlign w:val="center"/>
          </w:tcPr>
          <w:p w14:paraId="2E01BF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28F6C0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2035CF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w:t>
            </w:r>
          </w:p>
        </w:tc>
      </w:tr>
      <w:tr w14:paraId="117D2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B51B2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时间间隔</w:t>
            </w:r>
          </w:p>
        </w:tc>
        <w:tc>
          <w:tcPr>
            <w:tcW w:w="2345" w:type="dxa"/>
            <w:noWrap w:val="0"/>
            <w:vAlign w:val="center"/>
          </w:tcPr>
          <w:p w14:paraId="027EBA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39905A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高字节在前</w:t>
            </w:r>
          </w:p>
        </w:tc>
        <w:tc>
          <w:tcPr>
            <w:tcW w:w="2345" w:type="dxa"/>
            <w:noWrap w:val="0"/>
            <w:vAlign w:val="center"/>
          </w:tcPr>
          <w:p w14:paraId="57EFBA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3C877EF8">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备注：当数据起始时间6字节BCD全部为0时返回设备当时内存实时数据，并且上报数据段中的时间为设备当前时间。</w:t>
      </w:r>
    </w:p>
    <w:p w14:paraId="21B2FA96">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499" w:name="_Toc18063"/>
      <w:bookmarkStart w:id="500" w:name="_Toc17615"/>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499"/>
      <w:bookmarkEnd w:id="500"/>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15D2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A8CE6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39FCB9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2378B1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72F131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043C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8F950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数据起始时间</w:t>
            </w:r>
          </w:p>
        </w:tc>
        <w:tc>
          <w:tcPr>
            <w:tcW w:w="2345" w:type="dxa"/>
            <w:noWrap w:val="0"/>
            <w:vAlign w:val="center"/>
          </w:tcPr>
          <w:p w14:paraId="197847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56BB8B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BCD码：YYMMDDHHNNSS</w:t>
            </w:r>
          </w:p>
        </w:tc>
        <w:tc>
          <w:tcPr>
            <w:tcW w:w="2345" w:type="dxa"/>
            <w:noWrap w:val="0"/>
            <w:vAlign w:val="center"/>
          </w:tcPr>
          <w:p w14:paraId="2783AC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6BC84E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r w14:paraId="0677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DA09C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时间段个数</w:t>
            </w:r>
          </w:p>
        </w:tc>
        <w:tc>
          <w:tcPr>
            <w:tcW w:w="2345" w:type="dxa"/>
            <w:noWrap w:val="0"/>
            <w:vAlign w:val="center"/>
          </w:tcPr>
          <w:p w14:paraId="78CA26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27635E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309416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D2C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40392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时间间隔</w:t>
            </w:r>
          </w:p>
        </w:tc>
        <w:tc>
          <w:tcPr>
            <w:tcW w:w="2345" w:type="dxa"/>
            <w:noWrap w:val="0"/>
            <w:vAlign w:val="center"/>
          </w:tcPr>
          <w:p w14:paraId="2DCD56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66DF06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高字节在前</w:t>
            </w:r>
          </w:p>
        </w:tc>
        <w:tc>
          <w:tcPr>
            <w:tcW w:w="2345" w:type="dxa"/>
            <w:noWrap w:val="0"/>
            <w:vAlign w:val="center"/>
          </w:tcPr>
          <w:p w14:paraId="77B051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05F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4E53F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数据类型1数据</w:t>
            </w:r>
          </w:p>
        </w:tc>
        <w:tc>
          <w:tcPr>
            <w:tcW w:w="2345" w:type="dxa"/>
            <w:noWrap w:val="0"/>
            <w:vAlign w:val="center"/>
          </w:tcPr>
          <w:p w14:paraId="4BC783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6322A9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见附录C</w:t>
            </w:r>
          </w:p>
        </w:tc>
        <w:tc>
          <w:tcPr>
            <w:tcW w:w="2345" w:type="dxa"/>
            <w:noWrap w:val="0"/>
            <w:vAlign w:val="center"/>
          </w:tcPr>
          <w:p w14:paraId="61EB3E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367B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D7DCE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数据类型2数据</w:t>
            </w:r>
          </w:p>
        </w:tc>
        <w:tc>
          <w:tcPr>
            <w:tcW w:w="2345" w:type="dxa"/>
            <w:noWrap w:val="0"/>
            <w:vAlign w:val="center"/>
          </w:tcPr>
          <w:p w14:paraId="2C1466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2147DE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见附录C</w:t>
            </w:r>
          </w:p>
        </w:tc>
        <w:tc>
          <w:tcPr>
            <w:tcW w:w="2345" w:type="dxa"/>
            <w:noWrap w:val="0"/>
            <w:vAlign w:val="center"/>
          </w:tcPr>
          <w:p w14:paraId="4B066D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7A57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21A5D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2345" w:type="dxa"/>
            <w:noWrap w:val="0"/>
            <w:vAlign w:val="center"/>
          </w:tcPr>
          <w:p w14:paraId="15EC0E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6B5DCE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345" w:type="dxa"/>
            <w:noWrap w:val="0"/>
            <w:vAlign w:val="center"/>
          </w:tcPr>
          <w:p w14:paraId="4C41A0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603AB487">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备注：指令执行失败则数据段全部字节置FF、并且不用上发数据类型数据段。</w:t>
      </w:r>
    </w:p>
    <w:p w14:paraId="1B6548E5">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01" w:name="_Toc20275"/>
      <w:bookmarkStart w:id="502" w:name="_Toc5300"/>
      <w:r>
        <w:rPr>
          <w:rFonts w:hint="eastAsia" w:ascii="宋体" w:hAnsi="宋体" w:eastAsia="宋体" w:cs="宋体"/>
          <w:b w:val="0"/>
          <w:bCs w:val="0"/>
          <w:color w:val="auto"/>
          <w:kern w:val="0"/>
          <w:sz w:val="21"/>
          <w:szCs w:val="21"/>
          <w:highlight w:val="none"/>
          <w:lang w:val="en-US" w:eastAsia="zh-CN" w:bidi="ar-SA"/>
        </w:rPr>
        <w:t>3.2.3 功能码03（告警上报指令）</w:t>
      </w:r>
      <w:bookmarkEnd w:id="501"/>
      <w:bookmarkEnd w:id="502"/>
    </w:p>
    <w:p w14:paraId="7F55041E">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告警上报指令由设备主动发起。</w:t>
      </w:r>
    </w:p>
    <w:p w14:paraId="31783E1E">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503" w:name="_Toc10779"/>
      <w:bookmarkStart w:id="504" w:name="_Toc7824"/>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上行数据段格式</w:t>
      </w:r>
      <w:bookmarkEnd w:id="503"/>
      <w:bookmarkEnd w:id="504"/>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7AE9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D31FE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5810A79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3B34E4F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7B1134D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5743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0C8DF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事件代码</w:t>
            </w:r>
          </w:p>
        </w:tc>
        <w:tc>
          <w:tcPr>
            <w:tcW w:w="2345" w:type="dxa"/>
            <w:noWrap w:val="0"/>
            <w:vAlign w:val="center"/>
          </w:tcPr>
          <w:p w14:paraId="080CB7F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2345" w:type="dxa"/>
            <w:noWrap w:val="0"/>
            <w:vAlign w:val="center"/>
          </w:tcPr>
          <w:p w14:paraId="68CBC5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高字节在前，每个二进制位代表一种事件类型。事件代码表见附录B</w:t>
            </w:r>
          </w:p>
        </w:tc>
        <w:tc>
          <w:tcPr>
            <w:tcW w:w="2345" w:type="dxa"/>
            <w:noWrap w:val="0"/>
            <w:vAlign w:val="center"/>
          </w:tcPr>
          <w:p w14:paraId="45BC6E4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61C2E058">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505" w:name="_Toc14993"/>
      <w:bookmarkStart w:id="506" w:name="_Toc1993"/>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下行数据段格式</w:t>
      </w:r>
      <w:bookmarkEnd w:id="505"/>
      <w:bookmarkEnd w:id="506"/>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239C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7967B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1B4C38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3A2AE4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6DC38A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337B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B5DD2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平台当前时间</w:t>
            </w:r>
          </w:p>
        </w:tc>
        <w:tc>
          <w:tcPr>
            <w:tcW w:w="2345" w:type="dxa"/>
            <w:noWrap w:val="0"/>
            <w:vAlign w:val="center"/>
          </w:tcPr>
          <w:p w14:paraId="06D31D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6CA692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BCD码：YYMMDDHHNNSS</w:t>
            </w:r>
          </w:p>
        </w:tc>
        <w:tc>
          <w:tcPr>
            <w:tcW w:w="2345" w:type="dxa"/>
            <w:noWrap w:val="0"/>
            <w:vAlign w:val="center"/>
          </w:tcPr>
          <w:p w14:paraId="0585FC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74A130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bl>
    <w:p w14:paraId="58249E9E">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07" w:name="_Toc19616"/>
      <w:bookmarkStart w:id="508" w:name="_Toc14175"/>
      <w:r>
        <w:rPr>
          <w:rFonts w:hint="eastAsia" w:ascii="宋体" w:hAnsi="宋体" w:eastAsia="宋体" w:cs="宋体"/>
          <w:b w:val="0"/>
          <w:bCs w:val="0"/>
          <w:color w:val="auto"/>
          <w:kern w:val="0"/>
          <w:sz w:val="21"/>
          <w:szCs w:val="21"/>
          <w:highlight w:val="none"/>
          <w:lang w:val="en-US" w:eastAsia="zh-CN" w:bidi="ar-SA"/>
        </w:rPr>
        <w:t>3.2.4 功能码04（设置终端时钟）</w:t>
      </w:r>
      <w:bookmarkEnd w:id="507"/>
      <w:bookmarkEnd w:id="508"/>
    </w:p>
    <w:p w14:paraId="39B4AB8A">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设备可通过NB模组实现时钟同步，也可通过上报数据时平台回复的下行数据帧中的时间实现时钟同步。</w:t>
      </w:r>
    </w:p>
    <w:p w14:paraId="20BDE77B">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除以上两种方式外本协议提供了手动设置终端时钟的方式来实现时钟同步，注意：在指令可能被缓存或滞后下发的场景下谨慎使用该方式。</w:t>
      </w:r>
    </w:p>
    <w:p w14:paraId="3890164B">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509" w:name="_Toc10562"/>
      <w:bookmarkStart w:id="510" w:name="_Toc5585"/>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509"/>
      <w:bookmarkEnd w:id="510"/>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03F3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E0950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5DB0FD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2A3EDA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5F0B10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6E73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B8672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w:t>
            </w:r>
          </w:p>
        </w:tc>
        <w:tc>
          <w:tcPr>
            <w:tcW w:w="2345" w:type="dxa"/>
            <w:noWrap w:val="0"/>
            <w:vAlign w:val="center"/>
          </w:tcPr>
          <w:p w14:paraId="38A99F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254C48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BCD码：YYMMDDHHNNSS</w:t>
            </w:r>
          </w:p>
        </w:tc>
        <w:tc>
          <w:tcPr>
            <w:tcW w:w="2345" w:type="dxa"/>
            <w:noWrap w:val="0"/>
            <w:vAlign w:val="center"/>
          </w:tcPr>
          <w:p w14:paraId="05C0F2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5DC043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bl>
    <w:p w14:paraId="175C98BF">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511" w:name="_Toc19420"/>
      <w:bookmarkStart w:id="512" w:name="_Toc7574"/>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511"/>
      <w:bookmarkEnd w:id="512"/>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499E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8A282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27FF5F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18A6F1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1E3B36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3498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E46DF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时间</w:t>
            </w:r>
          </w:p>
        </w:tc>
        <w:tc>
          <w:tcPr>
            <w:tcW w:w="2345" w:type="dxa"/>
            <w:noWrap w:val="0"/>
            <w:vAlign w:val="center"/>
          </w:tcPr>
          <w:p w14:paraId="3CC3AA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6字节</w:t>
            </w:r>
          </w:p>
        </w:tc>
        <w:tc>
          <w:tcPr>
            <w:tcW w:w="2345" w:type="dxa"/>
            <w:noWrap w:val="0"/>
            <w:vAlign w:val="center"/>
          </w:tcPr>
          <w:p w14:paraId="6C2978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45" w:type="dxa"/>
            <w:noWrap w:val="0"/>
            <w:vAlign w:val="center"/>
          </w:tcPr>
          <w:p w14:paraId="6DDA9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2020-01-11 12:15:30</w:t>
            </w:r>
          </w:p>
          <w:p w14:paraId="29048F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200111121530</w:t>
            </w:r>
          </w:p>
        </w:tc>
      </w:tr>
    </w:tbl>
    <w:p w14:paraId="15E02DE9">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18083BD2">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13" w:name="_Toc19649"/>
      <w:bookmarkStart w:id="514" w:name="_Toc30697"/>
      <w:r>
        <w:rPr>
          <w:rFonts w:hint="eastAsia" w:ascii="宋体" w:hAnsi="宋体" w:eastAsia="宋体" w:cs="宋体"/>
          <w:b w:val="0"/>
          <w:bCs w:val="0"/>
          <w:color w:val="auto"/>
          <w:kern w:val="0"/>
          <w:sz w:val="21"/>
          <w:szCs w:val="21"/>
          <w:highlight w:val="none"/>
          <w:lang w:val="en-US" w:eastAsia="zh-CN" w:bidi="ar-SA"/>
        </w:rPr>
        <w:t>3.2.5 功能码05（设置历史数据存盘间隔）</w:t>
      </w:r>
      <w:bookmarkEnd w:id="513"/>
      <w:bookmarkEnd w:id="514"/>
    </w:p>
    <w:p w14:paraId="6265C1DB">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515" w:name="_Toc17210"/>
      <w:bookmarkStart w:id="516" w:name="_Toc6502"/>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515"/>
      <w:bookmarkEnd w:id="516"/>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5785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FF034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205A0F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2ABE87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1DAD68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386A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99BB8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间隔</w:t>
            </w:r>
          </w:p>
        </w:tc>
        <w:tc>
          <w:tcPr>
            <w:tcW w:w="2345" w:type="dxa"/>
            <w:noWrap w:val="0"/>
            <w:vAlign w:val="center"/>
          </w:tcPr>
          <w:p w14:paraId="09DCA3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7EF5E3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分钟，高字节在前</w:t>
            </w:r>
          </w:p>
        </w:tc>
        <w:tc>
          <w:tcPr>
            <w:tcW w:w="2345" w:type="dxa"/>
            <w:noWrap w:val="0"/>
            <w:vAlign w:val="center"/>
          </w:tcPr>
          <w:p w14:paraId="4CE48F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186F8674">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517" w:name="_Toc26921"/>
      <w:bookmarkStart w:id="518" w:name="_Toc1241"/>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517"/>
      <w:bookmarkEnd w:id="518"/>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392A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5A6B71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608BA8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635903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5C8D51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7DB6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BF4A4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间隔</w:t>
            </w:r>
          </w:p>
        </w:tc>
        <w:tc>
          <w:tcPr>
            <w:tcW w:w="2345" w:type="dxa"/>
            <w:noWrap w:val="0"/>
            <w:vAlign w:val="center"/>
          </w:tcPr>
          <w:p w14:paraId="0157BC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0E04C9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45" w:type="dxa"/>
            <w:noWrap w:val="0"/>
            <w:vAlign w:val="center"/>
          </w:tcPr>
          <w:p w14:paraId="5EF6E1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4BFF9431">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0687D95B">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19" w:name="_Toc11709"/>
      <w:bookmarkStart w:id="520" w:name="_Toc7850"/>
      <w:r>
        <w:rPr>
          <w:rFonts w:hint="eastAsia" w:ascii="宋体" w:hAnsi="宋体" w:eastAsia="宋体" w:cs="宋体"/>
          <w:b w:val="0"/>
          <w:bCs w:val="0"/>
          <w:color w:val="auto"/>
          <w:kern w:val="0"/>
          <w:sz w:val="21"/>
          <w:szCs w:val="21"/>
          <w:highlight w:val="none"/>
          <w:lang w:val="en-US" w:eastAsia="zh-CN" w:bidi="ar-SA"/>
        </w:rPr>
        <w:t>3.2.6 功能码06（设置主动上报参数）</w:t>
      </w:r>
      <w:bookmarkEnd w:id="519"/>
      <w:bookmarkEnd w:id="520"/>
    </w:p>
    <w:p w14:paraId="48444995">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521" w:name="_Toc1429"/>
      <w:bookmarkStart w:id="522" w:name="_Toc1704"/>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521"/>
      <w:bookmarkEnd w:id="522"/>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1CC7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E725D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6A6DE7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101EFC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7110B5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5E34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E8078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开始时刻</w:t>
            </w:r>
          </w:p>
        </w:tc>
        <w:tc>
          <w:tcPr>
            <w:tcW w:w="2345" w:type="dxa"/>
            <w:noWrap w:val="0"/>
            <w:vAlign w:val="center"/>
          </w:tcPr>
          <w:p w14:paraId="272CDB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5C0C45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小时部分</w:t>
            </w:r>
          </w:p>
        </w:tc>
        <w:tc>
          <w:tcPr>
            <w:tcW w:w="2345" w:type="dxa"/>
            <w:noWrap w:val="0"/>
            <w:vAlign w:val="center"/>
          </w:tcPr>
          <w:p w14:paraId="137B3A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3B4F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686AE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开始时刻</w:t>
            </w:r>
          </w:p>
        </w:tc>
        <w:tc>
          <w:tcPr>
            <w:tcW w:w="2345" w:type="dxa"/>
            <w:noWrap w:val="0"/>
            <w:vAlign w:val="center"/>
          </w:tcPr>
          <w:p w14:paraId="003545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3D6EB2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分钟部分</w:t>
            </w:r>
          </w:p>
        </w:tc>
        <w:tc>
          <w:tcPr>
            <w:tcW w:w="2345" w:type="dxa"/>
            <w:noWrap w:val="0"/>
            <w:vAlign w:val="center"/>
          </w:tcPr>
          <w:p w14:paraId="744FE4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525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C82C3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上发间隔</w:t>
            </w:r>
          </w:p>
        </w:tc>
        <w:tc>
          <w:tcPr>
            <w:tcW w:w="2345" w:type="dxa"/>
            <w:noWrap w:val="0"/>
            <w:vAlign w:val="center"/>
          </w:tcPr>
          <w:p w14:paraId="73F3AD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7DC318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分钟，高字节在前</w:t>
            </w:r>
          </w:p>
        </w:tc>
        <w:tc>
          <w:tcPr>
            <w:tcW w:w="2345" w:type="dxa"/>
            <w:noWrap w:val="0"/>
            <w:vAlign w:val="center"/>
          </w:tcPr>
          <w:p w14:paraId="03BD8D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33A6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5D24D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数据间隔</w:t>
            </w:r>
          </w:p>
        </w:tc>
        <w:tc>
          <w:tcPr>
            <w:tcW w:w="2345" w:type="dxa"/>
            <w:noWrap w:val="0"/>
            <w:vAlign w:val="center"/>
          </w:tcPr>
          <w:p w14:paraId="6B0E8D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130619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分钟，高字节在前</w:t>
            </w:r>
          </w:p>
        </w:tc>
        <w:tc>
          <w:tcPr>
            <w:tcW w:w="2345" w:type="dxa"/>
            <w:noWrap w:val="0"/>
            <w:vAlign w:val="center"/>
          </w:tcPr>
          <w:p w14:paraId="39D3C1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737A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10750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离散值</w:t>
            </w:r>
          </w:p>
        </w:tc>
        <w:tc>
          <w:tcPr>
            <w:tcW w:w="2345" w:type="dxa"/>
            <w:noWrap w:val="0"/>
            <w:vAlign w:val="center"/>
          </w:tcPr>
          <w:p w14:paraId="126034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061C8B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秒，高字节在前</w:t>
            </w:r>
          </w:p>
        </w:tc>
        <w:tc>
          <w:tcPr>
            <w:tcW w:w="2345" w:type="dxa"/>
            <w:noWrap w:val="0"/>
            <w:vAlign w:val="center"/>
          </w:tcPr>
          <w:p w14:paraId="3CC758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131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46298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生效时长</w:t>
            </w:r>
          </w:p>
        </w:tc>
        <w:tc>
          <w:tcPr>
            <w:tcW w:w="2345" w:type="dxa"/>
            <w:noWrap w:val="0"/>
            <w:vAlign w:val="center"/>
          </w:tcPr>
          <w:p w14:paraId="5FBC5B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22B109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本次设置值的生效时间，高字节在前。</w:t>
            </w:r>
          </w:p>
          <w:p w14:paraId="1473BD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0表示永久应用该设置值，大于0表示临时应用X分钟后自动恢复原配置。</w:t>
            </w:r>
          </w:p>
        </w:tc>
        <w:tc>
          <w:tcPr>
            <w:tcW w:w="2345" w:type="dxa"/>
            <w:noWrap w:val="0"/>
            <w:vAlign w:val="center"/>
          </w:tcPr>
          <w:p w14:paraId="73E893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25EDAE3E">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字段说明：</w:t>
      </w:r>
    </w:p>
    <w:p w14:paraId="2C79BC9A">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【上发间隔】：即设备拨号上报数据的间隔；</w:t>
      </w:r>
    </w:p>
    <w:p w14:paraId="3038A78F">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【数据间隔】：即上报的数据帧中每个数据的间隔时间；</w:t>
      </w:r>
    </w:p>
    <w:p w14:paraId="37E05F28">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【离散值】：凌晨5点至7点系上位机平台数据运算时间，因此所有终端设备的上报都应离散到0点至5点之间。设置为0或项目补充要求中未明确规定时缺省离散算法如下：</w:t>
      </w:r>
    </w:p>
    <w:p w14:paraId="47605B3E">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H(小时部分) ＝ 终端地址最后1位数字 % 5 </w:t>
      </w:r>
    </w:p>
    <w:p w14:paraId="7DCDD4D6">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M(分钟部分) ＝ 终端地址后第2位至后第4位 % 60</w:t>
      </w:r>
    </w:p>
    <w:p w14:paraId="4A4F897C">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S(秒钟部分) ＝ 厂商随机产生</w:t>
      </w:r>
    </w:p>
    <w:p w14:paraId="22DEF968">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最终离散后上报时间点：H:M:S</w:t>
      </w:r>
    </w:p>
    <w:p w14:paraId="494E754E">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（说明：%为取余数操作）</w:t>
      </w:r>
    </w:p>
    <w:p w14:paraId="771B0D44">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示例：终端地址：1020000000056789</w:t>
      </w:r>
    </w:p>
    <w:p w14:paraId="1909FFDE">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H(小时部分) ＝ 9 % 5 ＝4</w:t>
      </w:r>
    </w:p>
    <w:p w14:paraId="79F78596">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M(分钟部分) ＝ 678 % 60 ＝18</w:t>
      </w:r>
    </w:p>
    <w:p w14:paraId="68D21934">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【生效时长】：用于指示本次配置的有效时长，用于临时加快数据上报频率。</w:t>
      </w:r>
    </w:p>
    <w:p w14:paraId="253B5571">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关联配置：</w:t>
      </w:r>
    </w:p>
    <w:p w14:paraId="21ED314A">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对上发间隔和数据间隔的配置修改应能自动调整数据存盘间隔时间。</w:t>
      </w:r>
    </w:p>
    <w:p w14:paraId="390E4C21">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523" w:name="_Toc2497"/>
      <w:bookmarkStart w:id="524" w:name="_Toc26049"/>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523"/>
      <w:bookmarkEnd w:id="524"/>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646D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E2BE4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50E69E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27D363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2F956D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06C9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00C0F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开始时刻</w:t>
            </w:r>
          </w:p>
        </w:tc>
        <w:tc>
          <w:tcPr>
            <w:tcW w:w="2345" w:type="dxa"/>
            <w:noWrap w:val="0"/>
            <w:vAlign w:val="center"/>
          </w:tcPr>
          <w:p w14:paraId="505372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161B20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小时部分</w:t>
            </w:r>
          </w:p>
        </w:tc>
        <w:tc>
          <w:tcPr>
            <w:tcW w:w="2345" w:type="dxa"/>
            <w:noWrap w:val="0"/>
            <w:vAlign w:val="center"/>
          </w:tcPr>
          <w:p w14:paraId="20FA8E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B20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1B707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开始时刻</w:t>
            </w:r>
          </w:p>
        </w:tc>
        <w:tc>
          <w:tcPr>
            <w:tcW w:w="2345" w:type="dxa"/>
            <w:noWrap w:val="0"/>
            <w:vAlign w:val="center"/>
          </w:tcPr>
          <w:p w14:paraId="4612F1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4D2A57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分钟部分</w:t>
            </w:r>
          </w:p>
        </w:tc>
        <w:tc>
          <w:tcPr>
            <w:tcW w:w="2345" w:type="dxa"/>
            <w:noWrap w:val="0"/>
            <w:vAlign w:val="center"/>
          </w:tcPr>
          <w:p w14:paraId="3C8A00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028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785FF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上发间隔</w:t>
            </w:r>
          </w:p>
        </w:tc>
        <w:tc>
          <w:tcPr>
            <w:tcW w:w="2345" w:type="dxa"/>
            <w:noWrap w:val="0"/>
            <w:vAlign w:val="center"/>
          </w:tcPr>
          <w:p w14:paraId="1E5F5F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13FFC5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分钟，高字节在前</w:t>
            </w:r>
          </w:p>
        </w:tc>
        <w:tc>
          <w:tcPr>
            <w:tcW w:w="2345" w:type="dxa"/>
            <w:noWrap w:val="0"/>
            <w:vAlign w:val="center"/>
          </w:tcPr>
          <w:p w14:paraId="4F4AFF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00C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3CF28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数据间隔</w:t>
            </w:r>
          </w:p>
        </w:tc>
        <w:tc>
          <w:tcPr>
            <w:tcW w:w="2345" w:type="dxa"/>
            <w:noWrap w:val="0"/>
            <w:vAlign w:val="center"/>
          </w:tcPr>
          <w:p w14:paraId="756878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589D9F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分钟，高字节在前</w:t>
            </w:r>
          </w:p>
        </w:tc>
        <w:tc>
          <w:tcPr>
            <w:tcW w:w="2345" w:type="dxa"/>
            <w:noWrap w:val="0"/>
            <w:vAlign w:val="center"/>
          </w:tcPr>
          <w:p w14:paraId="15DFE1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67F0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81198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离散值</w:t>
            </w:r>
          </w:p>
        </w:tc>
        <w:tc>
          <w:tcPr>
            <w:tcW w:w="2345" w:type="dxa"/>
            <w:noWrap w:val="0"/>
            <w:vAlign w:val="center"/>
          </w:tcPr>
          <w:p w14:paraId="763BB6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2345" w:type="dxa"/>
            <w:noWrap w:val="0"/>
            <w:vAlign w:val="center"/>
          </w:tcPr>
          <w:p w14:paraId="334DE0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秒，高字节在前</w:t>
            </w:r>
          </w:p>
        </w:tc>
        <w:tc>
          <w:tcPr>
            <w:tcW w:w="2345" w:type="dxa"/>
            <w:noWrap w:val="0"/>
            <w:vAlign w:val="center"/>
          </w:tcPr>
          <w:p w14:paraId="6EA4F5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0842B224">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44AB8AAD">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25" w:name="_Toc25322"/>
      <w:bookmarkStart w:id="526" w:name="_Toc9428"/>
      <w:r>
        <w:rPr>
          <w:rFonts w:hint="eastAsia" w:ascii="宋体" w:hAnsi="宋体" w:eastAsia="宋体" w:cs="宋体"/>
          <w:b w:val="0"/>
          <w:bCs w:val="0"/>
          <w:color w:val="auto"/>
          <w:kern w:val="0"/>
          <w:sz w:val="21"/>
          <w:szCs w:val="21"/>
          <w:highlight w:val="none"/>
          <w:lang w:val="en-US" w:eastAsia="zh-CN" w:bidi="ar-SA"/>
        </w:rPr>
        <w:t>3.2.7 功能码07（设置数据中心地址）</w:t>
      </w:r>
      <w:bookmarkEnd w:id="525"/>
      <w:bookmarkEnd w:id="526"/>
    </w:p>
    <w:p w14:paraId="7EBFBA7D">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527" w:name="_Toc15619"/>
      <w:bookmarkStart w:id="528" w:name="_Toc15558"/>
      <w:r>
        <w:rPr>
          <w:rFonts w:hint="eastAsia" w:ascii="宋体" w:hAnsi="宋体" w:eastAsia="宋体" w:cs="宋体"/>
          <w:b w:val="0"/>
          <w:bCs w:val="0"/>
          <w:color w:val="auto"/>
          <w:kern w:val="0"/>
          <w:sz w:val="21"/>
          <w:szCs w:val="21"/>
          <w:highlight w:val="none"/>
          <w:lang w:val="en-US" w:eastAsia="zh-CN" w:bidi="ar-SA"/>
        </w:rPr>
        <w:t>（1）下行数据段格式</w:t>
      </w:r>
      <w:bookmarkEnd w:id="527"/>
      <w:bookmarkEnd w:id="528"/>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7"/>
        <w:gridCol w:w="1405"/>
        <w:gridCol w:w="3043"/>
        <w:gridCol w:w="2632"/>
      </w:tblGrid>
      <w:tr w14:paraId="726D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7" w:type="dxa"/>
            <w:noWrap w:val="0"/>
            <w:vAlign w:val="center"/>
          </w:tcPr>
          <w:p w14:paraId="622385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1405" w:type="dxa"/>
            <w:noWrap w:val="0"/>
            <w:vAlign w:val="center"/>
          </w:tcPr>
          <w:p w14:paraId="6B46D9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3043" w:type="dxa"/>
            <w:noWrap w:val="0"/>
            <w:vAlign w:val="center"/>
          </w:tcPr>
          <w:p w14:paraId="4B95BA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632" w:type="dxa"/>
            <w:noWrap w:val="0"/>
            <w:vAlign w:val="center"/>
          </w:tcPr>
          <w:p w14:paraId="1A48F7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6C4A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7" w:type="dxa"/>
            <w:noWrap w:val="0"/>
            <w:vAlign w:val="center"/>
          </w:tcPr>
          <w:p w14:paraId="7C7D4B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序号</w:t>
            </w:r>
          </w:p>
        </w:tc>
        <w:tc>
          <w:tcPr>
            <w:tcW w:w="1405" w:type="dxa"/>
            <w:noWrap w:val="0"/>
            <w:vAlign w:val="center"/>
          </w:tcPr>
          <w:p w14:paraId="7DBCA3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3043" w:type="dxa"/>
            <w:noWrap w:val="0"/>
            <w:vAlign w:val="center"/>
          </w:tcPr>
          <w:p w14:paraId="107E25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当设备支持多数据中心时使用该序号区分设置的是哪个中心地址。注意：序号0为默认数据中心，其它序号为备用中心</w:t>
            </w:r>
          </w:p>
        </w:tc>
        <w:tc>
          <w:tcPr>
            <w:tcW w:w="2632" w:type="dxa"/>
            <w:noWrap w:val="0"/>
            <w:vAlign w:val="center"/>
          </w:tcPr>
          <w:p w14:paraId="5BB09F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r>
      <w:tr w14:paraId="1AEE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7" w:type="dxa"/>
            <w:noWrap w:val="0"/>
            <w:vAlign w:val="center"/>
          </w:tcPr>
          <w:p w14:paraId="72DC9F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数据中心地址</w:t>
            </w:r>
          </w:p>
        </w:tc>
        <w:tc>
          <w:tcPr>
            <w:tcW w:w="1405" w:type="dxa"/>
            <w:noWrap w:val="0"/>
            <w:vAlign w:val="center"/>
          </w:tcPr>
          <w:p w14:paraId="207B33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不定长</w:t>
            </w:r>
          </w:p>
        </w:tc>
        <w:tc>
          <w:tcPr>
            <w:tcW w:w="3043" w:type="dxa"/>
            <w:noWrap w:val="0"/>
            <w:vAlign w:val="center"/>
          </w:tcPr>
          <w:p w14:paraId="5F85AC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ASCII，以\0结束</w:t>
            </w:r>
          </w:p>
        </w:tc>
        <w:tc>
          <w:tcPr>
            <w:tcW w:w="2632" w:type="dxa"/>
            <w:noWrap w:val="0"/>
            <w:vAlign w:val="center"/>
          </w:tcPr>
          <w:p w14:paraId="3033FA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123.123.123.123:5000</w:t>
            </w:r>
          </w:p>
          <w:p w14:paraId="2B2C3B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http://www.dsc.com:5000</w:t>
            </w:r>
          </w:p>
        </w:tc>
      </w:tr>
    </w:tbl>
    <w:p w14:paraId="7BF549E4">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529" w:name="_Toc22945"/>
      <w:bookmarkStart w:id="530" w:name="_Toc5927"/>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529"/>
      <w:bookmarkEnd w:id="530"/>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1292"/>
        <w:gridCol w:w="3355"/>
        <w:gridCol w:w="2320"/>
      </w:tblGrid>
      <w:tr w14:paraId="5777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noWrap w:val="0"/>
            <w:vAlign w:val="center"/>
          </w:tcPr>
          <w:p w14:paraId="1B17D0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1292" w:type="dxa"/>
            <w:noWrap w:val="0"/>
            <w:vAlign w:val="center"/>
          </w:tcPr>
          <w:p w14:paraId="64ABE8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3355" w:type="dxa"/>
            <w:noWrap w:val="0"/>
            <w:vAlign w:val="center"/>
          </w:tcPr>
          <w:p w14:paraId="71B0CF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20" w:type="dxa"/>
            <w:noWrap w:val="0"/>
            <w:vAlign w:val="center"/>
          </w:tcPr>
          <w:p w14:paraId="2237D9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6D78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noWrap w:val="0"/>
            <w:vAlign w:val="center"/>
          </w:tcPr>
          <w:p w14:paraId="2DA610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序号</w:t>
            </w:r>
          </w:p>
        </w:tc>
        <w:tc>
          <w:tcPr>
            <w:tcW w:w="1292" w:type="dxa"/>
            <w:noWrap w:val="0"/>
            <w:vAlign w:val="center"/>
          </w:tcPr>
          <w:p w14:paraId="536436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3355" w:type="dxa"/>
            <w:noWrap w:val="0"/>
            <w:vAlign w:val="center"/>
          </w:tcPr>
          <w:p w14:paraId="3DF58A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当设备支持多数据中心时使用该序号区分设置的是哪个中心地址。注意：序号0为默认数据中心，其它序号为备用中心</w:t>
            </w:r>
          </w:p>
        </w:tc>
        <w:tc>
          <w:tcPr>
            <w:tcW w:w="2320" w:type="dxa"/>
            <w:noWrap w:val="0"/>
            <w:vAlign w:val="center"/>
          </w:tcPr>
          <w:p w14:paraId="67DA0E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r>
      <w:tr w14:paraId="4CA3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0" w:type="dxa"/>
            <w:noWrap w:val="0"/>
            <w:vAlign w:val="center"/>
          </w:tcPr>
          <w:p w14:paraId="22A391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数据中心地址</w:t>
            </w:r>
          </w:p>
        </w:tc>
        <w:tc>
          <w:tcPr>
            <w:tcW w:w="1292" w:type="dxa"/>
            <w:noWrap w:val="0"/>
            <w:vAlign w:val="center"/>
          </w:tcPr>
          <w:p w14:paraId="5A60FD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不定长</w:t>
            </w:r>
          </w:p>
        </w:tc>
        <w:tc>
          <w:tcPr>
            <w:tcW w:w="3355" w:type="dxa"/>
            <w:noWrap w:val="0"/>
            <w:vAlign w:val="center"/>
          </w:tcPr>
          <w:p w14:paraId="2593B4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ASCII，以\0结束</w:t>
            </w:r>
          </w:p>
        </w:tc>
        <w:tc>
          <w:tcPr>
            <w:tcW w:w="2320" w:type="dxa"/>
            <w:noWrap w:val="0"/>
            <w:vAlign w:val="center"/>
          </w:tcPr>
          <w:p w14:paraId="4016FE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78EA7AB8">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1271FC9F">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31" w:name="_Toc13420"/>
      <w:bookmarkStart w:id="532" w:name="_Toc30686"/>
      <w:r>
        <w:rPr>
          <w:rFonts w:hint="eastAsia" w:ascii="宋体" w:hAnsi="宋体" w:eastAsia="宋体" w:cs="宋体"/>
          <w:b w:val="0"/>
          <w:bCs w:val="0"/>
          <w:color w:val="auto"/>
          <w:kern w:val="0"/>
          <w:sz w:val="21"/>
          <w:szCs w:val="21"/>
          <w:highlight w:val="none"/>
          <w:lang w:val="en-US" w:eastAsia="zh-CN" w:bidi="ar-SA"/>
        </w:rPr>
        <w:t>3.2.8 功能码08（设置工作模式）</w:t>
      </w:r>
      <w:bookmarkEnd w:id="531"/>
      <w:bookmarkEnd w:id="532"/>
    </w:p>
    <w:p w14:paraId="2D7C4735">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533" w:name="_Toc12711"/>
      <w:bookmarkStart w:id="534" w:name="_Toc20227"/>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533"/>
      <w:bookmarkEnd w:id="534"/>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291"/>
        <w:gridCol w:w="3354"/>
        <w:gridCol w:w="2321"/>
      </w:tblGrid>
      <w:tr w14:paraId="3F80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0C6A86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1291" w:type="dxa"/>
            <w:noWrap w:val="0"/>
            <w:vAlign w:val="center"/>
          </w:tcPr>
          <w:p w14:paraId="77D7B5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3354" w:type="dxa"/>
            <w:noWrap w:val="0"/>
            <w:vAlign w:val="center"/>
          </w:tcPr>
          <w:p w14:paraId="53D9B1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21" w:type="dxa"/>
            <w:noWrap w:val="0"/>
            <w:vAlign w:val="center"/>
          </w:tcPr>
          <w:p w14:paraId="2C6239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78CF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292FE6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工作模式</w:t>
            </w:r>
          </w:p>
        </w:tc>
        <w:tc>
          <w:tcPr>
            <w:tcW w:w="1291" w:type="dxa"/>
            <w:noWrap w:val="0"/>
            <w:vAlign w:val="center"/>
          </w:tcPr>
          <w:p w14:paraId="15F443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3354" w:type="dxa"/>
            <w:noWrap w:val="0"/>
            <w:vAlign w:val="center"/>
          </w:tcPr>
          <w:p w14:paraId="62FCEF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0表示设备处于休眠工作模式，1表示设备处于长期在线待命状态。</w:t>
            </w:r>
          </w:p>
        </w:tc>
        <w:tc>
          <w:tcPr>
            <w:tcW w:w="2321" w:type="dxa"/>
            <w:noWrap w:val="0"/>
            <w:vAlign w:val="center"/>
          </w:tcPr>
          <w:p w14:paraId="08EBF4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7B33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64E9B4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生效时长</w:t>
            </w:r>
          </w:p>
        </w:tc>
        <w:tc>
          <w:tcPr>
            <w:tcW w:w="1291" w:type="dxa"/>
            <w:noWrap w:val="0"/>
            <w:vAlign w:val="center"/>
          </w:tcPr>
          <w:p w14:paraId="4CB113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3354" w:type="dxa"/>
            <w:noWrap w:val="0"/>
            <w:vAlign w:val="center"/>
          </w:tcPr>
          <w:p w14:paraId="13F98F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本次设置值的生效时间，高字节在前。</w:t>
            </w:r>
          </w:p>
          <w:p w14:paraId="3C14B3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0表示永久应用该设置值，大于0表示临时应用X分钟数后自动恢复原配置。</w:t>
            </w:r>
          </w:p>
        </w:tc>
        <w:tc>
          <w:tcPr>
            <w:tcW w:w="2321" w:type="dxa"/>
            <w:noWrap w:val="0"/>
            <w:vAlign w:val="center"/>
          </w:tcPr>
          <w:p w14:paraId="535864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2E14422B">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535" w:name="_Toc27671"/>
      <w:bookmarkStart w:id="536" w:name="_Toc18853"/>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535"/>
      <w:bookmarkEnd w:id="536"/>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291"/>
        <w:gridCol w:w="3354"/>
        <w:gridCol w:w="2321"/>
      </w:tblGrid>
      <w:tr w14:paraId="1357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4B573A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1291" w:type="dxa"/>
            <w:noWrap w:val="0"/>
            <w:vAlign w:val="center"/>
          </w:tcPr>
          <w:p w14:paraId="762801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3354" w:type="dxa"/>
            <w:noWrap w:val="0"/>
            <w:vAlign w:val="center"/>
          </w:tcPr>
          <w:p w14:paraId="7C26B4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21" w:type="dxa"/>
            <w:noWrap w:val="0"/>
            <w:vAlign w:val="center"/>
          </w:tcPr>
          <w:p w14:paraId="3DEAC9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3A00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3073BB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工作模式</w:t>
            </w:r>
          </w:p>
        </w:tc>
        <w:tc>
          <w:tcPr>
            <w:tcW w:w="1291" w:type="dxa"/>
            <w:noWrap w:val="0"/>
            <w:vAlign w:val="center"/>
          </w:tcPr>
          <w:p w14:paraId="34F606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3354" w:type="dxa"/>
            <w:noWrap w:val="0"/>
            <w:vAlign w:val="center"/>
          </w:tcPr>
          <w:p w14:paraId="0DB5EA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21" w:type="dxa"/>
            <w:noWrap w:val="0"/>
            <w:vAlign w:val="center"/>
          </w:tcPr>
          <w:p w14:paraId="42B580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7D03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1" w:type="dxa"/>
            <w:noWrap w:val="0"/>
            <w:vAlign w:val="center"/>
          </w:tcPr>
          <w:p w14:paraId="1BBFD2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生效时长</w:t>
            </w:r>
          </w:p>
        </w:tc>
        <w:tc>
          <w:tcPr>
            <w:tcW w:w="1291" w:type="dxa"/>
            <w:noWrap w:val="0"/>
            <w:vAlign w:val="center"/>
          </w:tcPr>
          <w:p w14:paraId="537097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3354" w:type="dxa"/>
            <w:noWrap w:val="0"/>
            <w:vAlign w:val="center"/>
          </w:tcPr>
          <w:p w14:paraId="55D610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21" w:type="dxa"/>
            <w:noWrap w:val="0"/>
            <w:vAlign w:val="center"/>
          </w:tcPr>
          <w:p w14:paraId="4D913A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1B3B5E81">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31499055">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37" w:name="_Toc21903"/>
      <w:bookmarkStart w:id="538" w:name="_Toc21949"/>
      <w:r>
        <w:rPr>
          <w:rFonts w:hint="eastAsia" w:ascii="宋体" w:hAnsi="宋体" w:eastAsia="宋体" w:cs="宋体"/>
          <w:b w:val="0"/>
          <w:bCs w:val="0"/>
          <w:color w:val="auto"/>
          <w:kern w:val="0"/>
          <w:sz w:val="21"/>
          <w:szCs w:val="21"/>
          <w:highlight w:val="none"/>
          <w:lang w:val="en-US" w:eastAsia="zh-CN" w:bidi="ar-SA"/>
        </w:rPr>
        <w:t>3.2.9 功能码09（设置设备地址）</w:t>
      </w:r>
      <w:bookmarkEnd w:id="537"/>
      <w:bookmarkEnd w:id="538"/>
    </w:p>
    <w:p w14:paraId="6D424C3A">
      <w:pPr>
        <w:keepNext w:val="0"/>
        <w:keepLines w:val="0"/>
        <w:pageBreakBefore w:val="0"/>
        <w:widowControl w:val="0"/>
        <w:kinsoku/>
        <w:wordWrap/>
        <w:topLinePunct w:val="0"/>
        <w:bidi w:val="0"/>
        <w:adjustRightInd w:val="0"/>
        <w:snapToGrid w:val="0"/>
        <w:spacing w:beforeAutospacing="0" w:line="360" w:lineRule="auto"/>
        <w:ind w:left="0" w:righ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设置设备地址指令用于非NB水表应用场景，NB水表表码通常不允许修改，所以NB水表不需实现该指令。</w:t>
      </w:r>
    </w:p>
    <w:p w14:paraId="130CFF8B">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539" w:name="_Toc313"/>
      <w:bookmarkStart w:id="540" w:name="_Toc2287"/>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539"/>
      <w:bookmarkEnd w:id="540"/>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5960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60BAA7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2BBD3B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1D0066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0B2CFF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40AD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E4859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设备地址</w:t>
            </w:r>
          </w:p>
        </w:tc>
        <w:tc>
          <w:tcPr>
            <w:tcW w:w="2345" w:type="dxa"/>
            <w:noWrap w:val="0"/>
            <w:vAlign w:val="center"/>
          </w:tcPr>
          <w:p w14:paraId="6C0F5D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2345" w:type="dxa"/>
            <w:noWrap w:val="0"/>
            <w:vAlign w:val="center"/>
          </w:tcPr>
          <w:p w14:paraId="787946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BCD码，符合4.1.6章节中设备地址相关规则</w:t>
            </w:r>
          </w:p>
        </w:tc>
        <w:tc>
          <w:tcPr>
            <w:tcW w:w="2345" w:type="dxa"/>
            <w:noWrap w:val="0"/>
            <w:vAlign w:val="center"/>
          </w:tcPr>
          <w:p w14:paraId="3AF8FA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63820707">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541" w:name="_Toc28340"/>
      <w:bookmarkStart w:id="542" w:name="_Toc18069"/>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541"/>
      <w:bookmarkEnd w:id="542"/>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7243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3903B9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646525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66A598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75A9E2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6216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1ACD49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设备地址</w:t>
            </w:r>
          </w:p>
        </w:tc>
        <w:tc>
          <w:tcPr>
            <w:tcW w:w="2345" w:type="dxa"/>
            <w:noWrap w:val="0"/>
            <w:vAlign w:val="center"/>
          </w:tcPr>
          <w:p w14:paraId="32B302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2345" w:type="dxa"/>
            <w:noWrap w:val="0"/>
            <w:vAlign w:val="center"/>
          </w:tcPr>
          <w:p w14:paraId="00FC21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45" w:type="dxa"/>
            <w:noWrap w:val="0"/>
            <w:vAlign w:val="center"/>
          </w:tcPr>
          <w:p w14:paraId="4BAD94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39116D92">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713FAED7">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43" w:name="_Toc6857"/>
      <w:bookmarkStart w:id="544" w:name="_Toc11996"/>
      <w:r>
        <w:rPr>
          <w:rFonts w:hint="eastAsia" w:ascii="宋体" w:hAnsi="宋体" w:eastAsia="宋体" w:cs="宋体"/>
          <w:b w:val="0"/>
          <w:bCs w:val="0"/>
          <w:color w:val="auto"/>
          <w:kern w:val="0"/>
          <w:sz w:val="21"/>
          <w:szCs w:val="21"/>
          <w:highlight w:val="none"/>
          <w:lang w:val="en-US" w:eastAsia="zh-CN" w:bidi="ar-SA"/>
        </w:rPr>
        <w:t>3.2.10 功能码10（设置加密标志）</w:t>
      </w:r>
      <w:bookmarkEnd w:id="543"/>
      <w:bookmarkEnd w:id="544"/>
    </w:p>
    <w:p w14:paraId="798C504B">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545" w:name="_Toc10025"/>
      <w:bookmarkStart w:id="546" w:name="_Toc23948"/>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0"/>
          <w:sz w:val="21"/>
          <w:szCs w:val="21"/>
          <w:highlight w:val="none"/>
          <w:lang w:val="en-US" w:eastAsia="zh-CN" w:bidi="ar-SA"/>
        </w:rPr>
        <w:t>下行数据段格式</w:t>
      </w:r>
      <w:bookmarkEnd w:id="545"/>
      <w:bookmarkEnd w:id="546"/>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0B3E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EAB78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1CFD31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0FD212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3B5DBD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2284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D3E46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加密标志</w:t>
            </w:r>
          </w:p>
        </w:tc>
        <w:tc>
          <w:tcPr>
            <w:tcW w:w="2345" w:type="dxa"/>
            <w:noWrap w:val="0"/>
            <w:vAlign w:val="center"/>
          </w:tcPr>
          <w:p w14:paraId="626B2D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1F245F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取值1表示设备启用数据段加密，0表示不加密</w:t>
            </w:r>
          </w:p>
        </w:tc>
        <w:tc>
          <w:tcPr>
            <w:tcW w:w="2345" w:type="dxa"/>
            <w:noWrap w:val="0"/>
            <w:vAlign w:val="center"/>
          </w:tcPr>
          <w:p w14:paraId="1B6F42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7261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219DEB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新密钥</w:t>
            </w:r>
          </w:p>
        </w:tc>
        <w:tc>
          <w:tcPr>
            <w:tcW w:w="2345" w:type="dxa"/>
            <w:noWrap w:val="0"/>
            <w:vAlign w:val="center"/>
          </w:tcPr>
          <w:p w14:paraId="1784DA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16字节ASCII</w:t>
            </w:r>
          </w:p>
        </w:tc>
        <w:tc>
          <w:tcPr>
            <w:tcW w:w="2345" w:type="dxa"/>
            <w:noWrap w:val="0"/>
            <w:vAlign w:val="center"/>
          </w:tcPr>
          <w:p w14:paraId="2FD247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全为FF表示使用缺省密钥（即不修改密钥）</w:t>
            </w:r>
          </w:p>
        </w:tc>
        <w:tc>
          <w:tcPr>
            <w:tcW w:w="2345" w:type="dxa"/>
            <w:noWrap w:val="0"/>
            <w:vAlign w:val="center"/>
          </w:tcPr>
          <w:p w14:paraId="0B25AA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353FA91C">
      <w:pPr>
        <w:keepNext w:val="0"/>
        <w:keepLines w:val="0"/>
        <w:pageBreakBefore w:val="0"/>
        <w:widowControl w:val="0"/>
        <w:kinsoku/>
        <w:wordWrap/>
        <w:overflowPunct w:val="0"/>
        <w:topLinePunct w:val="0"/>
        <w:bidi w:val="0"/>
        <w:adjustRightInd w:val="0"/>
        <w:snapToGrid w:val="0"/>
        <w:spacing w:beforeAutospacing="0" w:line="360" w:lineRule="auto"/>
        <w:ind w:left="0" w:leftChars="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注意：新密钥全为FF表示仅修改加密标志，不修改密钥；</w:t>
      </w:r>
    </w:p>
    <w:p w14:paraId="631C194E">
      <w:pPr>
        <w:keepNext w:val="0"/>
        <w:keepLines w:val="0"/>
        <w:pageBreakBefore w:val="0"/>
        <w:widowControl w:val="0"/>
        <w:numPr>
          <w:ilvl w:val="2"/>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2"/>
        <w:rPr>
          <w:rFonts w:hint="eastAsia" w:ascii="宋体" w:hAnsi="宋体" w:eastAsia="宋体" w:cs="宋体"/>
          <w:b w:val="0"/>
          <w:bCs w:val="0"/>
          <w:color w:val="auto"/>
          <w:kern w:val="0"/>
          <w:sz w:val="21"/>
          <w:szCs w:val="21"/>
          <w:highlight w:val="none"/>
          <w:lang w:val="en-US" w:eastAsia="zh-CN" w:bidi="ar-SA"/>
        </w:rPr>
      </w:pPr>
      <w:bookmarkStart w:id="547" w:name="_Toc17822"/>
      <w:bookmarkStart w:id="548" w:name="_Toc31070"/>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0"/>
          <w:sz w:val="21"/>
          <w:szCs w:val="21"/>
          <w:highlight w:val="none"/>
          <w:lang w:val="en-US" w:eastAsia="zh-CN" w:bidi="ar-SA"/>
        </w:rPr>
        <w:t>上行数据段格式</w:t>
      </w:r>
      <w:bookmarkEnd w:id="547"/>
      <w:bookmarkEnd w:id="548"/>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345"/>
        <w:gridCol w:w="2345"/>
      </w:tblGrid>
      <w:tr w14:paraId="5954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07A755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数据内容</w:t>
            </w:r>
          </w:p>
        </w:tc>
        <w:tc>
          <w:tcPr>
            <w:tcW w:w="2345" w:type="dxa"/>
            <w:noWrap w:val="0"/>
            <w:vAlign w:val="center"/>
          </w:tcPr>
          <w:p w14:paraId="5A9760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字节数</w:t>
            </w:r>
          </w:p>
        </w:tc>
        <w:tc>
          <w:tcPr>
            <w:tcW w:w="2345" w:type="dxa"/>
            <w:noWrap w:val="0"/>
            <w:vAlign w:val="center"/>
          </w:tcPr>
          <w:p w14:paraId="6318DF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c>
          <w:tcPr>
            <w:tcW w:w="2345" w:type="dxa"/>
            <w:noWrap w:val="0"/>
            <w:vAlign w:val="center"/>
          </w:tcPr>
          <w:p w14:paraId="62654E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示例</w:t>
            </w:r>
          </w:p>
        </w:tc>
      </w:tr>
      <w:tr w14:paraId="7ED8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40DC94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加密标志</w:t>
            </w:r>
          </w:p>
        </w:tc>
        <w:tc>
          <w:tcPr>
            <w:tcW w:w="2345" w:type="dxa"/>
            <w:noWrap w:val="0"/>
            <w:vAlign w:val="center"/>
          </w:tcPr>
          <w:p w14:paraId="0173B2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2345" w:type="dxa"/>
            <w:noWrap w:val="0"/>
            <w:vAlign w:val="center"/>
          </w:tcPr>
          <w:p w14:paraId="2760FB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45" w:type="dxa"/>
            <w:noWrap w:val="0"/>
            <w:vAlign w:val="center"/>
          </w:tcPr>
          <w:p w14:paraId="18C9FB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46C4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5" w:type="dxa"/>
            <w:noWrap w:val="0"/>
            <w:vAlign w:val="center"/>
          </w:tcPr>
          <w:p w14:paraId="7862D2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新密钥</w:t>
            </w:r>
          </w:p>
        </w:tc>
        <w:tc>
          <w:tcPr>
            <w:tcW w:w="2345" w:type="dxa"/>
            <w:noWrap w:val="0"/>
            <w:vAlign w:val="center"/>
          </w:tcPr>
          <w:p w14:paraId="3EAD26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16字节ASCII</w:t>
            </w:r>
          </w:p>
        </w:tc>
        <w:tc>
          <w:tcPr>
            <w:tcW w:w="2345" w:type="dxa"/>
            <w:noWrap w:val="0"/>
            <w:vAlign w:val="center"/>
          </w:tcPr>
          <w:p w14:paraId="75A4E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成功后原码返回，失败全部置FF</w:t>
            </w:r>
          </w:p>
        </w:tc>
        <w:tc>
          <w:tcPr>
            <w:tcW w:w="2345" w:type="dxa"/>
            <w:noWrap w:val="0"/>
            <w:vAlign w:val="center"/>
          </w:tcPr>
          <w:p w14:paraId="13429F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41913F13">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备注：指令执行成功则原码返回，执行失败则</w:t>
      </w:r>
      <w:r>
        <w:rPr>
          <w:rFonts w:hint="eastAsia" w:ascii="宋体" w:hAnsi="宋体" w:eastAsia="宋体" w:cs="宋体"/>
          <w:b w:val="0"/>
          <w:bCs w:val="0"/>
          <w:color w:val="auto"/>
          <w:kern w:val="2"/>
          <w:sz w:val="21"/>
          <w:szCs w:val="21"/>
          <w:highlight w:val="none"/>
          <w:lang w:val="en-US" w:eastAsia="zh-CN" w:bidi="ar-SA"/>
        </w:rPr>
        <w:t>数据段全部字节置FF。</w:t>
      </w:r>
    </w:p>
    <w:p w14:paraId="20863F45">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zh-CN" w:eastAsia="zh-CN" w:bidi="ar-SA"/>
        </w:rPr>
        <w:t>注意</w:t>
      </w:r>
      <w:r>
        <w:rPr>
          <w:rFonts w:hint="eastAsia" w:ascii="宋体" w:hAnsi="宋体" w:eastAsia="宋体" w:cs="宋体"/>
          <w:b w:val="0"/>
          <w:bCs w:val="0"/>
          <w:color w:val="auto"/>
          <w:kern w:val="2"/>
          <w:sz w:val="21"/>
          <w:szCs w:val="21"/>
          <w:highlight w:val="none"/>
          <w:lang w:val="en-US" w:eastAsia="zh-CN" w:bidi="ar-SA"/>
        </w:rPr>
        <w:t>点：远程更新密钥时，本次配置指令的上行确认帧应使用原密钥进行加密，上位机平台在收到更新成功确认后正式启用新密钥对后续下行帧加密。</w:t>
      </w:r>
    </w:p>
    <w:p w14:paraId="7F43F7B9">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3.2.11 功能码11（查询历史数据存盘间隔）</w:t>
      </w:r>
    </w:p>
    <w:p w14:paraId="3FBDD35D">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（1）下行数据段格式</w:t>
      </w:r>
    </w:p>
    <w:p w14:paraId="362F55D1">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无。</w:t>
      </w:r>
    </w:p>
    <w:p w14:paraId="6745681D">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（2）上行数据段格式</w:t>
      </w:r>
    </w:p>
    <w:p w14:paraId="159C7DA7">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同功能码05数据格式。</w:t>
      </w:r>
    </w:p>
    <w:p w14:paraId="2D64AC17">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3.2.12功能码12（查询主动上报参数）</w:t>
      </w:r>
    </w:p>
    <w:p w14:paraId="09498B1B">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（1）下行数据段格式</w:t>
      </w:r>
    </w:p>
    <w:p w14:paraId="23E247D4">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无。</w:t>
      </w:r>
    </w:p>
    <w:p w14:paraId="3CFAE839">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（2）上行数据段格式</w:t>
      </w:r>
    </w:p>
    <w:p w14:paraId="51EC8119">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同功能码06数据格式。</w:t>
      </w:r>
    </w:p>
    <w:p w14:paraId="62CB409A">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3.2.13功能码13（查询数据中心地址）</w:t>
      </w:r>
    </w:p>
    <w:p w14:paraId="26039F6E">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（1）下行数据段格式</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2345"/>
        <w:gridCol w:w="2736"/>
        <w:gridCol w:w="1954"/>
      </w:tblGrid>
      <w:tr w14:paraId="1C67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noWrap w:val="0"/>
            <w:vAlign w:val="center"/>
          </w:tcPr>
          <w:p w14:paraId="438E53FD">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数据内容</w:t>
            </w:r>
          </w:p>
        </w:tc>
        <w:tc>
          <w:tcPr>
            <w:tcW w:w="2345" w:type="dxa"/>
            <w:noWrap w:val="0"/>
            <w:vAlign w:val="center"/>
          </w:tcPr>
          <w:p w14:paraId="4D253112">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字节数</w:t>
            </w:r>
          </w:p>
        </w:tc>
        <w:tc>
          <w:tcPr>
            <w:tcW w:w="2736" w:type="dxa"/>
            <w:noWrap w:val="0"/>
            <w:vAlign w:val="center"/>
          </w:tcPr>
          <w:p w14:paraId="61A498BE">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说明</w:t>
            </w:r>
          </w:p>
        </w:tc>
        <w:tc>
          <w:tcPr>
            <w:tcW w:w="1954" w:type="dxa"/>
            <w:noWrap w:val="0"/>
            <w:vAlign w:val="center"/>
          </w:tcPr>
          <w:p w14:paraId="3BA89A6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示例</w:t>
            </w:r>
          </w:p>
        </w:tc>
      </w:tr>
      <w:tr w14:paraId="58A7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5" w:type="dxa"/>
            <w:noWrap w:val="0"/>
            <w:vAlign w:val="center"/>
          </w:tcPr>
          <w:p w14:paraId="6E23DE0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序号</w:t>
            </w:r>
          </w:p>
        </w:tc>
        <w:tc>
          <w:tcPr>
            <w:tcW w:w="2345" w:type="dxa"/>
            <w:noWrap w:val="0"/>
            <w:vAlign w:val="center"/>
          </w:tcPr>
          <w:p w14:paraId="26A383A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1字节</w:t>
            </w:r>
          </w:p>
        </w:tc>
        <w:tc>
          <w:tcPr>
            <w:tcW w:w="2736" w:type="dxa"/>
            <w:noWrap w:val="0"/>
            <w:vAlign w:val="center"/>
          </w:tcPr>
          <w:p w14:paraId="4D4F2A7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当设备支持多数据中心时使用该序号区分查询的是哪个中心地址。注意：序号0为默认数据中心，其它序号为备用中心</w:t>
            </w:r>
          </w:p>
        </w:tc>
        <w:tc>
          <w:tcPr>
            <w:tcW w:w="1954" w:type="dxa"/>
            <w:noWrap w:val="0"/>
            <w:vAlign w:val="center"/>
          </w:tcPr>
          <w:p w14:paraId="0B723BA2">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26"/>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0</w:t>
            </w:r>
          </w:p>
        </w:tc>
      </w:tr>
    </w:tbl>
    <w:p w14:paraId="573E537C">
      <w:pPr>
        <w:keepNext w:val="0"/>
        <w:keepLines w:val="0"/>
        <w:pageBreakBefore w:val="0"/>
        <w:widowControl w:val="0"/>
        <w:kinsoku/>
        <w:wordWrap/>
        <w:topLinePunct w:val="0"/>
        <w:autoSpaceDE w:val="0"/>
        <w:autoSpaceDN w:val="0"/>
        <w:bidi w:val="0"/>
        <w:adjustRightInd w:val="0"/>
        <w:snapToGrid w:val="0"/>
        <w:spacing w:before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（2）上行数据段格式</w:t>
      </w:r>
    </w:p>
    <w:p w14:paraId="283040F9">
      <w:pPr>
        <w:keepNext w:val="0"/>
        <w:keepLines w:val="0"/>
        <w:pageBreakBefore w:val="0"/>
        <w:widowControl w:val="0"/>
        <w:kinsoku/>
        <w:wordWrap/>
        <w:topLinePunct w:val="0"/>
        <w:autoSpaceDE/>
        <w:autoSpaceDN/>
        <w:bidi w:val="0"/>
        <w:adjustRightInd w:val="0"/>
        <w:snapToGrid w:val="0"/>
        <w:spacing w:beforeAutospacing="0" w:after="0" w:line="360" w:lineRule="auto"/>
        <w:ind w:left="0" w:leftChars="0" w:right="0" w:firstLine="420"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同功能码07数据格式。</w:t>
      </w:r>
    </w:p>
    <w:p w14:paraId="6BFB6D7F">
      <w:pPr>
        <w:keepNext w:val="0"/>
        <w:keepLines w:val="0"/>
        <w:pageBreakBefore w:val="0"/>
        <w:widowControl w:val="0"/>
        <w:kinsoku/>
        <w:wordWrap/>
        <w:topLinePunct w:val="0"/>
        <w:autoSpaceDE/>
        <w:autoSpaceDN/>
        <w:bidi w:val="0"/>
        <w:adjustRightInd w:val="0"/>
        <w:snapToGrid w:val="0"/>
        <w:spacing w:beforeAutospacing="0" w:after="0" w:line="360" w:lineRule="auto"/>
        <w:ind w:left="0" w:leftChars="0" w:right="0" w:firstLine="422"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3.3规约附录</w:t>
      </w:r>
    </w:p>
    <w:p w14:paraId="33EF03D4">
      <w:pPr>
        <w:keepNext w:val="0"/>
        <w:keepLines w:val="0"/>
        <w:pageBreakBefore w:val="0"/>
        <w:widowControl w:val="0"/>
        <w:kinsoku/>
        <w:wordWrap/>
        <w:topLinePunct w:val="0"/>
        <w:bidi w:val="0"/>
        <w:adjustRightInd w:val="0"/>
        <w:snapToGrid w:val="0"/>
        <w:spacing w:before="0" w:beforeAutospacing="0" w:line="360" w:lineRule="auto"/>
        <w:ind w:right="0"/>
        <w:jc w:val="center"/>
        <w:textAlignment w:val="auto"/>
        <w:outlineLvl w:val="0"/>
        <w:rPr>
          <w:rFonts w:hint="eastAsia" w:ascii="宋体" w:hAnsi="宋体" w:eastAsia="宋体" w:cs="宋体"/>
          <w:b w:val="0"/>
          <w:bCs w:val="0"/>
          <w:color w:val="auto"/>
          <w:kern w:val="2"/>
          <w:sz w:val="21"/>
          <w:szCs w:val="21"/>
          <w:highlight w:val="none"/>
          <w:lang w:val="en-US" w:eastAsia="zh-CN" w:bidi="ar-SA"/>
        </w:rPr>
      </w:pPr>
      <w:bookmarkStart w:id="549" w:name="_Toc32562"/>
      <w:bookmarkStart w:id="550" w:name="_Toc21236"/>
      <w:r>
        <w:rPr>
          <w:rFonts w:hint="eastAsia" w:ascii="宋体" w:hAnsi="宋体" w:eastAsia="宋体" w:cs="宋体"/>
          <w:b w:val="0"/>
          <w:bCs w:val="0"/>
          <w:color w:val="auto"/>
          <w:kern w:val="2"/>
          <w:sz w:val="21"/>
          <w:szCs w:val="21"/>
          <w:highlight w:val="none"/>
          <w:lang w:val="en-US" w:eastAsia="zh-CN" w:bidi="ar-SA"/>
        </w:rPr>
        <w:t>附录A</w:t>
      </w:r>
      <w:bookmarkEnd w:id="549"/>
      <w:bookmarkEnd w:id="550"/>
    </w:p>
    <w:p w14:paraId="38EE9BBC">
      <w:pPr>
        <w:keepNext w:val="0"/>
        <w:keepLines w:val="0"/>
        <w:pageBreakBefore w:val="0"/>
        <w:widowControl w:val="0"/>
        <w:kinsoku/>
        <w:wordWrap/>
        <w:topLinePunct w:val="0"/>
        <w:bidi w:val="0"/>
        <w:adjustRightInd w:val="0"/>
        <w:snapToGrid w:val="0"/>
        <w:spacing w:before="0" w:beforeAutospacing="0" w:line="360" w:lineRule="auto"/>
        <w:ind w:right="0"/>
        <w:jc w:val="center"/>
        <w:textAlignment w:val="auto"/>
        <w:outlineLvl w:val="0"/>
        <w:rPr>
          <w:rFonts w:hint="eastAsia" w:ascii="宋体" w:hAnsi="宋体" w:eastAsia="宋体" w:cs="宋体"/>
          <w:b w:val="0"/>
          <w:bCs w:val="0"/>
          <w:color w:val="auto"/>
          <w:kern w:val="2"/>
          <w:sz w:val="21"/>
          <w:szCs w:val="21"/>
          <w:highlight w:val="none"/>
          <w:lang w:val="en-US" w:eastAsia="zh-CN" w:bidi="ar-SA"/>
        </w:rPr>
      </w:pPr>
      <w:bookmarkStart w:id="551" w:name="_Toc13453"/>
      <w:bookmarkStart w:id="552" w:name="_Toc4351"/>
      <w:r>
        <w:rPr>
          <w:rFonts w:hint="eastAsia" w:ascii="宋体" w:hAnsi="宋体" w:eastAsia="宋体" w:cs="宋体"/>
          <w:b w:val="0"/>
          <w:bCs w:val="0"/>
          <w:color w:val="auto"/>
          <w:kern w:val="2"/>
          <w:sz w:val="21"/>
          <w:szCs w:val="21"/>
          <w:highlight w:val="none"/>
          <w:lang w:val="en-US" w:eastAsia="zh-CN" w:bidi="ar-SA"/>
        </w:rPr>
        <w:t>（设备类型代码表）</w:t>
      </w:r>
      <w:bookmarkEnd w:id="551"/>
      <w:bookmarkEnd w:id="552"/>
    </w:p>
    <w:tbl>
      <w:tblPr>
        <w:tblStyle w:val="44"/>
        <w:tblW w:w="7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4461"/>
        <w:gridCol w:w="1945"/>
      </w:tblGrid>
      <w:tr w14:paraId="4489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19C64F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类型代码</w:t>
            </w:r>
          </w:p>
        </w:tc>
        <w:tc>
          <w:tcPr>
            <w:tcW w:w="4461" w:type="dxa"/>
            <w:noWrap w:val="0"/>
            <w:vAlign w:val="top"/>
          </w:tcPr>
          <w:p w14:paraId="792ED1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设备</w:t>
            </w:r>
          </w:p>
        </w:tc>
        <w:tc>
          <w:tcPr>
            <w:tcW w:w="1945" w:type="dxa"/>
            <w:noWrap w:val="0"/>
            <w:vAlign w:val="top"/>
          </w:tcPr>
          <w:p w14:paraId="67C97C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r>
      <w:tr w14:paraId="1F32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2C7165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w:t>
            </w:r>
          </w:p>
        </w:tc>
        <w:tc>
          <w:tcPr>
            <w:tcW w:w="4461" w:type="dxa"/>
            <w:noWrap w:val="0"/>
            <w:vAlign w:val="top"/>
          </w:tcPr>
          <w:p w14:paraId="038844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系统保留</w:t>
            </w:r>
          </w:p>
        </w:tc>
        <w:tc>
          <w:tcPr>
            <w:tcW w:w="1945" w:type="dxa"/>
            <w:noWrap w:val="0"/>
            <w:vAlign w:val="top"/>
          </w:tcPr>
          <w:p w14:paraId="4C9C3A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23A9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6CF392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4461" w:type="dxa"/>
            <w:noWrap w:val="0"/>
            <w:vAlign w:val="top"/>
          </w:tcPr>
          <w:p w14:paraId="06F0FE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一体式小口径水表</w:t>
            </w:r>
          </w:p>
        </w:tc>
        <w:tc>
          <w:tcPr>
            <w:tcW w:w="1945" w:type="dxa"/>
            <w:noWrap w:val="0"/>
            <w:vAlign w:val="top"/>
          </w:tcPr>
          <w:p w14:paraId="62A712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536C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5D0063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4461" w:type="dxa"/>
            <w:noWrap w:val="0"/>
            <w:vAlign w:val="top"/>
          </w:tcPr>
          <w:p w14:paraId="7DD983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一体式大口径水表</w:t>
            </w:r>
          </w:p>
        </w:tc>
        <w:tc>
          <w:tcPr>
            <w:tcW w:w="1945" w:type="dxa"/>
            <w:noWrap w:val="0"/>
            <w:vAlign w:val="top"/>
          </w:tcPr>
          <w:p w14:paraId="2E61D3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36D5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5ED7F5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4461" w:type="dxa"/>
            <w:noWrap w:val="0"/>
            <w:vAlign w:val="top"/>
          </w:tcPr>
          <w:p w14:paraId="371AAC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分体式小口径水表</w:t>
            </w:r>
          </w:p>
        </w:tc>
        <w:tc>
          <w:tcPr>
            <w:tcW w:w="1945" w:type="dxa"/>
            <w:noWrap w:val="0"/>
            <w:vAlign w:val="top"/>
          </w:tcPr>
          <w:p w14:paraId="22EE3A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52D9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548CBB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4461" w:type="dxa"/>
            <w:noWrap w:val="0"/>
            <w:vAlign w:val="top"/>
          </w:tcPr>
          <w:p w14:paraId="3D0BBC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分体式大口径水表</w:t>
            </w:r>
          </w:p>
        </w:tc>
        <w:tc>
          <w:tcPr>
            <w:tcW w:w="1945" w:type="dxa"/>
            <w:noWrap w:val="0"/>
            <w:vAlign w:val="top"/>
          </w:tcPr>
          <w:p w14:paraId="372D93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303B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4A5D3B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4461" w:type="dxa"/>
            <w:noWrap w:val="0"/>
            <w:vAlign w:val="top"/>
          </w:tcPr>
          <w:p w14:paraId="33E1F5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分体式远传终端（采集智能水表）</w:t>
            </w:r>
          </w:p>
        </w:tc>
        <w:tc>
          <w:tcPr>
            <w:tcW w:w="1945" w:type="dxa"/>
            <w:noWrap w:val="0"/>
            <w:vAlign w:val="top"/>
          </w:tcPr>
          <w:p w14:paraId="5B07E6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37B5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73" w:type="dxa"/>
            <w:noWrap w:val="0"/>
            <w:vAlign w:val="top"/>
          </w:tcPr>
          <w:p w14:paraId="3DBA14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4461" w:type="dxa"/>
            <w:noWrap w:val="0"/>
            <w:vAlign w:val="top"/>
          </w:tcPr>
          <w:p w14:paraId="52FBBC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一体式中口径水表</w:t>
            </w:r>
          </w:p>
        </w:tc>
        <w:tc>
          <w:tcPr>
            <w:tcW w:w="1945" w:type="dxa"/>
            <w:noWrap w:val="0"/>
            <w:vAlign w:val="top"/>
          </w:tcPr>
          <w:p w14:paraId="16D1C9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bl>
    <w:p w14:paraId="4A74FB5F">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0" w:right="0" w:firstLine="422" w:firstLineChars="200"/>
        <w:textAlignment w:val="auto"/>
        <w:rPr>
          <w:rFonts w:hint="eastAsia" w:ascii="宋体" w:hAnsi="宋体" w:eastAsia="宋体" w:cs="宋体"/>
          <w:b/>
          <w:bCs/>
          <w:color w:val="auto"/>
          <w:kern w:val="2"/>
          <w:sz w:val="21"/>
          <w:szCs w:val="21"/>
          <w:highlight w:val="none"/>
          <w:lang w:val="en-US" w:eastAsia="zh-CN"/>
        </w:rPr>
      </w:pPr>
    </w:p>
    <w:p w14:paraId="688E07A6">
      <w:pPr>
        <w:keepNext w:val="0"/>
        <w:keepLines w:val="0"/>
        <w:pageBreakBefore w:val="0"/>
        <w:widowControl w:val="0"/>
        <w:kinsoku/>
        <w:wordWrap/>
        <w:overflowPunct/>
        <w:topLinePunct w:val="0"/>
        <w:bidi w:val="0"/>
        <w:adjustRightInd w:val="0"/>
        <w:snapToGrid w:val="0"/>
        <w:spacing w:beforeAutospacing="0" w:line="360" w:lineRule="auto"/>
        <w:ind w:lef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eastAsia="zh-CN"/>
        </w:rPr>
        <w:t>B</w:t>
      </w:r>
    </w:p>
    <w:p w14:paraId="416BC35C">
      <w:pPr>
        <w:keepNext w:val="0"/>
        <w:keepLines w:val="0"/>
        <w:pageBreakBefore w:val="0"/>
        <w:widowControl w:val="0"/>
        <w:kinsoku/>
        <w:wordWrap/>
        <w:overflowPunct/>
        <w:topLinePunct w:val="0"/>
        <w:bidi w:val="0"/>
        <w:adjustRightInd w:val="0"/>
        <w:snapToGrid w:val="0"/>
        <w:spacing w:before="0" w:beforeAutospacing="0" w:line="360" w:lineRule="auto"/>
        <w:ind w:left="0"/>
        <w:jc w:val="center"/>
        <w:textAlignment w:val="auto"/>
        <w:outlineLvl w:val="0"/>
        <w:rPr>
          <w:rFonts w:hint="eastAsia" w:ascii="宋体" w:hAnsi="宋体" w:eastAsia="宋体" w:cs="宋体"/>
          <w:b w:val="0"/>
          <w:bCs w:val="0"/>
          <w:color w:val="auto"/>
          <w:kern w:val="2"/>
          <w:sz w:val="21"/>
          <w:szCs w:val="21"/>
          <w:highlight w:val="none"/>
          <w:lang w:val="en-US" w:eastAsia="zh-CN" w:bidi="ar-SA"/>
        </w:rPr>
      </w:pPr>
      <w:bookmarkStart w:id="553" w:name="_Toc19307"/>
      <w:bookmarkStart w:id="554" w:name="_Toc16551"/>
      <w:r>
        <w:rPr>
          <w:rFonts w:hint="eastAsia" w:ascii="宋体" w:hAnsi="宋体" w:eastAsia="宋体" w:cs="宋体"/>
          <w:b w:val="0"/>
          <w:bCs w:val="0"/>
          <w:color w:val="auto"/>
          <w:kern w:val="2"/>
          <w:sz w:val="21"/>
          <w:szCs w:val="21"/>
          <w:highlight w:val="none"/>
          <w:lang w:val="en-US" w:eastAsia="zh-CN" w:bidi="ar-SA"/>
        </w:rPr>
        <w:t>（故障代码编排规范）</w:t>
      </w:r>
      <w:bookmarkEnd w:id="553"/>
      <w:bookmarkEnd w:id="554"/>
    </w:p>
    <w:p w14:paraId="6DDCFC64">
      <w:pPr>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right="0" w:firstLine="417"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每种故障对应以下故障代码表中的一个比特位（Bit）,存在故障则该位置1，否则置0。</w:t>
      </w:r>
    </w:p>
    <w:p w14:paraId="2B4EBE79">
      <w:pPr>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drawing>
          <wp:inline distT="0" distB="0" distL="114300" distR="114300">
            <wp:extent cx="5630545" cy="664210"/>
            <wp:effectExtent l="0" t="0" r="8255" b="2540"/>
            <wp:docPr id="6" name="图片 4" descr="[ZB5$%8IU%ZB`O~JC2UA0Z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ZB5$%8IU%ZB`O~JC2UA0ZX"/>
                    <pic:cNvPicPr>
                      <a:picLocks noChangeAspect="1"/>
                    </pic:cNvPicPr>
                  </pic:nvPicPr>
                  <pic:blipFill>
                    <a:blip r:embed="rId12"/>
                    <a:stretch>
                      <a:fillRect/>
                    </a:stretch>
                  </pic:blipFill>
                  <pic:spPr>
                    <a:xfrm>
                      <a:off x="0" y="0"/>
                      <a:ext cx="5630545" cy="664210"/>
                    </a:xfrm>
                    <a:prstGeom prst="rect">
                      <a:avLst/>
                    </a:prstGeom>
                    <a:noFill/>
                    <a:ln>
                      <a:noFill/>
                    </a:ln>
                  </pic:spPr>
                </pic:pic>
              </a:graphicData>
            </a:graphic>
          </wp:inline>
        </w:drawing>
      </w:r>
    </w:p>
    <w:p w14:paraId="3D494F62">
      <w:pPr>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故障代码位序示意图（共64个位，对应编码中的bit0至bit63）</w:t>
      </w:r>
    </w:p>
    <w:p w14:paraId="3518F89A">
      <w:pPr>
        <w:keepNext w:val="0"/>
        <w:keepLines w:val="0"/>
        <w:pageBreakBefore w:val="0"/>
        <w:widowControl w:val="0"/>
        <w:kinsoku/>
        <w:wordWrap/>
        <w:overflowPunct/>
        <w:topLinePunct w:val="0"/>
        <w:autoSpaceDE/>
        <w:autoSpaceDN/>
        <w:bidi w:val="0"/>
        <w:adjustRightInd w:val="0"/>
        <w:snapToGrid w:val="0"/>
        <w:spacing w:beforeAutospacing="0" w:after="0" w:line="360" w:lineRule="auto"/>
        <w:ind w:left="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故障代码表（位号1对应下位机编程中下标为0的Bit0）：</w:t>
      </w:r>
    </w:p>
    <w:tbl>
      <w:tblPr>
        <w:tblStyle w:val="44"/>
        <w:tblW w:w="43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265"/>
        <w:gridCol w:w="6387"/>
      </w:tblGrid>
      <w:tr w14:paraId="6EEC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noWrap w:val="0"/>
            <w:vAlign w:val="center"/>
          </w:tcPr>
          <w:p w14:paraId="0E6A0A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字节号</w:t>
            </w:r>
          </w:p>
        </w:tc>
        <w:tc>
          <w:tcPr>
            <w:tcW w:w="701" w:type="pct"/>
            <w:noWrap w:val="0"/>
            <w:vAlign w:val="center"/>
          </w:tcPr>
          <w:p w14:paraId="784995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位号</w:t>
            </w:r>
          </w:p>
        </w:tc>
        <w:tc>
          <w:tcPr>
            <w:tcW w:w="3539" w:type="pct"/>
            <w:noWrap w:val="0"/>
            <w:vAlign w:val="center"/>
          </w:tcPr>
          <w:p w14:paraId="5005FB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说明</w:t>
            </w:r>
          </w:p>
        </w:tc>
      </w:tr>
      <w:tr w14:paraId="761E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68B082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701" w:type="pct"/>
            <w:noWrap w:val="0"/>
            <w:vAlign w:val="center"/>
          </w:tcPr>
          <w:p w14:paraId="3E0176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3539" w:type="pct"/>
            <w:noWrap w:val="0"/>
            <w:vAlign w:val="center"/>
          </w:tcPr>
          <w:p w14:paraId="627C5D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反向报警</w:t>
            </w:r>
          </w:p>
        </w:tc>
      </w:tr>
      <w:tr w14:paraId="61F1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7454E4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65641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3539" w:type="pct"/>
            <w:noWrap w:val="0"/>
            <w:vAlign w:val="center"/>
          </w:tcPr>
          <w:p w14:paraId="7FF098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流量过载报警</w:t>
            </w:r>
          </w:p>
        </w:tc>
      </w:tr>
      <w:tr w14:paraId="5455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DF980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13FA4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3539" w:type="pct"/>
            <w:noWrap w:val="0"/>
            <w:vAlign w:val="center"/>
          </w:tcPr>
          <w:p w14:paraId="5AE516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流量上限报警</w:t>
            </w:r>
          </w:p>
        </w:tc>
      </w:tr>
      <w:tr w14:paraId="63FC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B8915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06D0B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3539" w:type="pct"/>
            <w:noWrap w:val="0"/>
            <w:vAlign w:val="center"/>
          </w:tcPr>
          <w:p w14:paraId="5B29A5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流量下限报警</w:t>
            </w:r>
          </w:p>
        </w:tc>
      </w:tr>
      <w:tr w14:paraId="7F43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6C73F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39B770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3539" w:type="pct"/>
            <w:noWrap w:val="0"/>
            <w:vAlign w:val="center"/>
          </w:tcPr>
          <w:p w14:paraId="2DD895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流量限制报警</w:t>
            </w:r>
          </w:p>
        </w:tc>
      </w:tr>
      <w:tr w14:paraId="4CD8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7BB58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401D9B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3539" w:type="pct"/>
            <w:noWrap w:val="0"/>
            <w:vAlign w:val="center"/>
          </w:tcPr>
          <w:p w14:paraId="0BA422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总量报警</w:t>
            </w:r>
          </w:p>
        </w:tc>
      </w:tr>
      <w:tr w14:paraId="0255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E0E60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668F1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3539" w:type="pct"/>
            <w:noWrap w:val="0"/>
            <w:vAlign w:val="center"/>
          </w:tcPr>
          <w:p w14:paraId="73838D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低电预警</w:t>
            </w:r>
          </w:p>
        </w:tc>
      </w:tr>
      <w:tr w14:paraId="6EFF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EB7F7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42578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w:t>
            </w:r>
          </w:p>
        </w:tc>
        <w:tc>
          <w:tcPr>
            <w:tcW w:w="3539" w:type="pct"/>
            <w:noWrap w:val="0"/>
            <w:vAlign w:val="center"/>
          </w:tcPr>
          <w:p w14:paraId="69902F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低电报警</w:t>
            </w:r>
          </w:p>
        </w:tc>
      </w:tr>
      <w:tr w14:paraId="3A7B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3F367F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701" w:type="pct"/>
            <w:noWrap w:val="0"/>
            <w:vAlign w:val="center"/>
          </w:tcPr>
          <w:p w14:paraId="745B21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9</w:t>
            </w:r>
          </w:p>
        </w:tc>
        <w:tc>
          <w:tcPr>
            <w:tcW w:w="3539" w:type="pct"/>
            <w:noWrap w:val="0"/>
            <w:vAlign w:val="center"/>
          </w:tcPr>
          <w:p w14:paraId="529A09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电源报警</w:t>
            </w:r>
          </w:p>
        </w:tc>
      </w:tr>
      <w:tr w14:paraId="41B0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147CA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7986B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10</w:t>
            </w:r>
          </w:p>
        </w:tc>
        <w:tc>
          <w:tcPr>
            <w:tcW w:w="3539" w:type="pct"/>
            <w:noWrap w:val="0"/>
            <w:vAlign w:val="center"/>
          </w:tcPr>
          <w:p w14:paraId="67787D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电源故障</w:t>
            </w:r>
          </w:p>
        </w:tc>
      </w:tr>
      <w:tr w14:paraId="5D7B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5F06F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33473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11</w:t>
            </w:r>
          </w:p>
        </w:tc>
        <w:tc>
          <w:tcPr>
            <w:tcW w:w="3539" w:type="pct"/>
            <w:noWrap w:val="0"/>
            <w:vAlign w:val="center"/>
          </w:tcPr>
          <w:p w14:paraId="5C93E7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电极偏差报警</w:t>
            </w:r>
          </w:p>
        </w:tc>
      </w:tr>
      <w:tr w14:paraId="237E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2F6AC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45021E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12</w:t>
            </w:r>
          </w:p>
        </w:tc>
        <w:tc>
          <w:tcPr>
            <w:tcW w:w="3539" w:type="pct"/>
            <w:noWrap w:val="0"/>
            <w:vAlign w:val="center"/>
          </w:tcPr>
          <w:p w14:paraId="62148E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高直流电压（报警）</w:t>
            </w:r>
          </w:p>
        </w:tc>
      </w:tr>
      <w:tr w14:paraId="4974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AE3FB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C891B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13</w:t>
            </w:r>
          </w:p>
        </w:tc>
        <w:tc>
          <w:tcPr>
            <w:tcW w:w="3539" w:type="pct"/>
            <w:noWrap w:val="0"/>
            <w:vAlign w:val="center"/>
          </w:tcPr>
          <w:p w14:paraId="0C0C61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高直流电压（电池电源）</w:t>
            </w:r>
          </w:p>
        </w:tc>
      </w:tr>
      <w:tr w14:paraId="5578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8BEC4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6B279E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14</w:t>
            </w:r>
          </w:p>
        </w:tc>
        <w:tc>
          <w:tcPr>
            <w:tcW w:w="3539" w:type="pct"/>
            <w:noWrap w:val="0"/>
            <w:vAlign w:val="center"/>
          </w:tcPr>
          <w:p w14:paraId="51AD28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高直流电压（任何电源类型）</w:t>
            </w:r>
          </w:p>
        </w:tc>
      </w:tr>
      <w:tr w14:paraId="1817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1EF9A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0370A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15</w:t>
            </w:r>
          </w:p>
        </w:tc>
        <w:tc>
          <w:tcPr>
            <w:tcW w:w="3539" w:type="pct"/>
            <w:noWrap w:val="0"/>
            <w:vAlign w:val="center"/>
          </w:tcPr>
          <w:p w14:paraId="1EE494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线圈电流错误</w:t>
            </w:r>
          </w:p>
        </w:tc>
      </w:tr>
      <w:tr w14:paraId="258D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195B3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06681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16</w:t>
            </w:r>
          </w:p>
        </w:tc>
        <w:tc>
          <w:tcPr>
            <w:tcW w:w="3539" w:type="pct"/>
            <w:noWrap w:val="0"/>
            <w:vAlign w:val="center"/>
          </w:tcPr>
          <w:p w14:paraId="79E12D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外部电池故障</w:t>
            </w:r>
          </w:p>
        </w:tc>
      </w:tr>
      <w:tr w14:paraId="757D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6EFA29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701" w:type="pct"/>
            <w:noWrap w:val="0"/>
            <w:vAlign w:val="center"/>
          </w:tcPr>
          <w:p w14:paraId="78EDAC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17</w:t>
            </w:r>
          </w:p>
        </w:tc>
        <w:tc>
          <w:tcPr>
            <w:tcW w:w="3539" w:type="pct"/>
            <w:noWrap w:val="0"/>
            <w:vAlign w:val="center"/>
          </w:tcPr>
          <w:p w14:paraId="75FD39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测温探头短路</w:t>
            </w:r>
          </w:p>
        </w:tc>
      </w:tr>
      <w:tr w14:paraId="46E6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A678F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433631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18</w:t>
            </w:r>
          </w:p>
        </w:tc>
        <w:tc>
          <w:tcPr>
            <w:tcW w:w="3539" w:type="pct"/>
            <w:noWrap w:val="0"/>
            <w:vAlign w:val="center"/>
          </w:tcPr>
          <w:p w14:paraId="116803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测温探头断路</w:t>
            </w:r>
          </w:p>
        </w:tc>
      </w:tr>
      <w:tr w14:paraId="2828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B872C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B10CD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19</w:t>
            </w:r>
          </w:p>
        </w:tc>
        <w:tc>
          <w:tcPr>
            <w:tcW w:w="3539" w:type="pct"/>
            <w:noWrap w:val="0"/>
            <w:vAlign w:val="center"/>
          </w:tcPr>
          <w:p w14:paraId="6D5D6E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水温超范围</w:t>
            </w:r>
          </w:p>
        </w:tc>
      </w:tr>
      <w:tr w14:paraId="1070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709B5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14332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w:t>
            </w:r>
          </w:p>
        </w:tc>
        <w:tc>
          <w:tcPr>
            <w:tcW w:w="3539" w:type="pct"/>
            <w:noWrap w:val="0"/>
            <w:vAlign w:val="center"/>
          </w:tcPr>
          <w:p w14:paraId="6E2AA5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信号强度不稳定</w:t>
            </w:r>
          </w:p>
        </w:tc>
      </w:tr>
      <w:tr w14:paraId="2529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950BC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6B5379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21</w:t>
            </w:r>
          </w:p>
        </w:tc>
        <w:tc>
          <w:tcPr>
            <w:tcW w:w="3539" w:type="pct"/>
            <w:noWrap w:val="0"/>
            <w:vAlign w:val="center"/>
          </w:tcPr>
          <w:p w14:paraId="3FB154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信号强度过弱</w:t>
            </w:r>
          </w:p>
        </w:tc>
      </w:tr>
      <w:tr w14:paraId="23BE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C06A7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17B60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22</w:t>
            </w:r>
          </w:p>
        </w:tc>
        <w:tc>
          <w:tcPr>
            <w:tcW w:w="3539" w:type="pct"/>
            <w:noWrap w:val="0"/>
            <w:vAlign w:val="center"/>
          </w:tcPr>
          <w:p w14:paraId="0076A7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信号强度较强</w:t>
            </w:r>
          </w:p>
        </w:tc>
      </w:tr>
      <w:tr w14:paraId="04C6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D0F1A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26D9E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23</w:t>
            </w:r>
          </w:p>
        </w:tc>
        <w:tc>
          <w:tcPr>
            <w:tcW w:w="3539" w:type="pct"/>
            <w:noWrap w:val="0"/>
            <w:vAlign w:val="center"/>
          </w:tcPr>
          <w:p w14:paraId="4DDECC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增益报警</w:t>
            </w:r>
          </w:p>
        </w:tc>
      </w:tr>
      <w:tr w14:paraId="740B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E6A0A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34566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24</w:t>
            </w:r>
          </w:p>
        </w:tc>
        <w:tc>
          <w:tcPr>
            <w:tcW w:w="3539" w:type="pct"/>
            <w:noWrap w:val="0"/>
            <w:vAlign w:val="center"/>
          </w:tcPr>
          <w:p w14:paraId="445D81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E2PROM损坏</w:t>
            </w:r>
          </w:p>
        </w:tc>
      </w:tr>
      <w:tr w14:paraId="0553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4F868F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701" w:type="pct"/>
            <w:noWrap w:val="0"/>
            <w:vAlign w:val="center"/>
          </w:tcPr>
          <w:p w14:paraId="243C47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25</w:t>
            </w:r>
          </w:p>
        </w:tc>
        <w:tc>
          <w:tcPr>
            <w:tcW w:w="3539" w:type="pct"/>
            <w:noWrap w:val="0"/>
            <w:vAlign w:val="center"/>
          </w:tcPr>
          <w:p w14:paraId="4111B4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坏/电路板异常</w:t>
            </w:r>
          </w:p>
        </w:tc>
      </w:tr>
      <w:tr w14:paraId="264B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AF99D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22860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26</w:t>
            </w:r>
          </w:p>
        </w:tc>
        <w:tc>
          <w:tcPr>
            <w:tcW w:w="3539" w:type="pct"/>
            <w:noWrap w:val="0"/>
            <w:vAlign w:val="center"/>
          </w:tcPr>
          <w:p w14:paraId="2A1CDE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换能器故障</w:t>
            </w:r>
          </w:p>
        </w:tc>
      </w:tr>
      <w:tr w14:paraId="49B7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0FE09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CDF0A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27</w:t>
            </w:r>
          </w:p>
        </w:tc>
        <w:tc>
          <w:tcPr>
            <w:tcW w:w="3539" w:type="pct"/>
            <w:noWrap w:val="0"/>
            <w:vAlign w:val="center"/>
          </w:tcPr>
          <w:p w14:paraId="44D663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空管报警</w:t>
            </w:r>
          </w:p>
        </w:tc>
      </w:tr>
      <w:tr w14:paraId="7F3B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8F957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407FF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28</w:t>
            </w:r>
          </w:p>
        </w:tc>
        <w:tc>
          <w:tcPr>
            <w:tcW w:w="3539" w:type="pct"/>
            <w:noWrap w:val="0"/>
            <w:vAlign w:val="center"/>
          </w:tcPr>
          <w:p w14:paraId="5ADFC5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低阻抗报警</w:t>
            </w:r>
          </w:p>
        </w:tc>
      </w:tr>
      <w:tr w14:paraId="3B53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7B974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F0A11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29</w:t>
            </w:r>
          </w:p>
        </w:tc>
        <w:tc>
          <w:tcPr>
            <w:tcW w:w="3539" w:type="pct"/>
            <w:noWrap w:val="0"/>
            <w:vAlign w:val="center"/>
          </w:tcPr>
          <w:p w14:paraId="30E53A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泄漏报警</w:t>
            </w:r>
          </w:p>
        </w:tc>
      </w:tr>
      <w:tr w14:paraId="2164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BEB2E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FA1B7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30</w:t>
            </w:r>
          </w:p>
        </w:tc>
        <w:tc>
          <w:tcPr>
            <w:tcW w:w="3539" w:type="pct"/>
            <w:noWrap w:val="0"/>
            <w:vAlign w:val="center"/>
          </w:tcPr>
          <w:p w14:paraId="0D1F36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压力测量故障</w:t>
            </w:r>
          </w:p>
        </w:tc>
      </w:tr>
      <w:tr w14:paraId="6AC8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CE9B3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6F4A56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31</w:t>
            </w:r>
          </w:p>
        </w:tc>
        <w:tc>
          <w:tcPr>
            <w:tcW w:w="3539" w:type="pct"/>
            <w:noWrap w:val="0"/>
            <w:vAlign w:val="center"/>
          </w:tcPr>
          <w:p w14:paraId="0173CE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GPS定位故障</w:t>
            </w:r>
          </w:p>
        </w:tc>
      </w:tr>
      <w:tr w14:paraId="6E78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799B89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7E1A2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32</w:t>
            </w:r>
          </w:p>
        </w:tc>
        <w:tc>
          <w:tcPr>
            <w:tcW w:w="3539" w:type="pct"/>
            <w:noWrap w:val="0"/>
            <w:vAlign w:val="center"/>
          </w:tcPr>
          <w:p w14:paraId="3B7F74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水表通信故障</w:t>
            </w:r>
          </w:p>
        </w:tc>
      </w:tr>
      <w:tr w14:paraId="1B3C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5775B2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701" w:type="pct"/>
            <w:noWrap w:val="0"/>
            <w:vAlign w:val="center"/>
          </w:tcPr>
          <w:p w14:paraId="41B26C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33</w:t>
            </w:r>
          </w:p>
        </w:tc>
        <w:tc>
          <w:tcPr>
            <w:tcW w:w="3539" w:type="pct"/>
            <w:noWrap w:val="0"/>
            <w:vAlign w:val="center"/>
          </w:tcPr>
          <w:p w14:paraId="354E74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ABB内部报警</w:t>
            </w:r>
          </w:p>
        </w:tc>
      </w:tr>
      <w:tr w14:paraId="278A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28DEE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D2EA8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34</w:t>
            </w:r>
          </w:p>
        </w:tc>
        <w:tc>
          <w:tcPr>
            <w:tcW w:w="3539" w:type="pct"/>
            <w:noWrap w:val="0"/>
            <w:vAlign w:val="center"/>
          </w:tcPr>
          <w:p w14:paraId="755C54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MID（只读）开关</w:t>
            </w:r>
          </w:p>
        </w:tc>
      </w:tr>
      <w:tr w14:paraId="5863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2D2E9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4FFD1A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35</w:t>
            </w:r>
          </w:p>
        </w:tc>
        <w:tc>
          <w:tcPr>
            <w:tcW w:w="3539" w:type="pct"/>
            <w:noWrap w:val="0"/>
            <w:vAlign w:val="center"/>
          </w:tcPr>
          <w:p w14:paraId="016A88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传感器常见故障</w:t>
            </w:r>
          </w:p>
        </w:tc>
      </w:tr>
      <w:tr w14:paraId="2F31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0ABED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38B936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36</w:t>
            </w:r>
          </w:p>
        </w:tc>
        <w:tc>
          <w:tcPr>
            <w:tcW w:w="3539" w:type="pct"/>
            <w:noWrap w:val="0"/>
            <w:vAlign w:val="center"/>
          </w:tcPr>
          <w:p w14:paraId="29459F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传感器和换能器之间通讯故障</w:t>
            </w:r>
          </w:p>
        </w:tc>
      </w:tr>
      <w:tr w14:paraId="2FAE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855D1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DFE8C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37</w:t>
            </w:r>
          </w:p>
        </w:tc>
        <w:tc>
          <w:tcPr>
            <w:tcW w:w="3539" w:type="pct"/>
            <w:noWrap w:val="0"/>
            <w:vAlign w:val="center"/>
          </w:tcPr>
          <w:p w14:paraId="427432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绝缘错误</w:t>
            </w:r>
          </w:p>
        </w:tc>
      </w:tr>
      <w:tr w14:paraId="6C50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25DAC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CD09C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38</w:t>
            </w:r>
          </w:p>
        </w:tc>
        <w:tc>
          <w:tcPr>
            <w:tcW w:w="3539" w:type="pct"/>
            <w:noWrap w:val="0"/>
            <w:vAlign w:val="center"/>
          </w:tcPr>
          <w:p w14:paraId="216A77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励磁报警</w:t>
            </w:r>
          </w:p>
        </w:tc>
      </w:tr>
      <w:tr w14:paraId="0254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1A2D1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9F4CB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39</w:t>
            </w:r>
          </w:p>
        </w:tc>
        <w:tc>
          <w:tcPr>
            <w:tcW w:w="3539" w:type="pct"/>
            <w:noWrap w:val="0"/>
            <w:vAlign w:val="center"/>
          </w:tcPr>
          <w:p w14:paraId="2FF0B4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励磁线圈断开报警</w:t>
            </w:r>
          </w:p>
        </w:tc>
      </w:tr>
      <w:tr w14:paraId="5F77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A3E00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56170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40</w:t>
            </w:r>
          </w:p>
        </w:tc>
        <w:tc>
          <w:tcPr>
            <w:tcW w:w="3539" w:type="pct"/>
            <w:noWrap w:val="0"/>
            <w:vAlign w:val="center"/>
          </w:tcPr>
          <w:p w14:paraId="129464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脉冲过载报警</w:t>
            </w:r>
          </w:p>
        </w:tc>
      </w:tr>
      <w:tr w14:paraId="369F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46A10A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701" w:type="pct"/>
            <w:noWrap w:val="0"/>
            <w:vAlign w:val="center"/>
          </w:tcPr>
          <w:p w14:paraId="0C9B8A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41</w:t>
            </w:r>
          </w:p>
        </w:tc>
        <w:tc>
          <w:tcPr>
            <w:tcW w:w="3539" w:type="pct"/>
            <w:noWrap w:val="0"/>
            <w:vAlign w:val="center"/>
          </w:tcPr>
          <w:p w14:paraId="4B6CAA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前置放大器过载</w:t>
            </w:r>
          </w:p>
        </w:tc>
      </w:tr>
      <w:tr w14:paraId="63FE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0D63E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38D3B8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42</w:t>
            </w:r>
          </w:p>
        </w:tc>
        <w:tc>
          <w:tcPr>
            <w:tcW w:w="3539" w:type="pct"/>
            <w:noWrap w:val="0"/>
            <w:vAlign w:val="center"/>
          </w:tcPr>
          <w:p w14:paraId="79FE25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声波接收超时</w:t>
            </w:r>
          </w:p>
        </w:tc>
      </w:tr>
      <w:tr w14:paraId="3AA6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F0F20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77424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43</w:t>
            </w:r>
          </w:p>
        </w:tc>
        <w:tc>
          <w:tcPr>
            <w:tcW w:w="3539" w:type="pct"/>
            <w:noWrap w:val="0"/>
            <w:vAlign w:val="center"/>
          </w:tcPr>
          <w:p w14:paraId="355DF2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输出脉冲溢出报警</w:t>
            </w:r>
          </w:p>
        </w:tc>
      </w:tr>
      <w:tr w14:paraId="5AB3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5EF38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84ECE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44</w:t>
            </w:r>
          </w:p>
        </w:tc>
        <w:tc>
          <w:tcPr>
            <w:tcW w:w="3539" w:type="pct"/>
            <w:noWrap w:val="0"/>
            <w:vAlign w:val="center"/>
          </w:tcPr>
          <w:p w14:paraId="26255E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数据库校验和错误</w:t>
            </w:r>
          </w:p>
        </w:tc>
      </w:tr>
      <w:tr w14:paraId="02AE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72D432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9DF94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45</w:t>
            </w:r>
          </w:p>
        </w:tc>
        <w:tc>
          <w:tcPr>
            <w:tcW w:w="3539" w:type="pct"/>
            <w:noWrap w:val="0"/>
            <w:vAlign w:val="center"/>
          </w:tcPr>
          <w:p w14:paraId="5A835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未连接传感器</w:t>
            </w:r>
          </w:p>
        </w:tc>
      </w:tr>
      <w:tr w14:paraId="504C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0247A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D6633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46</w:t>
            </w:r>
          </w:p>
        </w:tc>
        <w:tc>
          <w:tcPr>
            <w:tcW w:w="3539" w:type="pct"/>
            <w:noWrap w:val="0"/>
            <w:vAlign w:val="center"/>
          </w:tcPr>
          <w:p w14:paraId="4D70BB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未连接线圈</w:t>
            </w:r>
          </w:p>
        </w:tc>
      </w:tr>
      <w:tr w14:paraId="1682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3DE82E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313AD1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47</w:t>
            </w:r>
          </w:p>
        </w:tc>
        <w:tc>
          <w:tcPr>
            <w:tcW w:w="3539" w:type="pct"/>
            <w:noWrap w:val="0"/>
            <w:vAlign w:val="center"/>
          </w:tcPr>
          <w:p w14:paraId="57B007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系统报警</w:t>
            </w:r>
          </w:p>
        </w:tc>
      </w:tr>
      <w:tr w14:paraId="51A9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4F3C0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DB302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48</w:t>
            </w:r>
          </w:p>
        </w:tc>
        <w:tc>
          <w:tcPr>
            <w:tcW w:w="3539" w:type="pct"/>
            <w:noWrap w:val="0"/>
            <w:vAlign w:val="center"/>
          </w:tcPr>
          <w:p w14:paraId="1C3F6B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消费间隔报警</w:t>
            </w:r>
          </w:p>
        </w:tc>
      </w:tr>
      <w:tr w14:paraId="7AA2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0C06CB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701" w:type="pct"/>
            <w:noWrap w:val="0"/>
            <w:vAlign w:val="center"/>
          </w:tcPr>
          <w:p w14:paraId="59AACF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49</w:t>
            </w:r>
          </w:p>
        </w:tc>
        <w:tc>
          <w:tcPr>
            <w:tcW w:w="3539" w:type="pct"/>
            <w:noWrap w:val="0"/>
            <w:vAlign w:val="center"/>
          </w:tcPr>
          <w:p w14:paraId="5F96F9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信号捕获</w:t>
            </w:r>
          </w:p>
        </w:tc>
      </w:tr>
      <w:tr w14:paraId="00FA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DC42D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2EB01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50</w:t>
            </w:r>
          </w:p>
        </w:tc>
        <w:tc>
          <w:tcPr>
            <w:tcW w:w="3539" w:type="pct"/>
            <w:noWrap w:val="0"/>
            <w:vAlign w:val="center"/>
          </w:tcPr>
          <w:p w14:paraId="7C0CBB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RTU与水表通信故障（485通信故障）</w:t>
            </w:r>
          </w:p>
        </w:tc>
      </w:tr>
      <w:tr w14:paraId="0C2C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71663F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E7F7F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51</w:t>
            </w:r>
          </w:p>
        </w:tc>
        <w:tc>
          <w:tcPr>
            <w:tcW w:w="3539" w:type="pct"/>
            <w:noWrap w:val="0"/>
            <w:vAlign w:val="center"/>
          </w:tcPr>
          <w:p w14:paraId="29B437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磁干扰报警</w:t>
            </w:r>
          </w:p>
        </w:tc>
      </w:tr>
      <w:tr w14:paraId="73E1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561FB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2C542F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52</w:t>
            </w:r>
          </w:p>
        </w:tc>
        <w:tc>
          <w:tcPr>
            <w:tcW w:w="3539" w:type="pct"/>
            <w:noWrap w:val="0"/>
            <w:vAlign w:val="center"/>
          </w:tcPr>
          <w:p w14:paraId="7015D9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电子模块分离报警</w:t>
            </w:r>
          </w:p>
        </w:tc>
      </w:tr>
      <w:tr w14:paraId="3E9A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7716A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EB6A7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53</w:t>
            </w:r>
          </w:p>
        </w:tc>
        <w:tc>
          <w:tcPr>
            <w:tcW w:w="3539" w:type="pct"/>
            <w:noWrap w:val="0"/>
            <w:vAlign w:val="center"/>
          </w:tcPr>
          <w:p w14:paraId="07CAC7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拆盖报警</w:t>
            </w:r>
          </w:p>
        </w:tc>
      </w:tr>
      <w:tr w14:paraId="403E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2AE112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417A07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54</w:t>
            </w:r>
          </w:p>
        </w:tc>
        <w:tc>
          <w:tcPr>
            <w:tcW w:w="3539" w:type="pct"/>
            <w:noWrap w:val="0"/>
            <w:vAlign w:val="center"/>
          </w:tcPr>
          <w:p w14:paraId="5B5B75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更换电池报警</w:t>
            </w:r>
          </w:p>
        </w:tc>
      </w:tr>
      <w:tr w14:paraId="7EA0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BC04C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3675F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55</w:t>
            </w:r>
          </w:p>
        </w:tc>
        <w:tc>
          <w:tcPr>
            <w:tcW w:w="3539" w:type="pct"/>
            <w:noWrap w:val="0"/>
            <w:vAlign w:val="center"/>
          </w:tcPr>
          <w:p w14:paraId="7C9523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5530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C64FB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1B1C24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56</w:t>
            </w:r>
          </w:p>
        </w:tc>
        <w:tc>
          <w:tcPr>
            <w:tcW w:w="3539" w:type="pct"/>
            <w:noWrap w:val="0"/>
            <w:vAlign w:val="center"/>
          </w:tcPr>
          <w:p w14:paraId="13B849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6E8E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restart"/>
            <w:noWrap w:val="0"/>
            <w:vAlign w:val="center"/>
          </w:tcPr>
          <w:p w14:paraId="1C3B0F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w:t>
            </w:r>
          </w:p>
        </w:tc>
        <w:tc>
          <w:tcPr>
            <w:tcW w:w="701" w:type="pct"/>
            <w:noWrap w:val="0"/>
            <w:vAlign w:val="center"/>
          </w:tcPr>
          <w:p w14:paraId="5D4B04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57</w:t>
            </w:r>
          </w:p>
        </w:tc>
        <w:tc>
          <w:tcPr>
            <w:tcW w:w="3539" w:type="pct"/>
            <w:noWrap w:val="0"/>
            <w:vAlign w:val="center"/>
          </w:tcPr>
          <w:p w14:paraId="7CF05C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0B90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058200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D383C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58</w:t>
            </w:r>
          </w:p>
        </w:tc>
        <w:tc>
          <w:tcPr>
            <w:tcW w:w="3539" w:type="pct"/>
            <w:noWrap w:val="0"/>
            <w:vAlign w:val="center"/>
          </w:tcPr>
          <w:p w14:paraId="25AB74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1C54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5E81D2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306D4F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59</w:t>
            </w:r>
          </w:p>
        </w:tc>
        <w:tc>
          <w:tcPr>
            <w:tcW w:w="3539" w:type="pct"/>
            <w:noWrap w:val="0"/>
            <w:vAlign w:val="center"/>
          </w:tcPr>
          <w:p w14:paraId="7EF8B1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12F1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68B4B0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4ECBCF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60</w:t>
            </w:r>
          </w:p>
        </w:tc>
        <w:tc>
          <w:tcPr>
            <w:tcW w:w="3539" w:type="pct"/>
            <w:noWrap w:val="0"/>
            <w:vAlign w:val="center"/>
          </w:tcPr>
          <w:p w14:paraId="09922B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0EB1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1BB53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5A00B4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61</w:t>
            </w:r>
          </w:p>
        </w:tc>
        <w:tc>
          <w:tcPr>
            <w:tcW w:w="3539" w:type="pct"/>
            <w:noWrap w:val="0"/>
            <w:vAlign w:val="center"/>
          </w:tcPr>
          <w:p w14:paraId="6498F1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6F3E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42DAE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0F223B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62</w:t>
            </w:r>
          </w:p>
        </w:tc>
        <w:tc>
          <w:tcPr>
            <w:tcW w:w="3539" w:type="pct"/>
            <w:noWrap w:val="0"/>
            <w:vAlign w:val="center"/>
          </w:tcPr>
          <w:p w14:paraId="551642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3209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749383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7E0B97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63</w:t>
            </w:r>
          </w:p>
        </w:tc>
        <w:tc>
          <w:tcPr>
            <w:tcW w:w="3539" w:type="pct"/>
            <w:noWrap w:val="0"/>
            <w:vAlign w:val="center"/>
          </w:tcPr>
          <w:p w14:paraId="404023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r w14:paraId="6BA0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pct"/>
            <w:vMerge w:val="continue"/>
            <w:noWrap w:val="0"/>
            <w:vAlign w:val="center"/>
          </w:tcPr>
          <w:p w14:paraId="17AA9E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701" w:type="pct"/>
            <w:noWrap w:val="0"/>
            <w:vAlign w:val="center"/>
          </w:tcPr>
          <w:p w14:paraId="4AFF9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64</w:t>
            </w:r>
          </w:p>
        </w:tc>
        <w:tc>
          <w:tcPr>
            <w:tcW w:w="3539" w:type="pct"/>
            <w:noWrap w:val="0"/>
            <w:vAlign w:val="center"/>
          </w:tcPr>
          <w:p w14:paraId="5CA28F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预留</w:t>
            </w:r>
          </w:p>
        </w:tc>
      </w:tr>
    </w:tbl>
    <w:p w14:paraId="785C0C4F">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p>
    <w:p w14:paraId="4EF7376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highlight w:val="none"/>
          <w:lang w:val="en-US" w:eastAsia="zh-CN"/>
        </w:rPr>
      </w:pPr>
      <w:bookmarkStart w:id="555" w:name="_Toc2673"/>
      <w:bookmarkStart w:id="556" w:name="_Toc21955"/>
      <w:r>
        <w:rPr>
          <w:rFonts w:hint="eastAsia" w:ascii="宋体" w:hAnsi="宋体" w:eastAsia="宋体" w:cs="宋体"/>
          <w:b w:val="0"/>
          <w:bCs w:val="0"/>
          <w:color w:val="auto"/>
          <w:sz w:val="21"/>
          <w:szCs w:val="21"/>
          <w:highlight w:val="none"/>
        </w:rPr>
        <w:t>附录</w:t>
      </w:r>
      <w:r>
        <w:rPr>
          <w:rFonts w:hint="eastAsia" w:ascii="宋体" w:hAnsi="宋体" w:eastAsia="宋体" w:cs="宋体"/>
          <w:b w:val="0"/>
          <w:bCs w:val="0"/>
          <w:color w:val="auto"/>
          <w:sz w:val="21"/>
          <w:szCs w:val="21"/>
          <w:highlight w:val="none"/>
          <w:lang w:val="en-US" w:eastAsia="zh-CN"/>
        </w:rPr>
        <w:t>C</w:t>
      </w:r>
      <w:bookmarkEnd w:id="555"/>
      <w:bookmarkEnd w:id="556"/>
    </w:p>
    <w:p w14:paraId="686C407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0"/>
        <w:rPr>
          <w:rFonts w:hint="eastAsia" w:ascii="宋体" w:hAnsi="宋体" w:eastAsia="宋体" w:cs="宋体"/>
          <w:b w:val="0"/>
          <w:bCs w:val="0"/>
          <w:color w:val="auto"/>
          <w:sz w:val="21"/>
          <w:szCs w:val="21"/>
          <w:highlight w:val="none"/>
        </w:rPr>
      </w:pPr>
      <w:bookmarkStart w:id="557" w:name="_Toc2346"/>
      <w:bookmarkStart w:id="558" w:name="_Toc17893"/>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仪表数据说明</w:t>
      </w:r>
      <w:r>
        <w:rPr>
          <w:rFonts w:hint="eastAsia" w:ascii="宋体" w:hAnsi="宋体" w:eastAsia="宋体" w:cs="宋体"/>
          <w:b w:val="0"/>
          <w:bCs w:val="0"/>
          <w:color w:val="auto"/>
          <w:sz w:val="21"/>
          <w:szCs w:val="21"/>
          <w:highlight w:val="none"/>
        </w:rPr>
        <w:t>）</w:t>
      </w:r>
      <w:bookmarkEnd w:id="557"/>
      <w:bookmarkEnd w:id="558"/>
    </w:p>
    <w:tbl>
      <w:tblPr>
        <w:tblStyle w:val="44"/>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060"/>
        <w:gridCol w:w="1870"/>
        <w:gridCol w:w="1720"/>
        <w:gridCol w:w="1740"/>
        <w:gridCol w:w="1663"/>
      </w:tblGrid>
      <w:tr w14:paraId="4974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84" w:type="dxa"/>
            <w:noWrap w:val="0"/>
            <w:vAlign w:val="center"/>
          </w:tcPr>
          <w:p w14:paraId="25D880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499AD1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数据段代码（TAG）</w:t>
            </w:r>
          </w:p>
        </w:tc>
        <w:tc>
          <w:tcPr>
            <w:tcW w:w="1870" w:type="dxa"/>
            <w:noWrap w:val="0"/>
            <w:vAlign w:val="center"/>
          </w:tcPr>
          <w:p w14:paraId="415342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含义</w:t>
            </w:r>
          </w:p>
        </w:tc>
        <w:tc>
          <w:tcPr>
            <w:tcW w:w="1720" w:type="dxa"/>
            <w:noWrap w:val="0"/>
            <w:vAlign w:val="center"/>
          </w:tcPr>
          <w:p w14:paraId="7B4EAA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第一时段数据(VALUE)</w:t>
            </w:r>
          </w:p>
        </w:tc>
        <w:tc>
          <w:tcPr>
            <w:tcW w:w="1740" w:type="dxa"/>
            <w:noWrap w:val="0"/>
            <w:vAlign w:val="center"/>
          </w:tcPr>
          <w:p w14:paraId="1044DC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1663" w:type="dxa"/>
            <w:noWrap w:val="0"/>
            <w:vAlign w:val="center"/>
          </w:tcPr>
          <w:p w14:paraId="50A6CD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第N时段数据</w:t>
            </w:r>
          </w:p>
        </w:tc>
      </w:tr>
      <w:tr w14:paraId="47EE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07EDF6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6BC021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20H</w:t>
            </w:r>
          </w:p>
        </w:tc>
        <w:tc>
          <w:tcPr>
            <w:tcW w:w="1870" w:type="dxa"/>
            <w:noWrap w:val="0"/>
            <w:vAlign w:val="center"/>
          </w:tcPr>
          <w:p w14:paraId="5EB6D7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正向瞬时流量（单位：立方米/小时）</w:t>
            </w:r>
          </w:p>
        </w:tc>
        <w:tc>
          <w:tcPr>
            <w:tcW w:w="1720" w:type="dxa"/>
            <w:noWrap w:val="0"/>
            <w:vAlign w:val="center"/>
          </w:tcPr>
          <w:p w14:paraId="5CA903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740" w:type="dxa"/>
            <w:noWrap w:val="0"/>
            <w:vAlign w:val="center"/>
          </w:tcPr>
          <w:p w14:paraId="6858CD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663" w:type="dxa"/>
            <w:noWrap w:val="0"/>
            <w:vAlign w:val="center"/>
          </w:tcPr>
          <w:p w14:paraId="006040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r>
      <w:tr w14:paraId="02C5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4E0B09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5B9A07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21H</w:t>
            </w:r>
          </w:p>
        </w:tc>
        <w:tc>
          <w:tcPr>
            <w:tcW w:w="1870" w:type="dxa"/>
            <w:noWrap w:val="0"/>
            <w:vAlign w:val="center"/>
          </w:tcPr>
          <w:p w14:paraId="79EADB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反向瞬时流量（单位：立方米/小时）</w:t>
            </w:r>
          </w:p>
        </w:tc>
        <w:tc>
          <w:tcPr>
            <w:tcW w:w="1720" w:type="dxa"/>
            <w:noWrap w:val="0"/>
            <w:vAlign w:val="center"/>
          </w:tcPr>
          <w:p w14:paraId="684244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740" w:type="dxa"/>
            <w:noWrap w:val="0"/>
            <w:vAlign w:val="center"/>
          </w:tcPr>
          <w:p w14:paraId="6D887B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663" w:type="dxa"/>
            <w:noWrap w:val="0"/>
            <w:vAlign w:val="center"/>
          </w:tcPr>
          <w:p w14:paraId="43202E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r>
      <w:tr w14:paraId="6750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0B8E87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3885DE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22H</w:t>
            </w:r>
          </w:p>
        </w:tc>
        <w:tc>
          <w:tcPr>
            <w:tcW w:w="1870" w:type="dxa"/>
            <w:noWrap w:val="0"/>
            <w:vAlign w:val="center"/>
          </w:tcPr>
          <w:p w14:paraId="68B378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正向累计行度（单位：立方米）</w:t>
            </w:r>
          </w:p>
        </w:tc>
        <w:tc>
          <w:tcPr>
            <w:tcW w:w="1720" w:type="dxa"/>
            <w:noWrap w:val="0"/>
            <w:vAlign w:val="center"/>
          </w:tcPr>
          <w:p w14:paraId="606F2B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8字节浮点数</w:t>
            </w:r>
          </w:p>
        </w:tc>
        <w:tc>
          <w:tcPr>
            <w:tcW w:w="1740" w:type="dxa"/>
            <w:noWrap w:val="0"/>
            <w:vAlign w:val="center"/>
          </w:tcPr>
          <w:p w14:paraId="2113A2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4字节浮点数（相对上一时刻增量）</w:t>
            </w:r>
          </w:p>
        </w:tc>
        <w:tc>
          <w:tcPr>
            <w:tcW w:w="1663" w:type="dxa"/>
            <w:noWrap w:val="0"/>
            <w:vAlign w:val="center"/>
          </w:tcPr>
          <w:p w14:paraId="46BA6B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4字节浮点数（相对上一时刻增量）</w:t>
            </w:r>
          </w:p>
        </w:tc>
      </w:tr>
      <w:tr w14:paraId="63AB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34595E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24EEC0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23H</w:t>
            </w:r>
          </w:p>
        </w:tc>
        <w:tc>
          <w:tcPr>
            <w:tcW w:w="1870" w:type="dxa"/>
            <w:noWrap w:val="0"/>
            <w:vAlign w:val="center"/>
          </w:tcPr>
          <w:p w14:paraId="0A3C1C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反向累计行度（单位：立方米）</w:t>
            </w:r>
          </w:p>
        </w:tc>
        <w:tc>
          <w:tcPr>
            <w:tcW w:w="1720" w:type="dxa"/>
            <w:noWrap w:val="0"/>
            <w:vAlign w:val="center"/>
          </w:tcPr>
          <w:p w14:paraId="3597CF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8字节浮点数</w:t>
            </w:r>
          </w:p>
        </w:tc>
        <w:tc>
          <w:tcPr>
            <w:tcW w:w="1740" w:type="dxa"/>
            <w:noWrap w:val="0"/>
            <w:vAlign w:val="center"/>
          </w:tcPr>
          <w:p w14:paraId="380200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4字节浮点数（相对上一时刻增量）</w:t>
            </w:r>
          </w:p>
        </w:tc>
        <w:tc>
          <w:tcPr>
            <w:tcW w:w="1663" w:type="dxa"/>
            <w:noWrap w:val="0"/>
            <w:vAlign w:val="center"/>
          </w:tcPr>
          <w:p w14:paraId="6E0557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4字节浮点数（相对上一时刻增量）</w:t>
            </w:r>
          </w:p>
        </w:tc>
      </w:tr>
      <w:tr w14:paraId="217B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7AC7A8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59431D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24H</w:t>
            </w:r>
          </w:p>
        </w:tc>
        <w:tc>
          <w:tcPr>
            <w:tcW w:w="1870" w:type="dxa"/>
            <w:noWrap w:val="0"/>
            <w:vAlign w:val="center"/>
          </w:tcPr>
          <w:p w14:paraId="2368DD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净累计行度（单位：立方米）</w:t>
            </w:r>
          </w:p>
        </w:tc>
        <w:tc>
          <w:tcPr>
            <w:tcW w:w="1720" w:type="dxa"/>
            <w:noWrap w:val="0"/>
            <w:vAlign w:val="center"/>
          </w:tcPr>
          <w:p w14:paraId="5151C7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8字节浮点数</w:t>
            </w:r>
          </w:p>
        </w:tc>
        <w:tc>
          <w:tcPr>
            <w:tcW w:w="1740" w:type="dxa"/>
            <w:noWrap w:val="0"/>
            <w:vAlign w:val="center"/>
          </w:tcPr>
          <w:p w14:paraId="157E68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4字节浮点数（相对上一时刻增量）</w:t>
            </w:r>
          </w:p>
        </w:tc>
        <w:tc>
          <w:tcPr>
            <w:tcW w:w="1663" w:type="dxa"/>
            <w:noWrap w:val="0"/>
            <w:vAlign w:val="center"/>
          </w:tcPr>
          <w:p w14:paraId="31DB90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4字节浮点数（相对上一时刻增量）</w:t>
            </w:r>
          </w:p>
        </w:tc>
      </w:tr>
      <w:tr w14:paraId="38CC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2BC1A3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扩展数据段</w:t>
            </w:r>
          </w:p>
        </w:tc>
        <w:tc>
          <w:tcPr>
            <w:tcW w:w="1060" w:type="dxa"/>
            <w:noWrap w:val="0"/>
            <w:vAlign w:val="center"/>
          </w:tcPr>
          <w:p w14:paraId="55A902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30H</w:t>
            </w:r>
          </w:p>
        </w:tc>
        <w:tc>
          <w:tcPr>
            <w:tcW w:w="1870" w:type="dxa"/>
            <w:noWrap w:val="0"/>
            <w:vAlign w:val="center"/>
          </w:tcPr>
          <w:p w14:paraId="0B441F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阀门状态</w:t>
            </w:r>
          </w:p>
        </w:tc>
        <w:tc>
          <w:tcPr>
            <w:tcW w:w="1720" w:type="dxa"/>
            <w:noWrap w:val="0"/>
            <w:vAlign w:val="center"/>
          </w:tcPr>
          <w:p w14:paraId="73D842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740" w:type="dxa"/>
            <w:noWrap w:val="0"/>
            <w:vAlign w:val="center"/>
          </w:tcPr>
          <w:p w14:paraId="0444F6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663" w:type="dxa"/>
            <w:noWrap w:val="0"/>
            <w:vAlign w:val="center"/>
          </w:tcPr>
          <w:p w14:paraId="2EC97D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r>
      <w:tr w14:paraId="06B6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7F3D05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0256EC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31H</w:t>
            </w:r>
          </w:p>
        </w:tc>
        <w:tc>
          <w:tcPr>
            <w:tcW w:w="1870" w:type="dxa"/>
            <w:noWrap w:val="0"/>
            <w:vAlign w:val="center"/>
          </w:tcPr>
          <w:p w14:paraId="19760D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压力</w:t>
            </w:r>
          </w:p>
        </w:tc>
        <w:tc>
          <w:tcPr>
            <w:tcW w:w="1720" w:type="dxa"/>
            <w:noWrap w:val="0"/>
            <w:vAlign w:val="center"/>
          </w:tcPr>
          <w:p w14:paraId="747074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740" w:type="dxa"/>
            <w:noWrap w:val="0"/>
            <w:vAlign w:val="center"/>
          </w:tcPr>
          <w:p w14:paraId="123C99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663" w:type="dxa"/>
            <w:noWrap w:val="0"/>
            <w:vAlign w:val="center"/>
          </w:tcPr>
          <w:p w14:paraId="28BDF8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r>
      <w:tr w14:paraId="242B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84" w:type="dxa"/>
            <w:vMerge w:val="continue"/>
            <w:noWrap w:val="0"/>
            <w:vAlign w:val="center"/>
          </w:tcPr>
          <w:p w14:paraId="570518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1880A5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32H</w:t>
            </w:r>
          </w:p>
        </w:tc>
        <w:tc>
          <w:tcPr>
            <w:tcW w:w="1870" w:type="dxa"/>
            <w:noWrap w:val="0"/>
            <w:vAlign w:val="center"/>
          </w:tcPr>
          <w:p w14:paraId="5AC8F5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电池电压（备注4）</w:t>
            </w:r>
          </w:p>
        </w:tc>
        <w:tc>
          <w:tcPr>
            <w:tcW w:w="1720" w:type="dxa"/>
            <w:noWrap w:val="0"/>
            <w:vAlign w:val="center"/>
          </w:tcPr>
          <w:p w14:paraId="4AB882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1740" w:type="dxa"/>
            <w:noWrap w:val="0"/>
            <w:vAlign w:val="center"/>
          </w:tcPr>
          <w:p w14:paraId="5EBA75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1663" w:type="dxa"/>
            <w:noWrap w:val="0"/>
            <w:vAlign w:val="center"/>
          </w:tcPr>
          <w:p w14:paraId="26187C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r>
      <w:tr w14:paraId="6157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581A85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13687D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33H</w:t>
            </w:r>
          </w:p>
        </w:tc>
        <w:tc>
          <w:tcPr>
            <w:tcW w:w="1870" w:type="dxa"/>
            <w:noWrap w:val="0"/>
            <w:vAlign w:val="center"/>
          </w:tcPr>
          <w:p w14:paraId="2E8009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温度</w:t>
            </w:r>
          </w:p>
        </w:tc>
        <w:tc>
          <w:tcPr>
            <w:tcW w:w="1720" w:type="dxa"/>
            <w:noWrap w:val="0"/>
            <w:vAlign w:val="center"/>
          </w:tcPr>
          <w:p w14:paraId="6DE30F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2字节（备注1）</w:t>
            </w:r>
          </w:p>
        </w:tc>
        <w:tc>
          <w:tcPr>
            <w:tcW w:w="1740" w:type="dxa"/>
            <w:noWrap w:val="0"/>
            <w:vAlign w:val="center"/>
          </w:tcPr>
          <w:p w14:paraId="184F69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2字节（备注1）</w:t>
            </w:r>
          </w:p>
        </w:tc>
        <w:tc>
          <w:tcPr>
            <w:tcW w:w="1663" w:type="dxa"/>
            <w:noWrap w:val="0"/>
            <w:vAlign w:val="center"/>
          </w:tcPr>
          <w:p w14:paraId="45F5A7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2字节（备注1）</w:t>
            </w:r>
          </w:p>
        </w:tc>
      </w:tr>
      <w:tr w14:paraId="0960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2A7074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58E1F9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34H</w:t>
            </w:r>
          </w:p>
        </w:tc>
        <w:tc>
          <w:tcPr>
            <w:tcW w:w="1870" w:type="dxa"/>
            <w:noWrap w:val="0"/>
            <w:vAlign w:val="center"/>
          </w:tcPr>
          <w:p w14:paraId="095666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信号强度</w:t>
            </w:r>
          </w:p>
        </w:tc>
        <w:tc>
          <w:tcPr>
            <w:tcW w:w="1720" w:type="dxa"/>
            <w:noWrap w:val="0"/>
            <w:vAlign w:val="center"/>
          </w:tcPr>
          <w:p w14:paraId="0A106A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740" w:type="dxa"/>
            <w:noWrap w:val="0"/>
            <w:vAlign w:val="center"/>
          </w:tcPr>
          <w:p w14:paraId="4ED67A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663" w:type="dxa"/>
            <w:noWrap w:val="0"/>
            <w:vAlign w:val="center"/>
          </w:tcPr>
          <w:p w14:paraId="0B226B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r>
      <w:tr w14:paraId="0C8F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75C0EC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763CDC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35H</w:t>
            </w:r>
          </w:p>
        </w:tc>
        <w:tc>
          <w:tcPr>
            <w:tcW w:w="1870" w:type="dxa"/>
            <w:noWrap w:val="0"/>
            <w:vAlign w:val="center"/>
          </w:tcPr>
          <w:p w14:paraId="78E386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GPS经纬度（备注2）</w:t>
            </w:r>
          </w:p>
        </w:tc>
        <w:tc>
          <w:tcPr>
            <w:tcW w:w="1720" w:type="dxa"/>
            <w:noWrap w:val="0"/>
            <w:vAlign w:val="center"/>
          </w:tcPr>
          <w:p w14:paraId="187CD4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8字节浮点数（经度）+8字节浮点数（纬度）</w:t>
            </w:r>
          </w:p>
        </w:tc>
        <w:tc>
          <w:tcPr>
            <w:tcW w:w="1740" w:type="dxa"/>
            <w:noWrap w:val="0"/>
            <w:vAlign w:val="center"/>
          </w:tcPr>
          <w:p w14:paraId="7EEE9E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无</w:t>
            </w:r>
          </w:p>
          <w:p w14:paraId="159278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（经纬度固定只传1个时刻数）</w:t>
            </w:r>
          </w:p>
        </w:tc>
        <w:tc>
          <w:tcPr>
            <w:tcW w:w="1663" w:type="dxa"/>
            <w:noWrap w:val="0"/>
            <w:vAlign w:val="center"/>
          </w:tcPr>
          <w:p w14:paraId="20DD9E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无</w:t>
            </w:r>
          </w:p>
          <w:p w14:paraId="366045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（经纬度固定只传1个时刻数）</w:t>
            </w:r>
          </w:p>
        </w:tc>
      </w:tr>
      <w:tr w14:paraId="077E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restart"/>
            <w:noWrap w:val="0"/>
            <w:vAlign w:val="center"/>
          </w:tcPr>
          <w:p w14:paraId="11D186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水质数据段</w:t>
            </w:r>
          </w:p>
        </w:tc>
        <w:tc>
          <w:tcPr>
            <w:tcW w:w="1060" w:type="dxa"/>
            <w:noWrap w:val="0"/>
            <w:vAlign w:val="center"/>
          </w:tcPr>
          <w:p w14:paraId="11F122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40</w:t>
            </w:r>
          </w:p>
        </w:tc>
        <w:tc>
          <w:tcPr>
            <w:tcW w:w="1870" w:type="dxa"/>
            <w:noWrap w:val="0"/>
            <w:vAlign w:val="center"/>
          </w:tcPr>
          <w:p w14:paraId="22F53A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pH</w:t>
            </w:r>
          </w:p>
        </w:tc>
        <w:tc>
          <w:tcPr>
            <w:tcW w:w="1720" w:type="dxa"/>
            <w:noWrap w:val="0"/>
            <w:vAlign w:val="center"/>
          </w:tcPr>
          <w:p w14:paraId="0E55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740" w:type="dxa"/>
            <w:noWrap w:val="0"/>
            <w:vAlign w:val="center"/>
          </w:tcPr>
          <w:p w14:paraId="15B50B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663" w:type="dxa"/>
            <w:noWrap w:val="0"/>
            <w:vAlign w:val="center"/>
          </w:tcPr>
          <w:p w14:paraId="59F09B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r>
      <w:tr w14:paraId="5458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4" w:type="dxa"/>
            <w:vMerge w:val="continue"/>
            <w:noWrap w:val="0"/>
            <w:vAlign w:val="center"/>
          </w:tcPr>
          <w:p w14:paraId="0DD98A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3C6025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41</w:t>
            </w:r>
          </w:p>
        </w:tc>
        <w:tc>
          <w:tcPr>
            <w:tcW w:w="1870" w:type="dxa"/>
            <w:noWrap w:val="0"/>
            <w:vAlign w:val="center"/>
          </w:tcPr>
          <w:p w14:paraId="2B49EA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浊度</w:t>
            </w:r>
          </w:p>
        </w:tc>
        <w:tc>
          <w:tcPr>
            <w:tcW w:w="1720" w:type="dxa"/>
            <w:noWrap w:val="0"/>
            <w:vAlign w:val="center"/>
          </w:tcPr>
          <w:p w14:paraId="2042A9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740" w:type="dxa"/>
            <w:noWrap w:val="0"/>
            <w:vAlign w:val="center"/>
          </w:tcPr>
          <w:p w14:paraId="585B46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663" w:type="dxa"/>
            <w:noWrap w:val="0"/>
            <w:vAlign w:val="center"/>
          </w:tcPr>
          <w:p w14:paraId="7DE523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r>
      <w:tr w14:paraId="07DB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84" w:type="dxa"/>
            <w:vMerge w:val="continue"/>
            <w:noWrap w:val="0"/>
            <w:vAlign w:val="center"/>
          </w:tcPr>
          <w:p w14:paraId="1262D4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1060" w:type="dxa"/>
            <w:noWrap w:val="0"/>
            <w:vAlign w:val="center"/>
          </w:tcPr>
          <w:p w14:paraId="7CEB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42</w:t>
            </w:r>
          </w:p>
        </w:tc>
        <w:tc>
          <w:tcPr>
            <w:tcW w:w="1870" w:type="dxa"/>
            <w:noWrap w:val="0"/>
            <w:vAlign w:val="center"/>
          </w:tcPr>
          <w:p w14:paraId="01CC63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余氯</w:t>
            </w:r>
          </w:p>
        </w:tc>
        <w:tc>
          <w:tcPr>
            <w:tcW w:w="1720" w:type="dxa"/>
            <w:noWrap w:val="0"/>
            <w:vAlign w:val="center"/>
          </w:tcPr>
          <w:p w14:paraId="0538CA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740" w:type="dxa"/>
            <w:noWrap w:val="0"/>
            <w:vAlign w:val="center"/>
          </w:tcPr>
          <w:p w14:paraId="3A0A81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1663" w:type="dxa"/>
            <w:noWrap w:val="0"/>
            <w:vAlign w:val="center"/>
          </w:tcPr>
          <w:p w14:paraId="79B44D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r>
    </w:tbl>
    <w:p w14:paraId="6D43EF8B">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bCs w:val="0"/>
          <w:color w:val="auto"/>
          <w:sz w:val="21"/>
          <w:szCs w:val="21"/>
          <w:highlight w:val="none"/>
        </w:rPr>
      </w:pPr>
    </w:p>
    <w:p w14:paraId="45E74AB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通用数据段</w:t>
      </w:r>
      <w:r>
        <w:rPr>
          <w:rFonts w:hint="eastAsia" w:ascii="宋体" w:hAnsi="宋体" w:eastAsia="宋体" w:cs="宋体"/>
          <w:b w:val="0"/>
          <w:bCs w:val="0"/>
          <w:color w:val="auto"/>
          <w:sz w:val="21"/>
          <w:szCs w:val="21"/>
          <w:highlight w:val="none"/>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2"/>
        <w:gridCol w:w="1276"/>
        <w:gridCol w:w="992"/>
        <w:gridCol w:w="992"/>
        <w:gridCol w:w="1384"/>
        <w:gridCol w:w="1276"/>
        <w:gridCol w:w="1239"/>
      </w:tblGrid>
      <w:tr w14:paraId="6C04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92" w:type="dxa"/>
            <w:noWrap w:val="0"/>
            <w:vAlign w:val="center"/>
          </w:tcPr>
          <w:p w14:paraId="2BF26C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1DA574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数据段代码</w:t>
            </w:r>
          </w:p>
        </w:tc>
        <w:tc>
          <w:tcPr>
            <w:tcW w:w="1276" w:type="dxa"/>
            <w:noWrap w:val="0"/>
            <w:vAlign w:val="center"/>
          </w:tcPr>
          <w:p w14:paraId="4DC38D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含义</w:t>
            </w:r>
          </w:p>
        </w:tc>
        <w:tc>
          <w:tcPr>
            <w:tcW w:w="992" w:type="dxa"/>
            <w:noWrap w:val="0"/>
            <w:vAlign w:val="center"/>
          </w:tcPr>
          <w:p w14:paraId="597E5E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通道总数</w:t>
            </w:r>
          </w:p>
        </w:tc>
        <w:tc>
          <w:tcPr>
            <w:tcW w:w="992" w:type="dxa"/>
            <w:noWrap w:val="0"/>
            <w:vAlign w:val="center"/>
          </w:tcPr>
          <w:p w14:paraId="40C350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通道号</w:t>
            </w:r>
          </w:p>
        </w:tc>
        <w:tc>
          <w:tcPr>
            <w:tcW w:w="1384" w:type="dxa"/>
            <w:noWrap w:val="0"/>
            <w:vAlign w:val="center"/>
          </w:tcPr>
          <w:p w14:paraId="6CCA93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第一时段数据</w:t>
            </w:r>
          </w:p>
        </w:tc>
        <w:tc>
          <w:tcPr>
            <w:tcW w:w="1276" w:type="dxa"/>
            <w:noWrap w:val="0"/>
            <w:vAlign w:val="center"/>
          </w:tcPr>
          <w:p w14:paraId="7E549D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w:t>
            </w:r>
          </w:p>
        </w:tc>
        <w:tc>
          <w:tcPr>
            <w:tcW w:w="1239" w:type="dxa"/>
            <w:noWrap w:val="0"/>
            <w:vAlign w:val="center"/>
          </w:tcPr>
          <w:p w14:paraId="514655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第N时段数据</w:t>
            </w:r>
          </w:p>
        </w:tc>
      </w:tr>
      <w:tr w14:paraId="2E24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restart"/>
            <w:noWrap w:val="0"/>
            <w:vAlign w:val="center"/>
          </w:tcPr>
          <w:p w14:paraId="4C5136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通用数据段</w:t>
            </w:r>
          </w:p>
        </w:tc>
        <w:tc>
          <w:tcPr>
            <w:tcW w:w="992" w:type="dxa"/>
            <w:noWrap w:val="0"/>
            <w:vAlign w:val="center"/>
          </w:tcPr>
          <w:p w14:paraId="2CA0EA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0AH</w:t>
            </w:r>
          </w:p>
        </w:tc>
        <w:tc>
          <w:tcPr>
            <w:tcW w:w="1276" w:type="dxa"/>
            <w:noWrap w:val="0"/>
            <w:vAlign w:val="center"/>
          </w:tcPr>
          <w:p w14:paraId="2F2CA8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模拟量</w:t>
            </w:r>
          </w:p>
        </w:tc>
        <w:tc>
          <w:tcPr>
            <w:tcW w:w="992" w:type="dxa"/>
            <w:noWrap w:val="0"/>
            <w:vAlign w:val="center"/>
          </w:tcPr>
          <w:p w14:paraId="7343DC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4BF0C4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384" w:type="dxa"/>
            <w:noWrap w:val="0"/>
            <w:vAlign w:val="center"/>
          </w:tcPr>
          <w:p w14:paraId="6D3AFE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1276" w:type="dxa"/>
            <w:noWrap w:val="0"/>
            <w:vAlign w:val="center"/>
          </w:tcPr>
          <w:p w14:paraId="2DB615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c>
          <w:tcPr>
            <w:tcW w:w="1239" w:type="dxa"/>
            <w:noWrap w:val="0"/>
            <w:vAlign w:val="center"/>
          </w:tcPr>
          <w:p w14:paraId="19D2A2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2字节</w:t>
            </w:r>
          </w:p>
        </w:tc>
      </w:tr>
      <w:tr w14:paraId="1458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1678BC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4DA486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0BH</w:t>
            </w:r>
          </w:p>
        </w:tc>
        <w:tc>
          <w:tcPr>
            <w:tcW w:w="1276" w:type="dxa"/>
            <w:noWrap w:val="0"/>
            <w:vAlign w:val="center"/>
          </w:tcPr>
          <w:p w14:paraId="364BB6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脉冲量</w:t>
            </w:r>
          </w:p>
        </w:tc>
        <w:tc>
          <w:tcPr>
            <w:tcW w:w="992" w:type="dxa"/>
            <w:noWrap w:val="0"/>
            <w:vAlign w:val="center"/>
          </w:tcPr>
          <w:p w14:paraId="570B93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07117B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384" w:type="dxa"/>
            <w:noWrap w:val="0"/>
            <w:vAlign w:val="center"/>
          </w:tcPr>
          <w:p w14:paraId="58F39C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w:t>
            </w:r>
          </w:p>
        </w:tc>
        <w:tc>
          <w:tcPr>
            <w:tcW w:w="1276" w:type="dxa"/>
            <w:noWrap w:val="0"/>
            <w:vAlign w:val="center"/>
          </w:tcPr>
          <w:p w14:paraId="39FDB7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w:t>
            </w:r>
          </w:p>
        </w:tc>
        <w:tc>
          <w:tcPr>
            <w:tcW w:w="1239" w:type="dxa"/>
            <w:noWrap w:val="0"/>
            <w:vAlign w:val="center"/>
          </w:tcPr>
          <w:p w14:paraId="020D02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w:t>
            </w:r>
          </w:p>
        </w:tc>
      </w:tr>
      <w:tr w14:paraId="1B1D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1E14A7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080ECF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0CH</w:t>
            </w:r>
          </w:p>
        </w:tc>
        <w:tc>
          <w:tcPr>
            <w:tcW w:w="1276" w:type="dxa"/>
            <w:noWrap w:val="0"/>
            <w:vAlign w:val="center"/>
          </w:tcPr>
          <w:p w14:paraId="3DAA64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开关量</w:t>
            </w:r>
          </w:p>
        </w:tc>
        <w:tc>
          <w:tcPr>
            <w:tcW w:w="992" w:type="dxa"/>
            <w:noWrap w:val="0"/>
            <w:vAlign w:val="center"/>
          </w:tcPr>
          <w:p w14:paraId="74CC78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4194FA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无</w:t>
            </w:r>
          </w:p>
        </w:tc>
        <w:tc>
          <w:tcPr>
            <w:tcW w:w="1384" w:type="dxa"/>
            <w:noWrap w:val="0"/>
            <w:vAlign w:val="center"/>
          </w:tcPr>
          <w:p w14:paraId="057221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备注3</w:t>
            </w:r>
          </w:p>
        </w:tc>
        <w:tc>
          <w:tcPr>
            <w:tcW w:w="1276" w:type="dxa"/>
            <w:noWrap w:val="0"/>
            <w:vAlign w:val="center"/>
          </w:tcPr>
          <w:p w14:paraId="4E6491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备注3</w:t>
            </w:r>
          </w:p>
        </w:tc>
        <w:tc>
          <w:tcPr>
            <w:tcW w:w="1239" w:type="dxa"/>
            <w:noWrap w:val="0"/>
            <w:vAlign w:val="center"/>
          </w:tcPr>
          <w:p w14:paraId="49D8FC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备注3</w:t>
            </w:r>
          </w:p>
        </w:tc>
      </w:tr>
      <w:tr w14:paraId="4A6D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5A061E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2DB4F4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0DH</w:t>
            </w:r>
          </w:p>
        </w:tc>
        <w:tc>
          <w:tcPr>
            <w:tcW w:w="1276" w:type="dxa"/>
            <w:noWrap w:val="0"/>
            <w:vAlign w:val="center"/>
          </w:tcPr>
          <w:p w14:paraId="3AB90C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ASCII</w:t>
            </w:r>
          </w:p>
        </w:tc>
        <w:tc>
          <w:tcPr>
            <w:tcW w:w="992" w:type="dxa"/>
            <w:noWrap w:val="0"/>
            <w:vAlign w:val="center"/>
          </w:tcPr>
          <w:p w14:paraId="12F60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3A901D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384" w:type="dxa"/>
            <w:noWrap w:val="0"/>
            <w:vAlign w:val="center"/>
          </w:tcPr>
          <w:p w14:paraId="43C96F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以\0 结束</w:t>
            </w:r>
          </w:p>
        </w:tc>
        <w:tc>
          <w:tcPr>
            <w:tcW w:w="1276" w:type="dxa"/>
            <w:noWrap w:val="0"/>
            <w:vAlign w:val="center"/>
          </w:tcPr>
          <w:p w14:paraId="7024A2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以\0 结束</w:t>
            </w:r>
          </w:p>
        </w:tc>
        <w:tc>
          <w:tcPr>
            <w:tcW w:w="1239" w:type="dxa"/>
            <w:noWrap w:val="0"/>
            <w:vAlign w:val="center"/>
          </w:tcPr>
          <w:p w14:paraId="3C9A31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以\0 结束</w:t>
            </w:r>
          </w:p>
        </w:tc>
      </w:tr>
      <w:tr w14:paraId="4DDE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28AA88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2FEE9B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0FH</w:t>
            </w:r>
          </w:p>
        </w:tc>
        <w:tc>
          <w:tcPr>
            <w:tcW w:w="1276" w:type="dxa"/>
            <w:noWrap w:val="0"/>
            <w:vAlign w:val="center"/>
          </w:tcPr>
          <w:p w14:paraId="1E859F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4字节浮点数</w:t>
            </w:r>
          </w:p>
        </w:tc>
        <w:tc>
          <w:tcPr>
            <w:tcW w:w="992" w:type="dxa"/>
            <w:noWrap w:val="0"/>
            <w:vAlign w:val="center"/>
          </w:tcPr>
          <w:p w14:paraId="00D901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52675F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384" w:type="dxa"/>
            <w:noWrap w:val="0"/>
            <w:vAlign w:val="center"/>
          </w:tcPr>
          <w:p w14:paraId="2ACB82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w:t>
            </w:r>
          </w:p>
        </w:tc>
        <w:tc>
          <w:tcPr>
            <w:tcW w:w="1276" w:type="dxa"/>
            <w:noWrap w:val="0"/>
            <w:vAlign w:val="center"/>
          </w:tcPr>
          <w:p w14:paraId="004FF9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w:t>
            </w:r>
          </w:p>
        </w:tc>
        <w:tc>
          <w:tcPr>
            <w:tcW w:w="1239" w:type="dxa"/>
            <w:noWrap w:val="0"/>
            <w:vAlign w:val="center"/>
          </w:tcPr>
          <w:p w14:paraId="203412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4字节</w:t>
            </w:r>
          </w:p>
        </w:tc>
      </w:tr>
      <w:tr w14:paraId="19FE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358586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2DEF4C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10H</w:t>
            </w:r>
          </w:p>
        </w:tc>
        <w:tc>
          <w:tcPr>
            <w:tcW w:w="1276" w:type="dxa"/>
            <w:noWrap w:val="0"/>
            <w:vAlign w:val="center"/>
          </w:tcPr>
          <w:p w14:paraId="308B0C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8字节浮点数</w:t>
            </w:r>
          </w:p>
        </w:tc>
        <w:tc>
          <w:tcPr>
            <w:tcW w:w="992" w:type="dxa"/>
            <w:noWrap w:val="0"/>
            <w:vAlign w:val="center"/>
          </w:tcPr>
          <w:p w14:paraId="55AF01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1F7894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384" w:type="dxa"/>
            <w:noWrap w:val="0"/>
            <w:vAlign w:val="center"/>
          </w:tcPr>
          <w:p w14:paraId="54AB4A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1276" w:type="dxa"/>
            <w:noWrap w:val="0"/>
            <w:vAlign w:val="center"/>
          </w:tcPr>
          <w:p w14:paraId="7367C1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1239" w:type="dxa"/>
            <w:noWrap w:val="0"/>
            <w:vAlign w:val="center"/>
          </w:tcPr>
          <w:p w14:paraId="60FB1C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r>
      <w:tr w14:paraId="120C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67536F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992" w:type="dxa"/>
            <w:noWrap w:val="0"/>
            <w:vAlign w:val="center"/>
          </w:tcPr>
          <w:p w14:paraId="03DE35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11H</w:t>
            </w:r>
          </w:p>
        </w:tc>
        <w:tc>
          <w:tcPr>
            <w:tcW w:w="1276" w:type="dxa"/>
            <w:noWrap w:val="0"/>
            <w:vAlign w:val="center"/>
          </w:tcPr>
          <w:p w14:paraId="15655B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8字节长整型</w:t>
            </w:r>
          </w:p>
        </w:tc>
        <w:tc>
          <w:tcPr>
            <w:tcW w:w="992" w:type="dxa"/>
            <w:noWrap w:val="0"/>
            <w:vAlign w:val="center"/>
          </w:tcPr>
          <w:p w14:paraId="7FA38A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992" w:type="dxa"/>
            <w:noWrap w:val="0"/>
            <w:vAlign w:val="center"/>
          </w:tcPr>
          <w:p w14:paraId="62A3E1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1字节</w:t>
            </w:r>
          </w:p>
        </w:tc>
        <w:tc>
          <w:tcPr>
            <w:tcW w:w="1384" w:type="dxa"/>
            <w:noWrap w:val="0"/>
            <w:vAlign w:val="center"/>
          </w:tcPr>
          <w:p w14:paraId="12D8C1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1276" w:type="dxa"/>
            <w:noWrap w:val="0"/>
            <w:vAlign w:val="center"/>
          </w:tcPr>
          <w:p w14:paraId="3D559E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c>
          <w:tcPr>
            <w:tcW w:w="1239" w:type="dxa"/>
            <w:noWrap w:val="0"/>
            <w:vAlign w:val="center"/>
          </w:tcPr>
          <w:p w14:paraId="160282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8字节</w:t>
            </w:r>
          </w:p>
        </w:tc>
      </w:tr>
    </w:tbl>
    <w:p w14:paraId="4F4F092A">
      <w:pPr>
        <w:widowControl w:val="0"/>
        <w:autoSpaceDE w:val="0"/>
        <w:autoSpaceDN w:val="0"/>
        <w:adjustRightInd w:val="0"/>
        <w:ind w:right="-26"/>
        <w:jc w:val="both"/>
        <w:rPr>
          <w:rFonts w:hint="eastAsia" w:ascii="宋体" w:hAnsi="宋体" w:eastAsia="宋体" w:cs="宋体"/>
          <w:b w:val="0"/>
          <w:bCs w:val="0"/>
          <w:color w:val="auto"/>
          <w:kern w:val="2"/>
          <w:sz w:val="21"/>
          <w:szCs w:val="21"/>
          <w:highlight w:val="none"/>
          <w:lang w:val="en-US" w:eastAsia="zh-CN" w:bidi="ar-SA"/>
        </w:rPr>
      </w:pPr>
    </w:p>
    <w:p w14:paraId="1505E566">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59" w:name="_Toc17807"/>
      <w:bookmarkStart w:id="560" w:name="_Toc21515"/>
      <w:r>
        <w:rPr>
          <w:rFonts w:hint="eastAsia" w:ascii="宋体" w:hAnsi="宋体" w:eastAsia="宋体" w:cs="宋体"/>
          <w:b w:val="0"/>
          <w:bCs w:val="0"/>
          <w:color w:val="auto"/>
          <w:kern w:val="0"/>
          <w:sz w:val="21"/>
          <w:szCs w:val="21"/>
          <w:highlight w:val="none"/>
          <w:lang w:val="en-US" w:eastAsia="zh-CN" w:bidi="ar-SA"/>
        </w:rPr>
        <w:t>备注1：单位为摄氏度，数值倍率为0.1，例如：数据值315*0.1＝31.5℃；</w:t>
      </w:r>
      <w:bookmarkEnd w:id="559"/>
      <w:bookmarkEnd w:id="560"/>
    </w:p>
    <w:p w14:paraId="0C8E7A4C">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61" w:name="_Toc1828"/>
      <w:bookmarkStart w:id="562" w:name="_Toc25309"/>
      <w:r>
        <w:rPr>
          <w:rFonts w:hint="eastAsia" w:ascii="宋体" w:hAnsi="宋体" w:eastAsia="宋体" w:cs="宋体"/>
          <w:b w:val="0"/>
          <w:bCs w:val="0"/>
          <w:color w:val="auto"/>
          <w:kern w:val="0"/>
          <w:sz w:val="21"/>
          <w:szCs w:val="21"/>
          <w:highlight w:val="none"/>
          <w:lang w:val="en-US" w:eastAsia="zh-CN" w:bidi="ar-SA"/>
        </w:rPr>
        <w:t>备注2：单位为度，东经为正，西经为负，北纬为正，南纬为负。GPS经纬度值占用字节较多，因此每帧数据中只包含一个时刻值即可；</w:t>
      </w:r>
      <w:bookmarkEnd w:id="561"/>
      <w:bookmarkEnd w:id="562"/>
    </w:p>
    <w:p w14:paraId="59DF4AE6">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63" w:name="_Toc24304"/>
      <w:bookmarkStart w:id="564" w:name="_Toc10666"/>
      <w:r>
        <w:rPr>
          <w:rFonts w:hint="eastAsia" w:ascii="宋体" w:hAnsi="宋体" w:eastAsia="宋体" w:cs="宋体"/>
          <w:b w:val="0"/>
          <w:bCs w:val="0"/>
          <w:color w:val="auto"/>
          <w:kern w:val="0"/>
          <w:sz w:val="21"/>
          <w:szCs w:val="21"/>
          <w:highlight w:val="none"/>
          <w:lang w:val="en-US" w:eastAsia="zh-CN" w:bidi="ar-SA"/>
        </w:rPr>
        <w:t>备注3：若通道总数小于等于8 ，此字节数为1；若通道总数大于8小于等于16此字节数为2。第一个字节的bit0-bit7表示第1—8开关量通道值；第二字节的bit0-bit7表示第9—16开关量通道值；；</w:t>
      </w:r>
      <w:bookmarkEnd w:id="563"/>
      <w:bookmarkEnd w:id="564"/>
    </w:p>
    <w:p w14:paraId="13B5EA5C">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65" w:name="_Toc20822"/>
      <w:bookmarkStart w:id="566" w:name="_Toc19572"/>
      <w:r>
        <w:rPr>
          <w:rFonts w:hint="eastAsia" w:ascii="宋体" w:hAnsi="宋体" w:eastAsia="宋体" w:cs="宋体"/>
          <w:b w:val="0"/>
          <w:bCs w:val="0"/>
          <w:color w:val="auto"/>
          <w:kern w:val="0"/>
          <w:sz w:val="21"/>
          <w:szCs w:val="21"/>
          <w:highlight w:val="none"/>
          <w:lang w:val="en-US" w:eastAsia="zh-CN" w:bidi="ar-SA"/>
        </w:rPr>
        <w:t>备注4：高字节在前，低字节在后。设备上发时将电压放大100倍后使用整型传输，上位机解码时将数值还原。示例：02H E8H = 744 * 0.01 =7.44V。</w:t>
      </w:r>
      <w:bookmarkEnd w:id="565"/>
      <w:bookmarkEnd w:id="566"/>
    </w:p>
    <w:p w14:paraId="38C500A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kern w:val="2"/>
          <w:sz w:val="21"/>
          <w:szCs w:val="21"/>
          <w:highlight w:val="none"/>
          <w:lang w:val="en-US" w:eastAsia="zh-CN"/>
        </w:rPr>
      </w:pPr>
    </w:p>
    <w:p w14:paraId="0C2B79A0">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right="0"/>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567" w:name="_Toc1441"/>
      <w:bookmarkStart w:id="568" w:name="_Toc9355"/>
      <w:r>
        <w:rPr>
          <w:rFonts w:hint="eastAsia" w:ascii="宋体" w:hAnsi="宋体" w:eastAsia="宋体" w:cs="宋体"/>
          <w:b/>
          <w:bCs/>
          <w:color w:val="auto"/>
          <w:kern w:val="0"/>
          <w:sz w:val="21"/>
          <w:szCs w:val="21"/>
          <w:highlight w:val="none"/>
          <w:lang w:val="en-US" w:eastAsia="zh-CN" w:bidi="ar-SA"/>
        </w:rPr>
        <w:t>四、售后服务及质保期</w:t>
      </w:r>
      <w:bookmarkEnd w:id="567"/>
      <w:bookmarkEnd w:id="568"/>
    </w:p>
    <w:p w14:paraId="7F6F7C93">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69" w:name="_Toc8224"/>
      <w:bookmarkStart w:id="570" w:name="_Toc9331"/>
      <w:r>
        <w:rPr>
          <w:rFonts w:hint="eastAsia" w:ascii="宋体" w:hAnsi="宋体" w:eastAsia="宋体" w:cs="宋体"/>
          <w:b w:val="0"/>
          <w:bCs w:val="0"/>
          <w:color w:val="auto"/>
          <w:kern w:val="0"/>
          <w:sz w:val="21"/>
          <w:szCs w:val="21"/>
          <w:highlight w:val="none"/>
          <w:lang w:val="en-US" w:eastAsia="zh-CN" w:bidi="ar-SA"/>
        </w:rPr>
        <w:t>4.1 投标人须保证对招标人具有完善的售后服务体系。投标人须配合远程设备的通讯调试；</w:t>
      </w:r>
      <w:bookmarkEnd w:id="569"/>
      <w:bookmarkEnd w:id="570"/>
    </w:p>
    <w:p w14:paraId="4AA2CFFB">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71" w:name="_Toc23812"/>
      <w:bookmarkStart w:id="572" w:name="_Toc28566"/>
      <w:r>
        <w:rPr>
          <w:rFonts w:hint="eastAsia" w:ascii="宋体" w:hAnsi="宋体" w:eastAsia="宋体" w:cs="宋体"/>
          <w:b w:val="0"/>
          <w:bCs w:val="0"/>
          <w:color w:val="auto"/>
          <w:kern w:val="0"/>
          <w:sz w:val="21"/>
          <w:szCs w:val="21"/>
          <w:highlight w:val="none"/>
          <w:lang w:val="en-US" w:eastAsia="zh-CN" w:bidi="ar-SA"/>
        </w:rPr>
        <w:t>4.2 投标人须提供技术文件资料，包括但不限于在远传调试、移交过程中需要的技术资料、上下行接口文件材料及服务；</w:t>
      </w:r>
      <w:bookmarkEnd w:id="571"/>
      <w:bookmarkEnd w:id="572"/>
    </w:p>
    <w:p w14:paraId="44885B29">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73" w:name="_Toc9698"/>
      <w:bookmarkStart w:id="574" w:name="_Toc18252"/>
      <w:r>
        <w:rPr>
          <w:rFonts w:hint="eastAsia" w:ascii="宋体" w:hAnsi="宋体" w:eastAsia="宋体" w:cs="宋体"/>
          <w:b w:val="0"/>
          <w:bCs w:val="0"/>
          <w:color w:val="auto"/>
          <w:kern w:val="0"/>
          <w:sz w:val="21"/>
          <w:szCs w:val="21"/>
          <w:highlight w:val="none"/>
          <w:lang w:val="en-US" w:eastAsia="zh-CN" w:bidi="ar-SA"/>
        </w:rPr>
        <w:t>4.3 投标人负责向招标人有关人员提供技术培训，使其能对设备进行日常的维护保养及能对一般故障进行维修，并向培训人员提供详细的操作手册、技术维修及调试参数等相关资料；</w:t>
      </w:r>
      <w:bookmarkEnd w:id="573"/>
      <w:bookmarkEnd w:id="574"/>
    </w:p>
    <w:p w14:paraId="4B5305C3">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75" w:name="_Toc7829"/>
      <w:bookmarkStart w:id="576" w:name="_Toc1979"/>
      <w:r>
        <w:rPr>
          <w:rFonts w:hint="eastAsia" w:ascii="宋体" w:hAnsi="宋体" w:eastAsia="宋体" w:cs="宋体"/>
          <w:b w:val="0"/>
          <w:bCs w:val="0"/>
          <w:color w:val="auto"/>
          <w:kern w:val="0"/>
          <w:sz w:val="21"/>
          <w:szCs w:val="21"/>
          <w:highlight w:val="none"/>
          <w:lang w:val="en-US" w:eastAsia="zh-CN" w:bidi="ar-SA"/>
        </w:rPr>
        <w:t>4.4 投标人须有稳定的售后服务体系，接到招标人的售后需求需在6小时以内做出响应；如需到现场处理，投标人需在接到招标人通知后24小时内到达现场进行处理。</w:t>
      </w:r>
      <w:bookmarkEnd w:id="575"/>
      <w:bookmarkEnd w:id="576"/>
    </w:p>
    <w:p w14:paraId="3179BE36">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77" w:name="_Toc1222"/>
      <w:bookmarkStart w:id="578" w:name="_Toc22254"/>
      <w:r>
        <w:rPr>
          <w:rFonts w:hint="eastAsia" w:ascii="宋体" w:hAnsi="宋体" w:eastAsia="宋体" w:cs="宋体"/>
          <w:b w:val="0"/>
          <w:bCs w:val="0"/>
          <w:color w:val="auto"/>
          <w:kern w:val="0"/>
          <w:sz w:val="21"/>
          <w:szCs w:val="21"/>
          <w:highlight w:val="none"/>
          <w:lang w:val="en-US" w:eastAsia="zh-CN" w:bidi="ar-SA"/>
        </w:rPr>
        <w:t>4.5  DN15~DN25水表整表（含配套远传模块、电池和通讯资费）质保期为7年，DN40~DN50水表整表（含配套远传模块、电池和通讯资费）质保期为5年，按每批次货物送达招标人指定地点交货验收合格并开具发票之日算起。质保期内，投标人对货物进行免费保修。</w:t>
      </w:r>
      <w:bookmarkEnd w:id="577"/>
      <w:bookmarkEnd w:id="578"/>
    </w:p>
    <w:p w14:paraId="062CD332">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p>
    <w:p w14:paraId="2BACD6BF">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right="0"/>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579" w:name="_Toc16966"/>
      <w:bookmarkStart w:id="580" w:name="_Toc17095"/>
      <w:r>
        <w:rPr>
          <w:rFonts w:hint="eastAsia" w:ascii="宋体" w:hAnsi="宋体" w:eastAsia="宋体" w:cs="宋体"/>
          <w:b/>
          <w:bCs/>
          <w:color w:val="auto"/>
          <w:kern w:val="0"/>
          <w:sz w:val="21"/>
          <w:szCs w:val="21"/>
          <w:highlight w:val="none"/>
          <w:lang w:val="en-US" w:eastAsia="zh-CN" w:bidi="ar-SA"/>
        </w:rPr>
        <w:t>五、货款结算方式</w:t>
      </w:r>
      <w:bookmarkEnd w:id="579"/>
      <w:bookmarkEnd w:id="580"/>
    </w:p>
    <w:p w14:paraId="6A2C073A">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bookmarkStart w:id="581" w:name="_Toc5660"/>
      <w:bookmarkStart w:id="582" w:name="_Toc21179"/>
      <w:r>
        <w:rPr>
          <w:rFonts w:hint="eastAsia" w:ascii="宋体" w:hAnsi="宋体" w:eastAsia="宋体" w:cs="宋体"/>
          <w:b w:val="0"/>
          <w:bCs w:val="0"/>
          <w:color w:val="auto"/>
          <w:kern w:val="0"/>
          <w:sz w:val="21"/>
          <w:szCs w:val="21"/>
          <w:highlight w:val="none"/>
          <w:lang w:val="en-US" w:eastAsia="zh-CN" w:bidi="ar-SA"/>
        </w:rPr>
        <w:t>合同履约过程中，按货物清单中不含税中标综合单价以实际供货数量进行结算：不含税中标综合单价=不含税预算综合单价×中标折扣系数，以实际供货数量进行结算，不含税中标综合单价出现小数点，保留小数点后两位，从小数点后第3位四舍五入。</w:t>
      </w:r>
      <w:bookmarkEnd w:id="581"/>
      <w:bookmarkEnd w:id="582"/>
    </w:p>
    <w:p w14:paraId="096917BD">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left="0" w:leftChars="0" w:right="0" w:firstLine="420" w:firstLineChars="200"/>
        <w:jc w:val="left"/>
        <w:textAlignment w:val="auto"/>
        <w:outlineLvl w:val="1"/>
        <w:rPr>
          <w:rFonts w:hint="eastAsia" w:ascii="宋体" w:hAnsi="宋体" w:eastAsia="宋体" w:cs="宋体"/>
          <w:b w:val="0"/>
          <w:bCs w:val="0"/>
          <w:color w:val="auto"/>
          <w:kern w:val="0"/>
          <w:sz w:val="21"/>
          <w:szCs w:val="21"/>
          <w:highlight w:val="none"/>
          <w:lang w:val="en-US" w:eastAsia="zh-CN" w:bidi="ar-SA"/>
        </w:rPr>
      </w:pPr>
    </w:p>
    <w:p w14:paraId="0AF0D1BA">
      <w:pPr>
        <w:keepNext w:val="0"/>
        <w:keepLines w:val="0"/>
        <w:pageBreakBefore w:val="0"/>
        <w:widowControl w:val="0"/>
        <w:numPr>
          <w:ilvl w:val="1"/>
          <w:numId w:val="0"/>
        </w:numPr>
        <w:kinsoku/>
        <w:wordWrap/>
        <w:topLinePunct w:val="0"/>
        <w:autoSpaceDE w:val="0"/>
        <w:autoSpaceDN w:val="0"/>
        <w:bidi w:val="0"/>
        <w:adjustRightInd w:val="0"/>
        <w:snapToGrid w:val="0"/>
        <w:spacing w:beforeAutospacing="0" w:line="360" w:lineRule="auto"/>
        <w:ind w:right="0"/>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583" w:name="_Toc14060"/>
      <w:bookmarkStart w:id="584" w:name="_Toc12778"/>
      <w:r>
        <w:rPr>
          <w:rFonts w:hint="eastAsia" w:ascii="宋体" w:hAnsi="宋体" w:eastAsia="宋体" w:cs="宋体"/>
          <w:b/>
          <w:bCs/>
          <w:color w:val="auto"/>
          <w:kern w:val="0"/>
          <w:sz w:val="21"/>
          <w:szCs w:val="21"/>
          <w:highlight w:val="none"/>
          <w:lang w:val="en-US" w:eastAsia="zh-CN" w:bidi="ar-SA"/>
        </w:rPr>
        <w:t>六、货款支付方式</w:t>
      </w:r>
      <w:bookmarkEnd w:id="583"/>
      <w:bookmarkEnd w:id="584"/>
    </w:p>
    <w:p w14:paraId="0EFCAAF6">
      <w:pPr>
        <w:pStyle w:val="3"/>
        <w:keepNext w:val="0"/>
        <w:keepLines w:val="0"/>
        <w:pageBreakBefore w:val="0"/>
        <w:widowControl w:val="0"/>
        <w:numPr>
          <w:ilvl w:val="1"/>
          <w:numId w:val="0"/>
        </w:numPr>
        <w:kinsoku/>
        <w:wordWrap/>
        <w:topLinePunct w:val="0"/>
        <w:bidi w:val="0"/>
        <w:adjustRightInd w:val="0"/>
        <w:snapToGrid w:val="0"/>
        <w:spacing w:beforeAutospacing="0" w:line="360" w:lineRule="auto"/>
        <w:ind w:left="0" w:leftChars="0" w:right="0" w:firstLine="420" w:firstLineChars="200"/>
        <w:textAlignment w:val="auto"/>
        <w:rPr>
          <w:rFonts w:hint="eastAsia" w:ascii="宋体" w:hAnsi="宋体" w:eastAsia="宋体" w:cs="宋体"/>
          <w:b w:val="0"/>
          <w:bCs w:val="0"/>
          <w:color w:val="auto"/>
          <w:sz w:val="21"/>
          <w:szCs w:val="21"/>
          <w:highlight w:val="none"/>
          <w:lang w:val="en-US" w:eastAsia="zh-CN"/>
        </w:rPr>
      </w:pPr>
      <w:bookmarkStart w:id="585" w:name="_Toc24679"/>
      <w:bookmarkStart w:id="586" w:name="_Toc9648"/>
      <w:r>
        <w:rPr>
          <w:rFonts w:hint="eastAsia" w:ascii="宋体" w:hAnsi="宋体" w:eastAsia="宋体" w:cs="宋体"/>
          <w:b w:val="0"/>
          <w:bCs w:val="0"/>
          <w:color w:val="auto"/>
          <w:sz w:val="21"/>
          <w:szCs w:val="21"/>
          <w:highlight w:val="none"/>
          <w:lang w:val="en-US" w:eastAsia="zh-CN"/>
        </w:rPr>
        <w:t>1、招标人发出单笔《供货通知单》后，在收到投标人按本项目合同约定提供与本批次货款等额的订单保函并经招标人财务人员审核合格后30个工作日内，招标人支付至该批货物货款总额（含销项税额）的100%。</w:t>
      </w:r>
      <w:bookmarkEnd w:id="585"/>
      <w:bookmarkEnd w:id="586"/>
    </w:p>
    <w:p w14:paraId="7B6DDDC7">
      <w:pPr>
        <w:pStyle w:val="3"/>
        <w:numPr>
          <w:ilvl w:val="1"/>
          <w:numId w:val="0"/>
        </w:numPr>
        <w:adjustRightInd w:val="0"/>
        <w:snapToGrid w:val="0"/>
        <w:spacing w:line="360" w:lineRule="auto"/>
        <w:ind w:firstLine="420" w:firstLineChars="200"/>
        <w:rPr>
          <w:rFonts w:hint="eastAsia" w:ascii="宋体" w:hAnsi="宋体" w:eastAsia="宋体" w:cs="宋体"/>
          <w:b/>
          <w:bCs/>
          <w:color w:val="auto"/>
          <w:kern w:val="2"/>
          <w:sz w:val="21"/>
          <w:szCs w:val="21"/>
          <w:highlight w:val="none"/>
          <w:lang w:val="en-US" w:eastAsia="zh-CN" w:bidi="ar-SA"/>
        </w:rPr>
      </w:pPr>
      <w:bookmarkStart w:id="587" w:name="_Toc5687"/>
      <w:bookmarkStart w:id="588" w:name="_Toc17731"/>
      <w:bookmarkStart w:id="589" w:name="_Toc508"/>
      <w:bookmarkStart w:id="590" w:name="_Toc13110"/>
      <w:r>
        <w:rPr>
          <w:rFonts w:hint="eastAsia" w:ascii="宋体" w:hAnsi="宋体" w:eastAsia="宋体" w:cs="宋体"/>
          <w:b w:val="0"/>
          <w:bCs w:val="0"/>
          <w:color w:val="auto"/>
          <w:sz w:val="21"/>
          <w:szCs w:val="21"/>
          <w:highlight w:val="none"/>
          <w:lang w:val="en-US" w:eastAsia="zh-CN"/>
        </w:rPr>
        <w:t>2、如果依合同投标人应支付违约金或赔偿或其他费用的，招标人有权从上述应支付给投标人的款项中直接扣除，不足部分招标人有权要求投标人另行补足。</w:t>
      </w:r>
      <w:bookmarkEnd w:id="587"/>
      <w:bookmarkEnd w:id="588"/>
      <w:bookmarkEnd w:id="589"/>
      <w:bookmarkEnd w:id="590"/>
    </w:p>
    <w:p w14:paraId="7C7BCDA0">
      <w:pPr>
        <w:keepNext w:val="0"/>
        <w:keepLines w:val="0"/>
        <w:pageBreakBefore w:val="0"/>
        <w:widowControl w:val="0"/>
        <w:numPr>
          <w:ilvl w:val="0"/>
          <w:numId w:val="2"/>
        </w:numPr>
        <w:kinsoku/>
        <w:wordWrap/>
        <w:topLinePunct w:val="0"/>
        <w:autoSpaceDE w:val="0"/>
        <w:autoSpaceDN w:val="0"/>
        <w:bidi w:val="0"/>
        <w:adjustRightInd w:val="0"/>
        <w:snapToGrid w:val="0"/>
        <w:spacing w:beforeAutospacing="0" w:line="360" w:lineRule="auto"/>
        <w:ind w:right="0"/>
        <w:jc w:val="left"/>
        <w:textAlignment w:val="auto"/>
        <w:outlineLvl w:val="1"/>
        <w:rPr>
          <w:rFonts w:hint="eastAsia" w:ascii="宋体" w:hAnsi="宋体" w:eastAsia="宋体" w:cs="宋体"/>
          <w:b/>
          <w:bCs/>
          <w:color w:val="auto"/>
          <w:kern w:val="0"/>
          <w:sz w:val="21"/>
          <w:szCs w:val="21"/>
          <w:highlight w:val="none"/>
          <w:lang w:val="en-US" w:eastAsia="zh-CN" w:bidi="ar-SA"/>
        </w:rPr>
      </w:pPr>
      <w:bookmarkStart w:id="591" w:name="_Toc2155"/>
      <w:bookmarkStart w:id="592" w:name="_Toc21726"/>
      <w:r>
        <w:rPr>
          <w:rFonts w:hint="eastAsia" w:ascii="宋体" w:hAnsi="宋体" w:eastAsia="宋体" w:cs="宋体"/>
          <w:b/>
          <w:bCs/>
          <w:color w:val="auto"/>
          <w:kern w:val="0"/>
          <w:sz w:val="21"/>
          <w:szCs w:val="21"/>
          <w:highlight w:val="none"/>
          <w:lang w:val="en-US" w:eastAsia="zh-CN" w:bidi="ar-SA"/>
        </w:rPr>
        <w:t>预算表</w:t>
      </w:r>
      <w:bookmarkEnd w:id="591"/>
      <w:bookmarkEnd w:id="592"/>
    </w:p>
    <w:tbl>
      <w:tblPr>
        <w:tblStyle w:val="44"/>
        <w:tblW w:w="4839" w:type="pct"/>
        <w:tblInd w:w="0" w:type="dxa"/>
        <w:tblLayout w:type="autofit"/>
        <w:tblCellMar>
          <w:top w:w="0" w:type="dxa"/>
          <w:left w:w="108" w:type="dxa"/>
          <w:bottom w:w="0" w:type="dxa"/>
          <w:right w:w="108" w:type="dxa"/>
        </w:tblCellMar>
      </w:tblPr>
      <w:tblGrid>
        <w:gridCol w:w="427"/>
        <w:gridCol w:w="1457"/>
        <w:gridCol w:w="1062"/>
        <w:gridCol w:w="605"/>
        <w:gridCol w:w="1119"/>
        <w:gridCol w:w="1428"/>
        <w:gridCol w:w="1771"/>
        <w:gridCol w:w="2167"/>
      </w:tblGrid>
      <w:tr w14:paraId="0E6E3C4F">
        <w:tblPrEx>
          <w:tblCellMar>
            <w:top w:w="0" w:type="dxa"/>
            <w:left w:w="108" w:type="dxa"/>
            <w:bottom w:w="0" w:type="dxa"/>
            <w:right w:w="108" w:type="dxa"/>
          </w:tblCellMar>
        </w:tblPrEx>
        <w:trPr>
          <w:trHeight w:val="585" w:hRule="atLeast"/>
        </w:trPr>
        <w:tc>
          <w:tcPr>
            <w:tcW w:w="212" w:type="pct"/>
            <w:tcBorders>
              <w:top w:val="single" w:color="000000" w:sz="4" w:space="0"/>
              <w:left w:val="single" w:color="000000" w:sz="4" w:space="0"/>
              <w:bottom w:val="single" w:color="000000" w:sz="4" w:space="0"/>
              <w:right w:val="single" w:color="000000" w:sz="4" w:space="0"/>
            </w:tcBorders>
            <w:noWrap w:val="0"/>
            <w:vAlign w:val="center"/>
          </w:tcPr>
          <w:p w14:paraId="480D5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1CA8A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货物名称</w:t>
            </w: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109AA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规格型号</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14:paraId="71BA5A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557" w:type="pct"/>
            <w:tcBorders>
              <w:top w:val="single" w:color="000000" w:sz="4" w:space="0"/>
              <w:left w:val="single" w:color="000000" w:sz="4" w:space="0"/>
              <w:bottom w:val="single" w:color="000000" w:sz="4" w:space="0"/>
              <w:right w:val="single" w:color="000000" w:sz="4" w:space="0"/>
            </w:tcBorders>
            <w:noWrap w:val="0"/>
            <w:vAlign w:val="center"/>
          </w:tcPr>
          <w:p w14:paraId="52CE5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暂定</w:t>
            </w:r>
            <w:r>
              <w:rPr>
                <w:rFonts w:hint="eastAsia" w:ascii="宋体" w:hAnsi="宋体" w:eastAsia="宋体" w:cs="宋体"/>
                <w:b/>
                <w:bCs/>
                <w:color w:val="auto"/>
                <w:kern w:val="0"/>
                <w:sz w:val="21"/>
                <w:szCs w:val="21"/>
                <w:highlight w:val="none"/>
                <w:lang w:bidi="ar"/>
              </w:rPr>
              <w:t>数量</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5AD3D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不含税预算综合单价（元）</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214E5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暂定不含税合价（元）</w:t>
            </w:r>
          </w:p>
        </w:tc>
        <w:tc>
          <w:tcPr>
            <w:tcW w:w="1079" w:type="pct"/>
            <w:tcBorders>
              <w:top w:val="single" w:color="000000" w:sz="4" w:space="0"/>
              <w:left w:val="single" w:color="000000" w:sz="4" w:space="0"/>
              <w:bottom w:val="single" w:color="000000" w:sz="4" w:space="0"/>
              <w:right w:val="single" w:color="000000" w:sz="4" w:space="0"/>
            </w:tcBorders>
            <w:noWrap w:val="0"/>
            <w:vAlign w:val="center"/>
          </w:tcPr>
          <w:p w14:paraId="76942D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r>
      <w:tr w14:paraId="52025C5B">
        <w:tblPrEx>
          <w:tblCellMar>
            <w:top w:w="0" w:type="dxa"/>
            <w:left w:w="108" w:type="dxa"/>
            <w:bottom w:w="0" w:type="dxa"/>
            <w:right w:w="108" w:type="dxa"/>
          </w:tblCellMar>
        </w:tblPrEx>
        <w:trPr>
          <w:trHeight w:val="555" w:hRule="atLeast"/>
        </w:trPr>
        <w:tc>
          <w:tcPr>
            <w:tcW w:w="212" w:type="pct"/>
            <w:tcBorders>
              <w:top w:val="single" w:color="000000" w:sz="4" w:space="0"/>
              <w:left w:val="single" w:color="000000" w:sz="4" w:space="0"/>
              <w:bottom w:val="single" w:color="000000" w:sz="4" w:space="0"/>
              <w:right w:val="single" w:color="000000" w:sz="4" w:space="0"/>
            </w:tcBorders>
            <w:noWrap/>
            <w:vAlign w:val="center"/>
          </w:tcPr>
          <w:p w14:paraId="60E7C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26" w:type="pct"/>
            <w:vMerge w:val="restart"/>
            <w:tcBorders>
              <w:top w:val="single" w:color="000000" w:sz="4" w:space="0"/>
              <w:left w:val="single" w:color="000000" w:sz="4" w:space="0"/>
              <w:bottom w:val="single" w:color="000000" w:sz="4" w:space="0"/>
              <w:right w:val="single" w:color="000000" w:sz="4" w:space="0"/>
            </w:tcBorders>
            <w:noWrap w:val="0"/>
            <w:vAlign w:val="center"/>
          </w:tcPr>
          <w:p w14:paraId="5C496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旋翼式远传水表</w:t>
            </w: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6F740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DN15</w:t>
            </w:r>
          </w:p>
        </w:tc>
        <w:tc>
          <w:tcPr>
            <w:tcW w:w="301" w:type="pct"/>
            <w:tcBorders>
              <w:top w:val="single" w:color="000000" w:sz="4" w:space="0"/>
              <w:left w:val="single" w:color="000000" w:sz="4" w:space="0"/>
              <w:bottom w:val="single" w:color="000000" w:sz="4" w:space="0"/>
              <w:right w:val="single" w:color="000000" w:sz="4" w:space="0"/>
            </w:tcBorders>
            <w:noWrap/>
            <w:vAlign w:val="center"/>
          </w:tcPr>
          <w:p w14:paraId="12988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0E678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59700</w:t>
            </w:r>
          </w:p>
        </w:tc>
        <w:tc>
          <w:tcPr>
            <w:tcW w:w="711" w:type="pct"/>
            <w:tcBorders>
              <w:top w:val="single" w:color="000000" w:sz="4" w:space="0"/>
              <w:left w:val="single" w:color="000000" w:sz="4" w:space="0"/>
              <w:bottom w:val="single" w:color="auto" w:sz="4" w:space="0"/>
              <w:right w:val="single" w:color="000000" w:sz="4" w:space="0"/>
            </w:tcBorders>
            <w:noWrap w:val="0"/>
            <w:vAlign w:val="center"/>
          </w:tcPr>
          <w:p w14:paraId="69143F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132.30</w:t>
            </w:r>
          </w:p>
        </w:tc>
        <w:tc>
          <w:tcPr>
            <w:tcW w:w="882" w:type="pct"/>
            <w:tcBorders>
              <w:top w:val="single" w:color="000000" w:sz="4" w:space="0"/>
              <w:left w:val="single" w:color="000000" w:sz="4" w:space="0"/>
              <w:bottom w:val="single" w:color="auto" w:sz="4" w:space="0"/>
              <w:right w:val="single" w:color="000000" w:sz="4" w:space="0"/>
            </w:tcBorders>
            <w:noWrap w:val="0"/>
            <w:vAlign w:val="center"/>
          </w:tcPr>
          <w:p w14:paraId="1C3797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7898310.00</w:t>
            </w:r>
          </w:p>
        </w:tc>
        <w:tc>
          <w:tcPr>
            <w:tcW w:w="1079" w:type="pct"/>
            <w:tcBorders>
              <w:top w:val="single" w:color="000000" w:sz="4" w:space="0"/>
              <w:left w:val="single" w:color="000000" w:sz="4" w:space="0"/>
              <w:bottom w:val="single" w:color="auto" w:sz="4" w:space="0"/>
              <w:right w:val="single" w:color="000000" w:sz="4" w:space="0"/>
            </w:tcBorders>
            <w:noWrap w:val="0"/>
            <w:vAlign w:val="center"/>
          </w:tcPr>
          <w:p w14:paraId="0A5043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80BF485">
        <w:tblPrEx>
          <w:tblCellMar>
            <w:top w:w="0" w:type="dxa"/>
            <w:left w:w="108" w:type="dxa"/>
            <w:bottom w:w="0" w:type="dxa"/>
            <w:right w:w="108" w:type="dxa"/>
          </w:tblCellMar>
        </w:tblPrEx>
        <w:trPr>
          <w:trHeight w:val="555" w:hRule="atLeast"/>
        </w:trPr>
        <w:tc>
          <w:tcPr>
            <w:tcW w:w="212" w:type="pct"/>
            <w:tcBorders>
              <w:top w:val="single" w:color="000000" w:sz="4" w:space="0"/>
              <w:left w:val="single" w:color="000000" w:sz="4" w:space="0"/>
              <w:bottom w:val="single" w:color="000000" w:sz="4" w:space="0"/>
              <w:right w:val="single" w:color="000000" w:sz="4" w:space="0"/>
            </w:tcBorders>
            <w:noWrap/>
            <w:vAlign w:val="center"/>
          </w:tcPr>
          <w:p w14:paraId="783D6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FB27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25118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DN20</w:t>
            </w:r>
          </w:p>
        </w:tc>
        <w:tc>
          <w:tcPr>
            <w:tcW w:w="301" w:type="pct"/>
            <w:tcBorders>
              <w:top w:val="single" w:color="000000" w:sz="4" w:space="0"/>
              <w:left w:val="single" w:color="000000" w:sz="4" w:space="0"/>
              <w:bottom w:val="single" w:color="000000" w:sz="4" w:space="0"/>
              <w:right w:val="single" w:color="000000" w:sz="4" w:space="0"/>
            </w:tcBorders>
            <w:noWrap/>
            <w:vAlign w:val="center"/>
          </w:tcPr>
          <w:p w14:paraId="427F2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55CD1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108700</w:t>
            </w:r>
          </w:p>
        </w:tc>
        <w:tc>
          <w:tcPr>
            <w:tcW w:w="711" w:type="pct"/>
            <w:tcBorders>
              <w:top w:val="single" w:color="auto" w:sz="4" w:space="0"/>
              <w:left w:val="single" w:color="000000" w:sz="4" w:space="0"/>
              <w:bottom w:val="single" w:color="auto" w:sz="4" w:space="0"/>
              <w:right w:val="single" w:color="000000" w:sz="4" w:space="0"/>
            </w:tcBorders>
            <w:noWrap w:val="0"/>
            <w:vAlign w:val="center"/>
          </w:tcPr>
          <w:p w14:paraId="44513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137.76</w:t>
            </w:r>
          </w:p>
        </w:tc>
        <w:tc>
          <w:tcPr>
            <w:tcW w:w="882" w:type="pct"/>
            <w:tcBorders>
              <w:top w:val="single" w:color="auto" w:sz="4" w:space="0"/>
              <w:left w:val="single" w:color="000000" w:sz="4" w:space="0"/>
              <w:bottom w:val="single" w:color="auto" w:sz="4" w:space="0"/>
              <w:right w:val="single" w:color="000000" w:sz="4" w:space="0"/>
            </w:tcBorders>
            <w:noWrap w:val="0"/>
            <w:vAlign w:val="center"/>
          </w:tcPr>
          <w:p w14:paraId="3C942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14974512.00</w:t>
            </w:r>
          </w:p>
        </w:tc>
        <w:tc>
          <w:tcPr>
            <w:tcW w:w="1079" w:type="pct"/>
            <w:tcBorders>
              <w:top w:val="single" w:color="auto" w:sz="4" w:space="0"/>
              <w:left w:val="single" w:color="000000" w:sz="4" w:space="0"/>
              <w:bottom w:val="single" w:color="auto" w:sz="4" w:space="0"/>
              <w:right w:val="single" w:color="000000" w:sz="4" w:space="0"/>
            </w:tcBorders>
            <w:noWrap w:val="0"/>
            <w:vAlign w:val="center"/>
          </w:tcPr>
          <w:p w14:paraId="46CA0D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CDE0EA">
        <w:tblPrEx>
          <w:tblCellMar>
            <w:top w:w="0" w:type="dxa"/>
            <w:left w:w="108" w:type="dxa"/>
            <w:bottom w:w="0" w:type="dxa"/>
            <w:right w:w="108" w:type="dxa"/>
          </w:tblCellMar>
        </w:tblPrEx>
        <w:trPr>
          <w:trHeight w:val="555" w:hRule="atLeast"/>
        </w:trPr>
        <w:tc>
          <w:tcPr>
            <w:tcW w:w="212" w:type="pct"/>
            <w:tcBorders>
              <w:top w:val="single" w:color="000000" w:sz="4" w:space="0"/>
              <w:left w:val="single" w:color="000000" w:sz="4" w:space="0"/>
              <w:bottom w:val="single" w:color="000000" w:sz="4" w:space="0"/>
              <w:right w:val="single" w:color="000000" w:sz="4" w:space="0"/>
            </w:tcBorders>
            <w:noWrap/>
            <w:vAlign w:val="center"/>
          </w:tcPr>
          <w:p w14:paraId="47DD02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6D1A1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07FB8A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w:t>
            </w:r>
          </w:p>
        </w:tc>
        <w:tc>
          <w:tcPr>
            <w:tcW w:w="301" w:type="pct"/>
            <w:tcBorders>
              <w:top w:val="single" w:color="000000" w:sz="4" w:space="0"/>
              <w:left w:val="single" w:color="000000" w:sz="4" w:space="0"/>
              <w:bottom w:val="single" w:color="000000" w:sz="4" w:space="0"/>
              <w:right w:val="single" w:color="000000" w:sz="4" w:space="0"/>
            </w:tcBorders>
            <w:noWrap/>
            <w:vAlign w:val="center"/>
          </w:tcPr>
          <w:p w14:paraId="4D06C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557" w:type="pct"/>
            <w:tcBorders>
              <w:top w:val="single" w:color="000000" w:sz="4" w:space="0"/>
              <w:left w:val="single" w:color="000000" w:sz="4" w:space="0"/>
              <w:bottom w:val="single" w:color="auto" w:sz="4" w:space="0"/>
              <w:right w:val="single" w:color="000000" w:sz="4" w:space="0"/>
            </w:tcBorders>
            <w:noWrap/>
            <w:vAlign w:val="center"/>
          </w:tcPr>
          <w:p w14:paraId="6B479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36700</w:t>
            </w:r>
          </w:p>
        </w:tc>
        <w:tc>
          <w:tcPr>
            <w:tcW w:w="711" w:type="pct"/>
            <w:tcBorders>
              <w:top w:val="single" w:color="auto" w:sz="4" w:space="0"/>
              <w:left w:val="single" w:color="000000" w:sz="4" w:space="0"/>
              <w:bottom w:val="single" w:color="auto" w:sz="4" w:space="0"/>
              <w:right w:val="single" w:color="000000" w:sz="4" w:space="0"/>
            </w:tcBorders>
            <w:noWrap w:val="0"/>
            <w:vAlign w:val="center"/>
          </w:tcPr>
          <w:p w14:paraId="20417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161.67</w:t>
            </w:r>
          </w:p>
        </w:tc>
        <w:tc>
          <w:tcPr>
            <w:tcW w:w="882" w:type="pct"/>
            <w:tcBorders>
              <w:top w:val="single" w:color="auto" w:sz="4" w:space="0"/>
              <w:left w:val="single" w:color="000000" w:sz="4" w:space="0"/>
              <w:bottom w:val="single" w:color="auto" w:sz="4" w:space="0"/>
              <w:right w:val="single" w:color="000000" w:sz="4" w:space="0"/>
            </w:tcBorders>
            <w:noWrap w:val="0"/>
            <w:vAlign w:val="center"/>
          </w:tcPr>
          <w:p w14:paraId="36A5A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5933289.00</w:t>
            </w:r>
          </w:p>
        </w:tc>
        <w:tc>
          <w:tcPr>
            <w:tcW w:w="1079" w:type="pct"/>
            <w:tcBorders>
              <w:top w:val="single" w:color="auto" w:sz="4" w:space="0"/>
              <w:left w:val="single" w:color="000000" w:sz="4" w:space="0"/>
              <w:bottom w:val="single" w:color="auto" w:sz="4" w:space="0"/>
              <w:right w:val="single" w:color="000000" w:sz="4" w:space="0"/>
            </w:tcBorders>
            <w:noWrap w:val="0"/>
            <w:vAlign w:val="center"/>
          </w:tcPr>
          <w:p w14:paraId="0B231B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CDA8FD">
        <w:tblPrEx>
          <w:tblCellMar>
            <w:top w:w="0" w:type="dxa"/>
            <w:left w:w="108" w:type="dxa"/>
            <w:bottom w:w="0" w:type="dxa"/>
            <w:right w:w="108" w:type="dxa"/>
          </w:tblCellMar>
        </w:tblPrEx>
        <w:trPr>
          <w:trHeight w:val="555" w:hRule="atLeast"/>
        </w:trPr>
        <w:tc>
          <w:tcPr>
            <w:tcW w:w="212" w:type="pct"/>
            <w:tcBorders>
              <w:top w:val="single" w:color="000000" w:sz="4" w:space="0"/>
              <w:left w:val="single" w:color="000000" w:sz="4" w:space="0"/>
              <w:bottom w:val="single" w:color="000000" w:sz="4" w:space="0"/>
              <w:right w:val="single" w:color="000000" w:sz="4" w:space="0"/>
            </w:tcBorders>
            <w:noWrap/>
            <w:vAlign w:val="center"/>
          </w:tcPr>
          <w:p w14:paraId="0639A1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8C4B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335BA2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DN40</w:t>
            </w:r>
          </w:p>
        </w:tc>
        <w:tc>
          <w:tcPr>
            <w:tcW w:w="301" w:type="pct"/>
            <w:tcBorders>
              <w:top w:val="single" w:color="000000" w:sz="4" w:space="0"/>
              <w:left w:val="single" w:color="000000" w:sz="4" w:space="0"/>
              <w:bottom w:val="single" w:color="000000" w:sz="4" w:space="0"/>
              <w:right w:val="single" w:color="000000" w:sz="4" w:space="0"/>
            </w:tcBorders>
            <w:noWrap/>
            <w:vAlign w:val="center"/>
          </w:tcPr>
          <w:p w14:paraId="1A033B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557" w:type="pct"/>
            <w:tcBorders>
              <w:top w:val="single" w:color="auto" w:sz="4" w:space="0"/>
              <w:left w:val="single" w:color="000000" w:sz="4" w:space="0"/>
              <w:bottom w:val="single" w:color="000000" w:sz="4" w:space="0"/>
              <w:right w:val="single" w:color="000000" w:sz="4" w:space="0"/>
            </w:tcBorders>
            <w:noWrap/>
            <w:vAlign w:val="center"/>
          </w:tcPr>
          <w:p w14:paraId="0BC07E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10130</w:t>
            </w:r>
          </w:p>
        </w:tc>
        <w:tc>
          <w:tcPr>
            <w:tcW w:w="711" w:type="pct"/>
            <w:tcBorders>
              <w:top w:val="single" w:color="auto" w:sz="4" w:space="0"/>
              <w:left w:val="single" w:color="000000" w:sz="4" w:space="0"/>
              <w:bottom w:val="single" w:color="auto" w:sz="4" w:space="0"/>
              <w:right w:val="single" w:color="000000" w:sz="4" w:space="0"/>
            </w:tcBorders>
            <w:noWrap w:val="0"/>
            <w:vAlign w:val="center"/>
          </w:tcPr>
          <w:p w14:paraId="055DC1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426.70</w:t>
            </w:r>
          </w:p>
        </w:tc>
        <w:tc>
          <w:tcPr>
            <w:tcW w:w="882" w:type="pct"/>
            <w:tcBorders>
              <w:top w:val="single" w:color="auto" w:sz="4" w:space="0"/>
              <w:left w:val="single" w:color="000000" w:sz="4" w:space="0"/>
              <w:bottom w:val="single" w:color="auto" w:sz="4" w:space="0"/>
              <w:right w:val="single" w:color="000000" w:sz="4" w:space="0"/>
            </w:tcBorders>
            <w:noWrap w:val="0"/>
            <w:vAlign w:val="center"/>
          </w:tcPr>
          <w:p w14:paraId="24219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4322471.00</w:t>
            </w:r>
          </w:p>
        </w:tc>
        <w:tc>
          <w:tcPr>
            <w:tcW w:w="1079" w:type="pct"/>
            <w:tcBorders>
              <w:top w:val="single" w:color="auto" w:sz="4" w:space="0"/>
              <w:left w:val="single" w:color="000000" w:sz="4" w:space="0"/>
              <w:bottom w:val="single" w:color="auto" w:sz="4" w:space="0"/>
              <w:right w:val="single" w:color="000000" w:sz="4" w:space="0"/>
            </w:tcBorders>
            <w:noWrap w:val="0"/>
            <w:vAlign w:val="center"/>
          </w:tcPr>
          <w:p w14:paraId="23C591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62CE8A">
        <w:tblPrEx>
          <w:tblCellMar>
            <w:top w:w="0" w:type="dxa"/>
            <w:left w:w="108" w:type="dxa"/>
            <w:bottom w:w="0" w:type="dxa"/>
            <w:right w:w="108" w:type="dxa"/>
          </w:tblCellMar>
        </w:tblPrEx>
        <w:trPr>
          <w:trHeight w:val="555" w:hRule="atLeast"/>
        </w:trPr>
        <w:tc>
          <w:tcPr>
            <w:tcW w:w="212" w:type="pct"/>
            <w:tcBorders>
              <w:top w:val="single" w:color="000000" w:sz="4" w:space="0"/>
              <w:left w:val="single" w:color="000000" w:sz="4" w:space="0"/>
              <w:bottom w:val="single" w:color="000000" w:sz="4" w:space="0"/>
              <w:right w:val="single" w:color="000000" w:sz="4" w:space="0"/>
            </w:tcBorders>
            <w:noWrap/>
            <w:vAlign w:val="center"/>
          </w:tcPr>
          <w:p w14:paraId="6BB32B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72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0321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79C8C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DN50</w:t>
            </w:r>
          </w:p>
        </w:tc>
        <w:tc>
          <w:tcPr>
            <w:tcW w:w="301" w:type="pct"/>
            <w:tcBorders>
              <w:top w:val="single" w:color="000000" w:sz="4" w:space="0"/>
              <w:left w:val="single" w:color="000000" w:sz="4" w:space="0"/>
              <w:bottom w:val="single" w:color="000000" w:sz="4" w:space="0"/>
              <w:right w:val="single" w:color="000000" w:sz="4" w:space="0"/>
            </w:tcBorders>
            <w:noWrap/>
            <w:vAlign w:val="center"/>
          </w:tcPr>
          <w:p w14:paraId="65344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个</w:t>
            </w: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7AE2B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8600</w:t>
            </w:r>
          </w:p>
        </w:tc>
        <w:tc>
          <w:tcPr>
            <w:tcW w:w="711" w:type="pct"/>
            <w:tcBorders>
              <w:top w:val="single" w:color="auto" w:sz="4" w:space="0"/>
              <w:left w:val="single" w:color="000000" w:sz="4" w:space="0"/>
              <w:bottom w:val="single" w:color="auto" w:sz="4" w:space="0"/>
              <w:right w:val="single" w:color="000000" w:sz="4" w:space="0"/>
            </w:tcBorders>
            <w:noWrap w:val="0"/>
            <w:vAlign w:val="center"/>
          </w:tcPr>
          <w:p w14:paraId="35BD74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518.16</w:t>
            </w:r>
          </w:p>
        </w:tc>
        <w:tc>
          <w:tcPr>
            <w:tcW w:w="882" w:type="pct"/>
            <w:tcBorders>
              <w:top w:val="single" w:color="auto" w:sz="4" w:space="0"/>
              <w:left w:val="single" w:color="000000" w:sz="4" w:space="0"/>
              <w:bottom w:val="single" w:color="auto" w:sz="4" w:space="0"/>
              <w:right w:val="single" w:color="000000" w:sz="4" w:space="0"/>
            </w:tcBorders>
            <w:noWrap w:val="0"/>
            <w:vAlign w:val="center"/>
          </w:tcPr>
          <w:p w14:paraId="6E944E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4456176.00</w:t>
            </w:r>
          </w:p>
        </w:tc>
        <w:tc>
          <w:tcPr>
            <w:tcW w:w="1079" w:type="pct"/>
            <w:tcBorders>
              <w:top w:val="single" w:color="auto" w:sz="4" w:space="0"/>
              <w:left w:val="single" w:color="000000" w:sz="4" w:space="0"/>
              <w:bottom w:val="single" w:color="auto" w:sz="4" w:space="0"/>
              <w:right w:val="single" w:color="000000" w:sz="4" w:space="0"/>
            </w:tcBorders>
            <w:noWrap w:val="0"/>
            <w:vAlign w:val="center"/>
          </w:tcPr>
          <w:p w14:paraId="5A289E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67A567">
        <w:tblPrEx>
          <w:tblCellMar>
            <w:top w:w="0" w:type="dxa"/>
            <w:left w:w="108" w:type="dxa"/>
            <w:bottom w:w="0" w:type="dxa"/>
            <w:right w:w="108" w:type="dxa"/>
          </w:tblCellMar>
        </w:tblPrEx>
        <w:trPr>
          <w:trHeight w:val="555" w:hRule="atLeast"/>
        </w:trPr>
        <w:tc>
          <w:tcPr>
            <w:tcW w:w="1467" w:type="pct"/>
            <w:gridSpan w:val="3"/>
            <w:tcBorders>
              <w:top w:val="single" w:color="000000" w:sz="4" w:space="0"/>
              <w:left w:val="single" w:color="000000" w:sz="4" w:space="0"/>
              <w:bottom w:val="single" w:color="000000" w:sz="4" w:space="0"/>
              <w:right w:val="single" w:color="000000" w:sz="4" w:space="0"/>
            </w:tcBorders>
            <w:noWrap/>
            <w:vAlign w:val="center"/>
          </w:tcPr>
          <w:p w14:paraId="619D30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CN"/>
              </w:rPr>
              <w:t>汇总</w:t>
            </w:r>
          </w:p>
        </w:tc>
        <w:tc>
          <w:tcPr>
            <w:tcW w:w="301" w:type="pct"/>
            <w:tcBorders>
              <w:top w:val="single" w:color="000000" w:sz="4" w:space="0"/>
              <w:left w:val="single" w:color="000000" w:sz="4" w:space="0"/>
              <w:bottom w:val="single" w:color="000000" w:sz="4" w:space="0"/>
              <w:right w:val="single" w:color="000000" w:sz="4" w:space="0"/>
            </w:tcBorders>
            <w:noWrap/>
            <w:vAlign w:val="center"/>
          </w:tcPr>
          <w:p w14:paraId="157C24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个</w:t>
            </w:r>
          </w:p>
        </w:tc>
        <w:tc>
          <w:tcPr>
            <w:tcW w:w="557" w:type="pct"/>
            <w:tcBorders>
              <w:top w:val="single" w:color="000000" w:sz="4" w:space="0"/>
              <w:left w:val="single" w:color="000000" w:sz="4" w:space="0"/>
              <w:bottom w:val="single" w:color="000000" w:sz="4" w:space="0"/>
              <w:right w:val="single" w:color="000000" w:sz="4" w:space="0"/>
            </w:tcBorders>
            <w:noWrap/>
            <w:vAlign w:val="center"/>
          </w:tcPr>
          <w:p w14:paraId="11E9B7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223830</w:t>
            </w:r>
          </w:p>
        </w:tc>
        <w:tc>
          <w:tcPr>
            <w:tcW w:w="711" w:type="pct"/>
            <w:tcBorders>
              <w:top w:val="single" w:color="auto" w:sz="4" w:space="0"/>
              <w:left w:val="single" w:color="000000" w:sz="4" w:space="0"/>
              <w:bottom w:val="single" w:color="auto" w:sz="4" w:space="0"/>
              <w:right w:val="single" w:color="000000" w:sz="4" w:space="0"/>
            </w:tcBorders>
            <w:noWrap w:val="0"/>
            <w:vAlign w:val="center"/>
          </w:tcPr>
          <w:p w14:paraId="0D2F7BB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82" w:type="pct"/>
            <w:tcBorders>
              <w:top w:val="single" w:color="auto" w:sz="4" w:space="0"/>
              <w:left w:val="single" w:color="000000" w:sz="4" w:space="0"/>
              <w:bottom w:val="single" w:color="auto" w:sz="4" w:space="0"/>
              <w:right w:val="single" w:color="000000" w:sz="4" w:space="0"/>
            </w:tcBorders>
            <w:noWrap w:val="0"/>
            <w:vAlign w:val="center"/>
          </w:tcPr>
          <w:p w14:paraId="05CF0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37584758.00</w:t>
            </w:r>
          </w:p>
        </w:tc>
        <w:tc>
          <w:tcPr>
            <w:tcW w:w="1079" w:type="pct"/>
            <w:tcBorders>
              <w:top w:val="single" w:color="auto" w:sz="4" w:space="0"/>
              <w:left w:val="single" w:color="000000" w:sz="4" w:space="0"/>
              <w:bottom w:val="single" w:color="auto" w:sz="4" w:space="0"/>
              <w:right w:val="single" w:color="000000" w:sz="4" w:space="0"/>
            </w:tcBorders>
            <w:noWrap w:val="0"/>
            <w:vAlign w:val="center"/>
          </w:tcPr>
          <w:p w14:paraId="5128D3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241EC16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注：预算表中的</w:t>
      </w:r>
      <w:r>
        <w:rPr>
          <w:rFonts w:hint="eastAsia" w:ascii="宋体" w:hAnsi="宋体" w:eastAsia="宋体" w:cs="宋体"/>
          <w:color w:val="auto"/>
          <w:kern w:val="2"/>
          <w:sz w:val="21"/>
          <w:szCs w:val="21"/>
          <w:highlight w:val="none"/>
          <w:lang w:val="en-US"/>
        </w:rPr>
        <w:t>货物数量为暂定数量，仅为便于投标人投标报价使用，不作为招标人最终采购数量的保证。中标人的实际供货量以实际数量为准，按实结算</w:t>
      </w:r>
      <w:r>
        <w:rPr>
          <w:rFonts w:hint="eastAsia" w:ascii="宋体" w:hAnsi="宋体" w:eastAsia="宋体" w:cs="宋体"/>
          <w:color w:val="auto"/>
          <w:kern w:val="2"/>
          <w:sz w:val="21"/>
          <w:szCs w:val="21"/>
          <w:highlight w:val="none"/>
          <w:lang w:val="en-US" w:eastAsia="zh-CN"/>
        </w:rPr>
        <w:t>。</w:t>
      </w:r>
    </w:p>
    <w:p w14:paraId="3B2EE723">
      <w:pPr>
        <w:rPr>
          <w:rFonts w:hint="eastAsia" w:ascii="宋体" w:hAnsi="宋体" w:eastAsia="宋体" w:cs="宋体"/>
          <w:color w:val="auto"/>
          <w:sz w:val="21"/>
          <w:szCs w:val="21"/>
          <w:highlight w:val="none"/>
        </w:rPr>
      </w:pPr>
    </w:p>
    <w:p w14:paraId="710723FD">
      <w:pPr>
        <w:spacing w:line="240" w:lineRule="auto"/>
        <w:jc w:val="left"/>
        <w:rPr>
          <w:rFonts w:hint="eastAsia" w:ascii="宋体" w:hAnsi="宋体" w:eastAsia="宋体" w:cs="宋体"/>
          <w:bCs/>
          <w:color w:val="auto"/>
          <w:spacing w:val="-10"/>
          <w:sz w:val="21"/>
          <w:szCs w:val="21"/>
          <w:highlight w:val="none"/>
        </w:rPr>
      </w:pPr>
      <w:r>
        <w:rPr>
          <w:rFonts w:hint="eastAsia" w:ascii="宋体" w:hAnsi="宋体" w:eastAsia="宋体" w:cs="宋体"/>
          <w:bCs/>
          <w:color w:val="auto"/>
          <w:spacing w:val="-10"/>
          <w:sz w:val="21"/>
          <w:szCs w:val="21"/>
          <w:highlight w:val="none"/>
        </w:rPr>
        <w:br w:type="page"/>
      </w:r>
    </w:p>
    <w:p w14:paraId="1BE92886">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593" w:name="_Toc16675"/>
      <w:bookmarkStart w:id="594" w:name="_Toc450662892"/>
      <w:bookmarkStart w:id="595" w:name="_Toc11281_WPSOffice_Level1"/>
      <w:bookmarkStart w:id="596" w:name="_Toc19547"/>
      <w:bookmarkStart w:id="597" w:name="_Toc25251"/>
      <w:bookmarkStart w:id="598" w:name="_Toc20401"/>
      <w:bookmarkStart w:id="599" w:name="_Toc486167707"/>
      <w:bookmarkStart w:id="600" w:name="_Toc195714338"/>
      <w:bookmarkStart w:id="601" w:name="_Toc142508359"/>
      <w:bookmarkStart w:id="602" w:name="_Toc18986"/>
      <w:bookmarkStart w:id="603" w:name="_Toc134469727"/>
      <w:r>
        <w:rPr>
          <w:rFonts w:hint="eastAsia" w:ascii="宋体" w:hAnsi="宋体" w:eastAsia="宋体" w:cs="宋体"/>
          <w:b/>
          <w:bCs/>
          <w:color w:val="auto"/>
          <w:kern w:val="44"/>
          <w:sz w:val="32"/>
          <w:szCs w:val="32"/>
          <w:highlight w:val="none"/>
          <w:lang w:val="zh-CN"/>
        </w:rPr>
        <w:t>第四篇 合同条款格式</w:t>
      </w:r>
      <w:bookmarkEnd w:id="593"/>
      <w:bookmarkEnd w:id="594"/>
      <w:bookmarkEnd w:id="595"/>
      <w:bookmarkEnd w:id="596"/>
      <w:bookmarkEnd w:id="597"/>
      <w:bookmarkEnd w:id="598"/>
      <w:bookmarkEnd w:id="599"/>
      <w:bookmarkEnd w:id="600"/>
      <w:bookmarkEnd w:id="601"/>
      <w:bookmarkEnd w:id="602"/>
    </w:p>
    <w:bookmarkEnd w:id="603"/>
    <w:p w14:paraId="55F1905D">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53B18D21">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7447C00A">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50420B67">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91830B4">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430568D1">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5004D9A6">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val="en-US" w:eastAsia="zh-CN"/>
        </w:rPr>
        <w:t>东莞市供水计量设施更新项目(2025年计量仪表采购)－旋翼式远传水表</w:t>
      </w:r>
    </w:p>
    <w:p w14:paraId="24CA5CFB">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59D2464B">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098A231A">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16E3A379">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B2902D4">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ACA7F60">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09DF066">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E6DD946">
      <w:pPr>
        <w:autoSpaceDE w:val="0"/>
        <w:autoSpaceDN w:val="0"/>
        <w:adjustRightInd w:val="0"/>
        <w:spacing w:line="480" w:lineRule="auto"/>
        <w:ind w:left="0" w:leftChars="0" w:firstLine="2327" w:firstLineChars="828"/>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东莞市水务集团供水有限公司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3E85E476">
      <w:pPr>
        <w:autoSpaceDE w:val="0"/>
        <w:autoSpaceDN w:val="0"/>
        <w:adjustRightInd w:val="0"/>
        <w:spacing w:line="480" w:lineRule="auto"/>
        <w:ind w:left="0" w:leftChars="0" w:firstLine="2327" w:firstLineChars="828"/>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780304E0">
      <w:pPr>
        <w:autoSpaceDE w:val="0"/>
        <w:autoSpaceDN w:val="0"/>
        <w:adjustRightInd w:val="0"/>
        <w:spacing w:line="360" w:lineRule="auto"/>
        <w:ind w:left="0" w:leftChars="0" w:firstLine="2327" w:firstLineChars="828"/>
        <w:jc w:val="left"/>
        <w:rPr>
          <w:rFonts w:ascii="宋体" w:hAnsi="宋体" w:eastAsia="宋体" w:cs="宋体"/>
          <w:b/>
          <w:bCs/>
          <w:color w:val="auto"/>
          <w:kern w:val="0"/>
          <w:sz w:val="28"/>
          <w:szCs w:val="28"/>
          <w:highlight w:val="none"/>
        </w:rPr>
      </w:pPr>
    </w:p>
    <w:p w14:paraId="7AC9BEA4">
      <w:pPr>
        <w:autoSpaceDE w:val="0"/>
        <w:autoSpaceDN w:val="0"/>
        <w:adjustRightInd w:val="0"/>
        <w:spacing w:line="360" w:lineRule="auto"/>
        <w:ind w:left="0" w:leftChars="0" w:firstLine="2327" w:firstLineChars="828"/>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6DA03F64">
      <w:pPr>
        <w:keepNext w:val="0"/>
        <w:keepLines w:val="0"/>
        <w:pageBreakBefore w:val="0"/>
        <w:widowControl w:val="0"/>
        <w:kinsoku/>
        <w:wordWrap/>
        <w:overflowPunct/>
        <w:topLinePunct w:val="0"/>
        <w:bidi w:val="0"/>
        <w:adjustRightInd w:val="0"/>
        <w:snapToGrid w:val="0"/>
        <w:spacing w:line="360" w:lineRule="auto"/>
        <w:ind w:right="0"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r>
        <w:rPr>
          <w:rFonts w:hint="eastAsia" w:ascii="宋体" w:hAnsi="宋体" w:eastAsia="宋体" w:cs="宋体"/>
          <w:color w:val="auto"/>
          <w:sz w:val="21"/>
          <w:szCs w:val="21"/>
          <w:highlight w:val="none"/>
          <w:u w:val="none"/>
        </w:rPr>
        <w:t>东莞市水务集团供水有限公司</w:t>
      </w:r>
    </w:p>
    <w:p w14:paraId="665B83E7">
      <w:pPr>
        <w:keepNext w:val="0"/>
        <w:keepLines w:val="0"/>
        <w:pageBreakBefore w:val="0"/>
        <w:widowControl w:val="0"/>
        <w:kinsoku/>
        <w:wordWrap/>
        <w:overflowPunct/>
        <w:topLinePunct w:val="0"/>
        <w:bidi w:val="0"/>
        <w:adjustRightInd w:val="0"/>
        <w:snapToGrid w:val="0"/>
        <w:spacing w:line="360" w:lineRule="auto"/>
        <w:ind w:right="0" w:firstLine="371" w:firstLineChars="17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乙方（卖方）：</w:t>
      </w:r>
      <w:r>
        <w:rPr>
          <w:rFonts w:hint="eastAsia" w:ascii="宋体" w:hAnsi="宋体" w:eastAsia="宋体" w:cs="宋体"/>
          <w:color w:val="auto"/>
          <w:sz w:val="21"/>
          <w:szCs w:val="21"/>
          <w:highlight w:val="none"/>
          <w:u w:val="none"/>
          <w:lang w:val="en-US" w:eastAsia="zh-CN"/>
        </w:rPr>
        <w:t xml:space="preserve">                         </w:t>
      </w:r>
    </w:p>
    <w:p w14:paraId="014BD8F4">
      <w:pPr>
        <w:keepNext w:val="0"/>
        <w:keepLines w:val="0"/>
        <w:pageBreakBefore w:val="0"/>
        <w:widowControl w:val="0"/>
        <w:kinsoku/>
        <w:wordWrap/>
        <w:overflowPunct/>
        <w:topLinePunct w:val="0"/>
        <w:bidi w:val="0"/>
        <w:adjustRightInd w:val="0"/>
        <w:snapToGrid w:val="0"/>
        <w:spacing w:line="360" w:lineRule="auto"/>
        <w:ind w:right="0" w:firstLine="371" w:firstLineChars="177"/>
        <w:rPr>
          <w:rFonts w:hint="eastAsia" w:ascii="宋体" w:hAnsi="宋体" w:eastAsia="宋体" w:cs="宋体"/>
          <w:color w:val="auto"/>
          <w:sz w:val="21"/>
          <w:szCs w:val="21"/>
          <w:highlight w:val="none"/>
        </w:rPr>
      </w:pPr>
    </w:p>
    <w:p w14:paraId="4A7BCA5B">
      <w:pPr>
        <w:keepNext w:val="0"/>
        <w:keepLines w:val="0"/>
        <w:pageBreakBefore w:val="0"/>
        <w:widowControl w:val="0"/>
        <w:kinsoku/>
        <w:wordWrap/>
        <w:overflowPunct/>
        <w:topLinePunct w:val="0"/>
        <w:bidi w:val="0"/>
        <w:adjustRightInd w:val="0"/>
        <w:snapToGrid w:val="0"/>
        <w:spacing w:line="360" w:lineRule="auto"/>
        <w:ind w:right="0"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日公示的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项目中标结果（招标编号：</w:t>
      </w:r>
      <w:r>
        <w:rPr>
          <w:rFonts w:hint="eastAsia" w:ascii="宋体" w:hAnsi="宋体" w:eastAsia="宋体" w:cs="宋体"/>
          <w:color w:val="auto"/>
          <w:sz w:val="21"/>
          <w:szCs w:val="21"/>
          <w:highlight w:val="none"/>
          <w:u w:val="single"/>
          <w:lang w:val="en-US" w:eastAsia="zh-CN"/>
        </w:rPr>
        <w:t xml:space="preserve"> SSWSSZ12501144 </w:t>
      </w:r>
      <w:r>
        <w:rPr>
          <w:rFonts w:hint="eastAsia" w:ascii="宋体" w:hAnsi="宋体" w:eastAsia="宋体" w:cs="宋体"/>
          <w:color w:val="auto"/>
          <w:sz w:val="21"/>
          <w:szCs w:val="21"/>
          <w:highlight w:val="none"/>
        </w:rPr>
        <w:t>）和招标文件的要求，经双方协商一致，签订本合同。</w:t>
      </w:r>
    </w:p>
    <w:p w14:paraId="46B66B59">
      <w:pPr>
        <w:keepNext w:val="0"/>
        <w:keepLines w:val="0"/>
        <w:pageBreakBefore w:val="0"/>
        <w:widowControl w:val="0"/>
        <w:kinsoku/>
        <w:wordWrap/>
        <w:overflowPunct/>
        <w:topLinePunct w:val="0"/>
        <w:bidi w:val="0"/>
        <w:adjustRightInd w:val="0"/>
        <w:snapToGrid w:val="0"/>
        <w:spacing w:line="360" w:lineRule="auto"/>
        <w:ind w:right="0" w:firstLine="373" w:firstLineChars="177"/>
        <w:rPr>
          <w:rFonts w:hint="eastAsia" w:ascii="宋体" w:hAnsi="宋体" w:eastAsia="宋体" w:cs="宋体"/>
          <w:b/>
          <w:color w:val="auto"/>
          <w:sz w:val="21"/>
          <w:szCs w:val="21"/>
          <w:highlight w:val="none"/>
        </w:rPr>
      </w:pPr>
    </w:p>
    <w:p w14:paraId="239AD89D">
      <w:pPr>
        <w:adjustRightInd w:val="0"/>
        <w:snapToGrid w:val="0"/>
        <w:spacing w:line="360" w:lineRule="auto"/>
        <w:ind w:firstLine="373" w:firstLineChars="177"/>
        <w:outlineLvl w:val="1"/>
        <w:rPr>
          <w:rFonts w:ascii="宋体" w:hAnsi="宋体" w:eastAsia="宋体" w:cs="Times New Roman"/>
          <w:b/>
          <w:color w:val="auto"/>
          <w:szCs w:val="21"/>
          <w:highlight w:val="none"/>
        </w:rPr>
      </w:pPr>
      <w:bookmarkStart w:id="604" w:name="_Toc28843"/>
      <w:r>
        <w:rPr>
          <w:rFonts w:hint="eastAsia" w:ascii="宋体" w:hAnsi="宋体" w:eastAsia="宋体" w:cs="Times New Roman"/>
          <w:b/>
          <w:color w:val="auto"/>
          <w:szCs w:val="21"/>
          <w:highlight w:val="none"/>
        </w:rPr>
        <w:t>第一条 合同项目</w:t>
      </w:r>
      <w:bookmarkEnd w:id="604"/>
    </w:p>
    <w:p w14:paraId="4DC4B83D">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合同</w:t>
      </w:r>
      <w:r>
        <w:rPr>
          <w:rFonts w:hint="eastAsia" w:ascii="宋体" w:hAnsi="宋体" w:eastAsia="宋体" w:cs="宋体"/>
          <w:color w:val="auto"/>
          <w:szCs w:val="21"/>
          <w:highlight w:val="none"/>
          <w:lang w:val="en-US" w:eastAsia="zh-CN"/>
        </w:rPr>
        <w:t>采购</w:t>
      </w:r>
      <w:r>
        <w:rPr>
          <w:rFonts w:hint="eastAsia" w:ascii="宋体" w:hAnsi="宋体" w:eastAsia="宋体" w:cs="Times New Roman"/>
          <w:color w:val="auto"/>
          <w:szCs w:val="21"/>
          <w:highlight w:val="none"/>
        </w:rPr>
        <w:t>清单：详见附件。</w:t>
      </w:r>
    </w:p>
    <w:p w14:paraId="37AB563F">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Times New Roman" w:hAnsi="Times New Roman" w:eastAsia="宋体" w:cs="Times New Roman"/>
          <w:color w:val="auto"/>
          <w:szCs w:val="21"/>
          <w:highlight w:val="none"/>
        </w:rPr>
        <w:t>乙方知悉并同意：本合同</w:t>
      </w:r>
      <w:r>
        <w:rPr>
          <w:rFonts w:hint="eastAsia" w:ascii="宋体" w:hAnsi="宋体" w:eastAsia="宋体" w:cs="宋体"/>
          <w:color w:val="auto"/>
          <w:szCs w:val="21"/>
          <w:highlight w:val="none"/>
          <w:lang w:val="en-US" w:eastAsia="zh-CN"/>
        </w:rPr>
        <w:t>采购</w:t>
      </w:r>
      <w:r>
        <w:rPr>
          <w:rFonts w:hint="eastAsia" w:ascii="Times New Roman" w:hAnsi="Times New Roman" w:eastAsia="宋体" w:cs="Times New Roman"/>
          <w:color w:val="auto"/>
          <w:szCs w:val="21"/>
          <w:highlight w:val="none"/>
        </w:rPr>
        <w:t>清单中的采购数量为暂定数量，仅为便于计算合同暂定价使用，不作为甲方最终采购数量的保证。甲方的</w:t>
      </w:r>
      <w:r>
        <w:rPr>
          <w:rFonts w:hint="eastAsia" w:ascii="Times New Roman" w:hAnsi="Times New Roman" w:eastAsia="宋体" w:cs="Times New Roman"/>
          <w:color w:val="auto"/>
          <w:szCs w:val="21"/>
          <w:highlight w:val="none"/>
          <w:lang w:val="en-US" w:eastAsia="zh-CN"/>
        </w:rPr>
        <w:t>最终采购</w:t>
      </w:r>
      <w:r>
        <w:rPr>
          <w:rFonts w:hint="eastAsia" w:ascii="Times New Roman" w:hAnsi="Times New Roman" w:eastAsia="宋体" w:cs="Times New Roman"/>
          <w:color w:val="auto"/>
          <w:szCs w:val="21"/>
          <w:highlight w:val="none"/>
        </w:rPr>
        <w:t>数量以甲方实际采购</w:t>
      </w:r>
      <w:r>
        <w:rPr>
          <w:rFonts w:hint="eastAsia" w:ascii="Times New Roman" w:hAnsi="Times New Roman" w:eastAsia="宋体" w:cs="Times New Roman"/>
          <w:color w:val="auto"/>
          <w:szCs w:val="21"/>
          <w:highlight w:val="none"/>
          <w:lang w:val="en-US" w:eastAsia="zh-CN"/>
        </w:rPr>
        <w:t>且经甲方验收合格的货物</w:t>
      </w:r>
      <w:r>
        <w:rPr>
          <w:rFonts w:hint="eastAsia" w:ascii="Times New Roman" w:hAnsi="Times New Roman" w:eastAsia="宋体" w:cs="Times New Roman"/>
          <w:color w:val="auto"/>
          <w:szCs w:val="21"/>
          <w:highlight w:val="none"/>
        </w:rPr>
        <w:t>数量为准，按实结算</w:t>
      </w:r>
      <w:r>
        <w:rPr>
          <w:rFonts w:hint="eastAsia" w:ascii="宋体" w:hAnsi="宋体" w:eastAsia="宋体" w:cs="宋体"/>
          <w:color w:val="auto"/>
          <w:szCs w:val="21"/>
          <w:highlight w:val="none"/>
        </w:rPr>
        <w:t>。</w:t>
      </w:r>
      <w:r>
        <w:rPr>
          <w:rFonts w:hint="eastAsia" w:ascii="宋体" w:hAnsi="宋体" w:eastAsia="宋体" w:cs="宋体"/>
          <w:color w:val="auto"/>
          <w:kern w:val="2"/>
          <w:sz w:val="21"/>
          <w:szCs w:val="21"/>
          <w:highlight w:val="none"/>
          <w:lang w:val="en-US"/>
        </w:rPr>
        <w:t>供货期为</w:t>
      </w:r>
      <w:r>
        <w:rPr>
          <w:rFonts w:hint="eastAsia" w:ascii="宋体" w:hAnsi="宋体" w:eastAsia="宋体" w:cs="宋体"/>
          <w:color w:val="auto"/>
          <w:kern w:val="2"/>
          <w:sz w:val="21"/>
          <w:szCs w:val="21"/>
          <w:highlight w:val="none"/>
          <w:lang w:val="en-US" w:eastAsia="zh-CN"/>
        </w:rPr>
        <w:t>自</w:t>
      </w:r>
      <w:r>
        <w:rPr>
          <w:rFonts w:hint="eastAsia" w:ascii="宋体" w:hAnsi="宋体" w:eastAsia="宋体" w:cs="宋体"/>
          <w:color w:val="auto"/>
          <w:kern w:val="2"/>
          <w:sz w:val="21"/>
          <w:szCs w:val="21"/>
          <w:highlight w:val="none"/>
          <w:lang w:val="en-US"/>
        </w:rPr>
        <w:t>合同签订之日起</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rPr>
        <w:t>年</w:t>
      </w:r>
      <w:r>
        <w:rPr>
          <w:rFonts w:hint="eastAsia" w:ascii="Times New Roman" w:hAnsi="Times New Roman" w:eastAsia="宋体" w:cs="Times New Roman"/>
          <w:color w:val="auto"/>
          <w:szCs w:val="21"/>
          <w:highlight w:val="none"/>
        </w:rPr>
        <w:t>。在供货期内，乙方不得因甲方实际采购数量的减少或增加而要求甲方作出任何形式的补偿或赔偿，或要求甲方按暂定数量采购相应货物。</w:t>
      </w:r>
    </w:p>
    <w:p w14:paraId="378380A4">
      <w:pPr>
        <w:adjustRightInd w:val="0"/>
        <w:snapToGrid w:val="0"/>
        <w:spacing w:line="360" w:lineRule="auto"/>
        <w:ind w:firstLine="373" w:firstLineChars="177"/>
        <w:outlineLvl w:val="9"/>
        <w:rPr>
          <w:rFonts w:hint="eastAsia" w:ascii="宋体" w:hAnsi="宋体" w:eastAsia="宋体" w:cs="Times New Roman"/>
          <w:b/>
          <w:color w:val="auto"/>
          <w:szCs w:val="21"/>
          <w:highlight w:val="none"/>
        </w:rPr>
      </w:pPr>
    </w:p>
    <w:p w14:paraId="44E8D6DE">
      <w:pPr>
        <w:adjustRightInd w:val="0"/>
        <w:snapToGrid w:val="0"/>
        <w:spacing w:line="360" w:lineRule="auto"/>
        <w:ind w:firstLine="373" w:firstLineChars="177"/>
        <w:outlineLvl w:val="1"/>
        <w:rPr>
          <w:rFonts w:ascii="宋体" w:hAnsi="宋体" w:eastAsia="宋体" w:cs="Times New Roman"/>
          <w:b/>
          <w:color w:val="auto"/>
          <w:szCs w:val="21"/>
          <w:highlight w:val="none"/>
        </w:rPr>
      </w:pPr>
      <w:bookmarkStart w:id="605" w:name="_Toc27241"/>
      <w:r>
        <w:rPr>
          <w:rFonts w:hint="eastAsia" w:ascii="宋体" w:hAnsi="宋体" w:eastAsia="宋体" w:cs="Times New Roman"/>
          <w:b/>
          <w:color w:val="auto"/>
          <w:szCs w:val="21"/>
          <w:highlight w:val="none"/>
        </w:rPr>
        <w:t>第二条 合同暂定价</w:t>
      </w:r>
      <w:bookmarkEnd w:id="605"/>
    </w:p>
    <w:p w14:paraId="013C862A">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1、本合同价采用折扣系数，本项目执行的中标折扣系数为：</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。合同履约过程中，</w:t>
      </w:r>
      <w:r>
        <w:rPr>
          <w:rFonts w:hint="eastAsia" w:ascii="宋体" w:hAnsi="宋体" w:eastAsia="宋体" w:cs="宋体"/>
          <w:color w:val="auto"/>
          <w:kern w:val="2"/>
          <w:sz w:val="21"/>
          <w:szCs w:val="21"/>
          <w:highlight w:val="none"/>
          <w:lang w:val="en-US" w:eastAsia="zh-CN" w:bidi="ar-SA"/>
        </w:rPr>
        <w:t>按货物清单中不含税中标综合单价以</w:t>
      </w:r>
      <w:r>
        <w:rPr>
          <w:rFonts w:hint="eastAsia" w:ascii="Times New Roman" w:hAnsi="Times New Roman" w:eastAsia="宋体" w:cs="Times New Roman"/>
          <w:color w:val="auto"/>
          <w:szCs w:val="21"/>
          <w:highlight w:val="none"/>
        </w:rPr>
        <w:t>甲方实际采购</w:t>
      </w:r>
      <w:r>
        <w:rPr>
          <w:rFonts w:hint="eastAsia" w:ascii="Times New Roman" w:hAnsi="Times New Roman" w:eastAsia="宋体" w:cs="Times New Roman"/>
          <w:color w:val="auto"/>
          <w:szCs w:val="21"/>
          <w:highlight w:val="none"/>
          <w:lang w:val="en-US" w:eastAsia="zh-CN"/>
        </w:rPr>
        <w:t>且经甲方验收合格的货物</w:t>
      </w:r>
      <w:r>
        <w:rPr>
          <w:rFonts w:hint="eastAsia" w:ascii="宋体" w:hAnsi="宋体" w:eastAsia="宋体" w:cs="宋体"/>
          <w:color w:val="auto"/>
          <w:kern w:val="2"/>
          <w:sz w:val="21"/>
          <w:szCs w:val="21"/>
          <w:highlight w:val="none"/>
          <w:lang w:val="en-US" w:eastAsia="zh-CN" w:bidi="ar-SA"/>
        </w:rPr>
        <w:t>数量进行结算</w:t>
      </w:r>
      <w:r>
        <w:rPr>
          <w:rFonts w:hint="eastAsia" w:ascii="宋体" w:hAnsi="宋体" w:eastAsia="宋体" w:cs="Times New Roman"/>
          <w:color w:val="auto"/>
          <w:kern w:val="2"/>
          <w:sz w:val="21"/>
          <w:szCs w:val="21"/>
          <w:highlight w:val="none"/>
          <w:lang w:val="en-US" w:eastAsia="zh-CN" w:bidi="ar-SA"/>
        </w:rPr>
        <w:t>：不含税中标综合单价=不含税预算综合单价×中标折扣系数，以</w:t>
      </w:r>
      <w:r>
        <w:rPr>
          <w:rFonts w:hint="eastAsia" w:ascii="Times New Roman" w:hAnsi="Times New Roman" w:eastAsia="宋体" w:cs="Times New Roman"/>
          <w:color w:val="auto"/>
          <w:szCs w:val="21"/>
          <w:highlight w:val="none"/>
        </w:rPr>
        <w:t>甲方实际采购</w:t>
      </w:r>
      <w:r>
        <w:rPr>
          <w:rFonts w:hint="eastAsia" w:ascii="Times New Roman" w:hAnsi="Times New Roman" w:eastAsia="宋体" w:cs="Times New Roman"/>
          <w:color w:val="auto"/>
          <w:szCs w:val="21"/>
          <w:highlight w:val="none"/>
          <w:lang w:val="en-US" w:eastAsia="zh-CN"/>
        </w:rPr>
        <w:t>且经甲方验收合格的货物</w:t>
      </w:r>
      <w:r>
        <w:rPr>
          <w:rFonts w:hint="eastAsia" w:ascii="宋体" w:hAnsi="宋体" w:eastAsia="宋体" w:cs="Times New Roman"/>
          <w:color w:val="auto"/>
          <w:kern w:val="2"/>
          <w:sz w:val="21"/>
          <w:szCs w:val="21"/>
          <w:highlight w:val="none"/>
          <w:lang w:val="en-US" w:eastAsia="zh-CN" w:bidi="ar-SA"/>
        </w:rPr>
        <w:t>数量进行结算，不含税中标综合单价出现小数点，保留小数点后两位，从小数点后第3位四舍五入，具体不含税预算综合单价详见附件《用户需求书》。对应招标时暂列采购数量清单计算的合同暂定价（即销售额，不含销项税额）为</w:t>
      </w:r>
      <w:r>
        <w:rPr>
          <w:rFonts w:hint="eastAsia" w:ascii="宋体" w:hAnsi="宋体" w:eastAsia="宋体" w:cs="Times New Roman"/>
          <w:color w:val="auto"/>
          <w:kern w:val="2"/>
          <w:sz w:val="21"/>
          <w:szCs w:val="21"/>
          <w:highlight w:val="none"/>
          <w:u w:val="single"/>
          <w:lang w:val="en-US" w:eastAsia="zh-CN" w:bidi="ar-SA"/>
        </w:rPr>
        <w:t>¥         元</w:t>
      </w:r>
      <w:r>
        <w:rPr>
          <w:rFonts w:hint="eastAsia" w:ascii="宋体" w:hAnsi="宋体" w:eastAsia="宋体" w:cs="Times New Roman"/>
          <w:color w:val="auto"/>
          <w:kern w:val="2"/>
          <w:sz w:val="21"/>
          <w:szCs w:val="21"/>
          <w:highlight w:val="none"/>
          <w:lang w:val="en-US" w:eastAsia="zh-CN" w:bidi="ar-SA"/>
        </w:rPr>
        <w:t>（大写人民币</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）。在本合同履行过程中，合同暂定价（即销售额，不含乙方销项税额）不随法律法规政策、物价人工调整而进行调整，未经甲方书面确认，乙方无权增加任何费用。</w:t>
      </w:r>
    </w:p>
    <w:p w14:paraId="52989090">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2、依法计得并根据本合同约定确定的销项税额由甲方承担。根据《中华人民共和国增值税暂行条例》（国务院令第691号修订版）及当前税务部门的相关规定，本合同项目的增值税税率为 </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，对应暂定的销项税额为</w:t>
      </w:r>
      <w:r>
        <w:rPr>
          <w:rFonts w:hint="eastAsia" w:ascii="宋体" w:hAnsi="宋体" w:eastAsia="宋体" w:cs="Times New Roman"/>
          <w:color w:val="auto"/>
          <w:kern w:val="2"/>
          <w:sz w:val="21"/>
          <w:szCs w:val="21"/>
          <w:highlight w:val="none"/>
          <w:u w:val="single"/>
          <w:lang w:val="en-US" w:eastAsia="zh-CN" w:bidi="ar-SA"/>
        </w:rPr>
        <w:t>¥         元</w:t>
      </w:r>
      <w:r>
        <w:rPr>
          <w:rFonts w:hint="eastAsia" w:ascii="宋体" w:hAnsi="宋体" w:eastAsia="宋体" w:cs="Times New Roman"/>
          <w:color w:val="auto"/>
          <w:kern w:val="2"/>
          <w:sz w:val="21"/>
          <w:szCs w:val="21"/>
          <w:highlight w:val="none"/>
          <w:lang w:val="en-US" w:eastAsia="zh-CN" w:bidi="ar-SA"/>
        </w:rPr>
        <w:t>（大写人民币</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在本合同履行过程中，税收政策变动导致增值税税率调整，依法应调整销项税额的，依法调整；但因乙方未按合同约定完成供货、未根据合同约定提供合法、完整的请款资料、项目验收不合格导致的返工或退货、项目验收合格前的非正常损耗等原因导致销项税额增加的，相应损失由乙方承担。</w:t>
      </w:r>
    </w:p>
    <w:p w14:paraId="369736A2">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因乙方未按法定税率计算税额或未根据本合同约定出具对应税额的增值税普通发票等乙方原因导致甲方多支付税额的，乙方必须退还甲方，给甲方造成损失的，乙方须向甲方赔偿相应损失。</w:t>
      </w:r>
    </w:p>
    <w:p w14:paraId="3FDDCD81">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3、合同暂定总价（含销项税额）合计为</w:t>
      </w:r>
      <w:r>
        <w:rPr>
          <w:rFonts w:hint="eastAsia" w:ascii="宋体" w:hAnsi="宋体" w:eastAsia="宋体" w:cs="Times New Roman"/>
          <w:color w:val="auto"/>
          <w:kern w:val="2"/>
          <w:sz w:val="21"/>
          <w:szCs w:val="21"/>
          <w:highlight w:val="none"/>
          <w:u w:val="single"/>
          <w:lang w:val="en-US" w:eastAsia="zh-CN" w:bidi="ar-SA"/>
        </w:rPr>
        <w:t>¥         元</w:t>
      </w:r>
      <w:r>
        <w:rPr>
          <w:rFonts w:hint="eastAsia" w:ascii="宋体" w:hAnsi="宋体" w:eastAsia="宋体" w:cs="Times New Roman"/>
          <w:color w:val="auto"/>
          <w:kern w:val="2"/>
          <w:sz w:val="21"/>
          <w:szCs w:val="21"/>
          <w:highlight w:val="none"/>
          <w:lang w:val="en-US" w:eastAsia="zh-CN" w:bidi="ar-SA"/>
        </w:rPr>
        <w:t>（大写人民币</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）（详见附件），如合同履行期间根据本条第2项规定调整销项税额的，则结算时合同暂定总价（含销项税额）合计对应调整。</w:t>
      </w:r>
    </w:p>
    <w:p w14:paraId="33AFCD4F">
      <w:pPr>
        <w:widowControl w:val="0"/>
        <w:tabs>
          <w:tab w:val="left" w:pos="0"/>
        </w:tabs>
        <w:adjustRightInd w:val="0"/>
        <w:snapToGrid w:val="0"/>
        <w:spacing w:line="360" w:lineRule="auto"/>
        <w:ind w:firstLine="42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4、合同暂定价（不含销项税额）为乙方完成合同义务的全部费用，包括但不限于：</w:t>
      </w:r>
    </w:p>
    <w:p w14:paraId="4EC9B418">
      <w:pPr>
        <w:adjustRightInd w:val="0"/>
        <w:snapToGrid w:val="0"/>
        <w:spacing w:line="360" w:lineRule="auto"/>
        <w:ind w:firstLine="420" w:firstLineChars="200"/>
        <w:rPr>
          <w:rFonts w:ascii="宋体" w:hAnsi="宋体" w:eastAsia="宋体" w:cs="Arial"/>
          <w:color w:val="auto"/>
          <w:szCs w:val="21"/>
          <w:highlight w:val="none"/>
        </w:rPr>
      </w:pPr>
      <w:r>
        <w:rPr>
          <w:rFonts w:hint="eastAsia" w:ascii="宋体" w:hAnsi="宋体" w:eastAsia="宋体" w:cs="Times New Roman"/>
          <w:color w:val="auto"/>
          <w:szCs w:val="21"/>
          <w:highlight w:val="none"/>
        </w:rPr>
        <w:t>（1）</w:t>
      </w:r>
      <w:r>
        <w:rPr>
          <w:rFonts w:hint="eastAsia" w:ascii="Times New Roman" w:hAnsi="Times New Roman" w:eastAsia="宋体" w:cs="Times New Roman"/>
          <w:color w:val="auto"/>
          <w:szCs w:val="21"/>
          <w:highlight w:val="none"/>
        </w:rPr>
        <w:t>合同</w:t>
      </w:r>
      <w:r>
        <w:rPr>
          <w:rFonts w:hint="eastAsia" w:ascii="宋体" w:hAnsi="宋体" w:eastAsia="宋体" w:cs="Times New Roman"/>
          <w:color w:val="auto"/>
          <w:szCs w:val="21"/>
          <w:highlight w:val="none"/>
        </w:rPr>
        <w:t>供货范围内所有水表及其附件的制造及系统集成、</w:t>
      </w:r>
      <w:r>
        <w:rPr>
          <w:rFonts w:hint="eastAsia" w:ascii="宋体" w:hAnsi="宋体" w:eastAsia="宋体" w:cs="Times New Roman"/>
          <w:color w:val="auto"/>
          <w:szCs w:val="21"/>
          <w:highlight w:val="none"/>
          <w:lang w:val="en-US" w:eastAsia="zh-CN"/>
        </w:rPr>
        <w:t>印刷费、</w:t>
      </w:r>
      <w:r>
        <w:rPr>
          <w:rFonts w:hint="eastAsia" w:ascii="宋体" w:hAnsi="宋体" w:eastAsia="宋体" w:cs="Times New Roman"/>
          <w:color w:val="auto"/>
          <w:szCs w:val="21"/>
          <w:highlight w:val="none"/>
        </w:rPr>
        <w:t>检定、运输（至</w:t>
      </w:r>
      <w:r>
        <w:rPr>
          <w:rFonts w:hint="eastAsia" w:ascii="宋体" w:hAnsi="宋体" w:eastAsia="宋体" w:cs="Times New Roman"/>
          <w:color w:val="auto"/>
          <w:szCs w:val="21"/>
          <w:highlight w:val="none"/>
          <w:lang w:val="en-US" w:eastAsia="zh-CN"/>
        </w:rPr>
        <w:t>甲方</w:t>
      </w:r>
      <w:r>
        <w:rPr>
          <w:rFonts w:hint="eastAsia" w:ascii="宋体" w:hAnsi="宋体" w:eastAsia="宋体" w:cs="Times New Roman"/>
          <w:color w:val="auto"/>
          <w:szCs w:val="21"/>
          <w:highlight w:val="none"/>
        </w:rPr>
        <w:t>指定的仓库或</w:t>
      </w:r>
      <w:r>
        <w:rPr>
          <w:rFonts w:hint="eastAsia" w:ascii="Times New Roman" w:hAnsi="Times New Roman" w:eastAsia="宋体" w:cs="Times New Roman"/>
          <w:color w:val="auto"/>
          <w:szCs w:val="24"/>
          <w:highlight w:val="none"/>
          <w:lang w:eastAsia="zh-CN"/>
        </w:rPr>
        <w:t>项目</w:t>
      </w:r>
      <w:r>
        <w:rPr>
          <w:rFonts w:hint="eastAsia" w:ascii="宋体" w:hAnsi="宋体" w:eastAsia="宋体" w:cs="Times New Roman"/>
          <w:color w:val="auto"/>
          <w:szCs w:val="21"/>
          <w:highlight w:val="none"/>
        </w:rPr>
        <w:t>现场）、保险、装卸、远传调试，验收等费用</w:t>
      </w:r>
      <w:r>
        <w:rPr>
          <w:rFonts w:hint="eastAsia" w:ascii="宋体" w:hAnsi="宋体" w:eastAsia="宋体" w:cs="Times New Roman"/>
          <w:color w:val="auto"/>
          <w:szCs w:val="21"/>
          <w:highlight w:val="none"/>
          <w:lang w:val="zh-CN"/>
        </w:rPr>
        <w:t>；</w:t>
      </w:r>
    </w:p>
    <w:p w14:paraId="6E7D9522">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（2）按招标文件及合同要求提供各阶段的纸质和电子版技术资料，包括货物及其工艺所有制造方、使用方应支付的对商标权、专利权和版权、设计或其他知识产权而需要向其他方支付的版税及其他相关费用；</w:t>
      </w:r>
    </w:p>
    <w:p w14:paraId="5DD9A16C">
      <w:pPr>
        <w:adjustRightInd w:val="0"/>
        <w:snapToGrid w:val="0"/>
        <w:spacing w:line="360" w:lineRule="auto"/>
        <w:ind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w:t>
      </w:r>
      <w:r>
        <w:rPr>
          <w:rFonts w:hint="eastAsia" w:ascii="Times New Roman" w:hAnsi="Times New Roman" w:eastAsia="宋体" w:cs="Times New Roman"/>
          <w:color w:val="auto"/>
          <w:szCs w:val="21"/>
          <w:highlight w:val="none"/>
        </w:rPr>
        <w:t>验收时为达到相关标准而可能增加的、不合格货物更换、零配件更换等费用</w:t>
      </w:r>
      <w:r>
        <w:rPr>
          <w:rFonts w:hint="eastAsia" w:ascii="宋体" w:hAnsi="宋体" w:eastAsia="宋体" w:cs="Times New Roman"/>
          <w:color w:val="auto"/>
          <w:szCs w:val="21"/>
          <w:highlight w:val="none"/>
          <w:lang w:val="zh-CN"/>
        </w:rPr>
        <w:t>；</w:t>
      </w:r>
    </w:p>
    <w:p w14:paraId="3E7781A1">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（4）设备备品备件（含零配件）、设备拆装维修所需特殊专用工具购置费；</w:t>
      </w:r>
    </w:p>
    <w:p w14:paraId="2091126E">
      <w:pPr>
        <w:adjustRightInd w:val="0"/>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Times New Roman" w:hAnsi="Times New Roman" w:eastAsia="宋体" w:cs="Times New Roman"/>
          <w:color w:val="auto"/>
          <w:szCs w:val="21"/>
          <w:highlight w:val="none"/>
        </w:rPr>
        <w:t>日常技术指导，免费的质保期保修服务，包括但不限于对设备的运行指导，免费维修、保修或更换配件，在设备出现严重故障、影响正常运行、修复有困难的情况下，对设备进行免费更换的费用；</w:t>
      </w:r>
    </w:p>
    <w:p w14:paraId="2D2226F8">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（6）招标</w:t>
      </w:r>
      <w:r>
        <w:rPr>
          <w:rFonts w:hint="eastAsia" w:ascii="宋体" w:hAnsi="宋体" w:eastAsia="宋体" w:cs="Times New Roman"/>
          <w:color w:val="auto"/>
          <w:szCs w:val="21"/>
          <w:highlight w:val="none"/>
          <w:lang w:eastAsia="zh-CN"/>
        </w:rPr>
        <w:t>供货清单</w:t>
      </w:r>
      <w:r>
        <w:rPr>
          <w:rFonts w:hint="eastAsia" w:ascii="宋体" w:hAnsi="宋体" w:eastAsia="宋体" w:cs="Times New Roman"/>
          <w:color w:val="auto"/>
          <w:szCs w:val="21"/>
          <w:highlight w:val="none"/>
        </w:rPr>
        <w:t>虽未列出，但根据设计图纸或为满足设计功能所必需的设备材料购置费；</w:t>
      </w:r>
    </w:p>
    <w:p w14:paraId="484844CE">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（7）合理利润、</w:t>
      </w:r>
      <w:r>
        <w:rPr>
          <w:rFonts w:hint="eastAsia" w:ascii="Times New Roman" w:hAnsi="宋体" w:eastAsia="宋体" w:cs="Times New Roman"/>
          <w:color w:val="auto"/>
          <w:szCs w:val="21"/>
          <w:highlight w:val="none"/>
          <w:lang w:val="zh-CN"/>
        </w:rPr>
        <w:t>乙方销项税额以外的税费</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中标服务费</w:t>
      </w:r>
      <w:r>
        <w:rPr>
          <w:rFonts w:hint="eastAsia" w:ascii="宋体" w:hAnsi="宋体" w:eastAsia="宋体" w:cs="Times New Roman"/>
          <w:color w:val="auto"/>
          <w:szCs w:val="21"/>
          <w:highlight w:val="none"/>
        </w:rPr>
        <w:t>等；</w:t>
      </w:r>
    </w:p>
    <w:p w14:paraId="2FEE75EE">
      <w:pPr>
        <w:adjustRightInd w:val="0"/>
        <w:snapToGrid w:val="0"/>
        <w:spacing w:line="360" w:lineRule="auto"/>
        <w:ind w:firstLine="420" w:firstLineChars="20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（8）法律法规、</w:t>
      </w:r>
      <w:r>
        <w:rPr>
          <w:rFonts w:hint="eastAsia" w:ascii="宋体" w:hAnsi="宋体" w:eastAsia="宋体" w:cs="Times New Roman"/>
          <w:color w:val="auto"/>
          <w:szCs w:val="21"/>
          <w:highlight w:val="none"/>
          <w:lang w:val="zh-CN"/>
        </w:rPr>
        <w:t>商业公认、招标文件规定由乙方承担的其他费用。</w:t>
      </w:r>
    </w:p>
    <w:p w14:paraId="130FFA4B">
      <w:pPr>
        <w:widowControl w:val="0"/>
        <w:tabs>
          <w:tab w:val="left" w:pos="0"/>
        </w:tabs>
        <w:adjustRightInd w:val="0"/>
        <w:snapToGrid w:val="0"/>
        <w:spacing w:line="360" w:lineRule="auto"/>
        <w:ind w:firstLine="420"/>
        <w:jc w:val="both"/>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在执行合同过程中如发现有任何货物（含配件、技术资料等）漏项或短缺，虽然在乙方的投标报价表中并未列入，但为保证合同设备的性能、满足招标文件要求功能的正常运行要求所必须的，均应由乙方负责将所缺的货物补齐，其费用包括在合同价中。需补齐的货物，乙方应在接到甲方通知之日起</w:t>
      </w:r>
      <w:r>
        <w:rPr>
          <w:rFonts w:ascii="宋体" w:hAnsi="宋体" w:eastAsia="宋体" w:cs="Times New Roman"/>
          <w:color w:val="auto"/>
          <w:kern w:val="2"/>
          <w:sz w:val="21"/>
          <w:szCs w:val="21"/>
          <w:highlight w:val="none"/>
          <w:lang w:val="en-US" w:eastAsia="zh-CN" w:bidi="ar-SA"/>
        </w:rPr>
        <w:t>10</w:t>
      </w:r>
      <w:r>
        <w:rPr>
          <w:rFonts w:hint="eastAsia" w:ascii="宋体" w:hAnsi="宋体" w:eastAsia="宋体" w:cs="Times New Roman"/>
          <w:color w:val="auto"/>
          <w:kern w:val="2"/>
          <w:sz w:val="21"/>
          <w:szCs w:val="21"/>
          <w:highlight w:val="none"/>
          <w:lang w:val="en-US" w:eastAsia="zh-CN" w:bidi="ar-SA"/>
        </w:rPr>
        <w:t>日内交齐，否则将视为逾期交货。</w:t>
      </w:r>
    </w:p>
    <w:p w14:paraId="0147C1CB">
      <w:pPr>
        <w:adjustRightInd w:val="0"/>
        <w:snapToGrid w:val="0"/>
        <w:spacing w:line="360" w:lineRule="auto"/>
        <w:ind w:firstLine="373" w:firstLineChars="177"/>
        <w:rPr>
          <w:rFonts w:ascii="宋体" w:hAnsi="宋体" w:eastAsia="宋体" w:cs="Times New Roman"/>
          <w:b/>
          <w:color w:val="auto"/>
          <w:szCs w:val="21"/>
          <w:highlight w:val="none"/>
        </w:rPr>
      </w:pPr>
    </w:p>
    <w:p w14:paraId="5B4C3270">
      <w:pPr>
        <w:adjustRightInd w:val="0"/>
        <w:snapToGrid w:val="0"/>
        <w:spacing w:line="360" w:lineRule="auto"/>
        <w:ind w:firstLine="373" w:firstLineChars="177"/>
        <w:outlineLvl w:val="1"/>
        <w:rPr>
          <w:rFonts w:ascii="宋体" w:hAnsi="宋体" w:eastAsia="宋体" w:cs="Times New Roman"/>
          <w:b/>
          <w:color w:val="auto"/>
          <w:szCs w:val="21"/>
          <w:highlight w:val="none"/>
        </w:rPr>
      </w:pPr>
      <w:bookmarkStart w:id="606" w:name="_Toc29727"/>
      <w:r>
        <w:rPr>
          <w:rFonts w:hint="eastAsia" w:ascii="宋体" w:hAnsi="宋体" w:eastAsia="宋体" w:cs="Times New Roman"/>
          <w:b/>
          <w:color w:val="auto"/>
          <w:szCs w:val="21"/>
          <w:highlight w:val="none"/>
        </w:rPr>
        <w:t>第三条 合同组成</w:t>
      </w:r>
      <w:bookmarkEnd w:id="606"/>
    </w:p>
    <w:p w14:paraId="6021F503">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详细价格组成、技术说明及其它有关合同货物的特定信息可由合同附件说明。所有附件及本项目的招标文件（含用户需求书）、答疑文件、投标文件及相关承诺、协议等均为本合同不可分割之一部分，与本合同同具法律效力，该等文件与本合同正文约定不一致的，以合同正文约定为准，本合同正文未约定的，前述该等文件有约定的，按该等文件执行。</w:t>
      </w:r>
    </w:p>
    <w:p w14:paraId="4B4D00ED">
      <w:pPr>
        <w:adjustRightInd w:val="0"/>
        <w:snapToGrid w:val="0"/>
        <w:spacing w:line="360" w:lineRule="auto"/>
        <w:ind w:firstLine="373" w:firstLineChars="177"/>
        <w:rPr>
          <w:rFonts w:ascii="宋体" w:hAnsi="宋体" w:eastAsia="宋体" w:cs="Times New Roman"/>
          <w:b/>
          <w:color w:val="auto"/>
          <w:szCs w:val="21"/>
          <w:highlight w:val="none"/>
        </w:rPr>
      </w:pPr>
    </w:p>
    <w:p w14:paraId="63B2C746">
      <w:pPr>
        <w:adjustRightInd w:val="0"/>
        <w:snapToGrid w:val="0"/>
        <w:spacing w:line="360" w:lineRule="auto"/>
        <w:ind w:firstLine="373" w:firstLineChars="177"/>
        <w:outlineLvl w:val="1"/>
        <w:rPr>
          <w:rFonts w:ascii="宋体" w:hAnsi="宋体" w:eastAsia="宋体" w:cs="Times New Roman"/>
          <w:b/>
          <w:color w:val="auto"/>
          <w:szCs w:val="21"/>
          <w:highlight w:val="none"/>
        </w:rPr>
      </w:pPr>
      <w:bookmarkStart w:id="607" w:name="_Toc30237"/>
      <w:r>
        <w:rPr>
          <w:rFonts w:hint="eastAsia" w:ascii="宋体" w:hAnsi="宋体" w:eastAsia="宋体" w:cs="Times New Roman"/>
          <w:b/>
          <w:color w:val="auto"/>
          <w:szCs w:val="21"/>
          <w:highlight w:val="none"/>
        </w:rPr>
        <w:t>第四条 技术要求</w:t>
      </w:r>
      <w:bookmarkEnd w:id="607"/>
    </w:p>
    <w:p w14:paraId="41AB0804">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乙方保证所提供货物均为采用合格材料和工艺制成的全新一手的未使用过的原装产品，并完全符合甲方招标文件“用户需求书”中要求及乙方投标文件承诺的质量、规格标准；同时乙方所提供货物，必须符合国家有关法律法规和</w:t>
      </w:r>
      <w:r>
        <w:rPr>
          <w:rFonts w:hint="eastAsia" w:ascii="宋体" w:hAnsi="宋体" w:eastAsia="宋体" w:cs="Times New Roman"/>
          <w:color w:val="auto"/>
          <w:szCs w:val="21"/>
          <w:highlight w:val="none"/>
          <w:lang w:val="en-US" w:eastAsia="zh-CN"/>
        </w:rPr>
        <w:t>生态环境</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市场监督等</w:t>
      </w:r>
      <w:r>
        <w:rPr>
          <w:rFonts w:hint="eastAsia" w:ascii="宋体" w:hAnsi="宋体" w:eastAsia="宋体" w:cs="Times New Roman"/>
          <w:color w:val="auto"/>
          <w:szCs w:val="21"/>
          <w:highlight w:val="none"/>
        </w:rPr>
        <w:t>主管部门要求及甲方的技术要求，不存在侵犯第三人知识产权及其他合法权益的情况，</w:t>
      </w:r>
      <w:r>
        <w:rPr>
          <w:rFonts w:hint="eastAsia" w:ascii="Times New Roman" w:hAnsi="宋体" w:eastAsia="宋体" w:cs="Times New Roman"/>
          <w:color w:val="auto"/>
          <w:szCs w:val="21"/>
          <w:highlight w:val="none"/>
        </w:rPr>
        <w:t>否则</w:t>
      </w:r>
      <w:r>
        <w:rPr>
          <w:rFonts w:hint="eastAsia" w:ascii="Times New Roman" w:hAnsi="宋体" w:eastAsia="宋体" w:cs="Times New Roman"/>
          <w:color w:val="auto"/>
          <w:szCs w:val="21"/>
          <w:highlight w:val="none"/>
          <w:lang w:eastAsia="zh-Hans"/>
        </w:rPr>
        <w:t>甲方有权单方解除本合同</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不予返还履约担保且要求乙方按合同</w:t>
      </w:r>
      <w:r>
        <w:rPr>
          <w:rFonts w:hint="eastAsia" w:ascii="Times New Roman" w:hAnsi="宋体" w:eastAsia="宋体" w:cs="Times New Roman"/>
          <w:color w:val="auto"/>
          <w:szCs w:val="21"/>
          <w:highlight w:val="none"/>
        </w:rPr>
        <w:t>暂定</w:t>
      </w:r>
      <w:r>
        <w:rPr>
          <w:rFonts w:hint="eastAsia" w:ascii="Times New Roman" w:hAnsi="宋体" w:eastAsia="宋体" w:cs="Times New Roman"/>
          <w:color w:val="auto"/>
          <w:szCs w:val="21"/>
          <w:highlight w:val="none"/>
          <w:lang w:eastAsia="zh-Hans"/>
        </w:rPr>
        <w:t>总</w:t>
      </w:r>
      <w:r>
        <w:rPr>
          <w:rFonts w:hint="eastAsia" w:ascii="Times New Roman" w:hAnsi="宋体" w:eastAsia="宋体" w:cs="Times New Roman"/>
          <w:color w:val="auto"/>
          <w:szCs w:val="21"/>
          <w:highlight w:val="none"/>
        </w:rPr>
        <w:t>价（含销项税额）</w:t>
      </w:r>
      <w:r>
        <w:rPr>
          <w:rFonts w:hint="eastAsia" w:ascii="Times New Roman" w:hAnsi="宋体" w:eastAsia="宋体" w:cs="Times New Roman"/>
          <w:color w:val="auto"/>
          <w:szCs w:val="21"/>
          <w:highlight w:val="none"/>
          <w:lang w:eastAsia="zh-Hans"/>
        </w:rPr>
        <w:t>的</w:t>
      </w:r>
      <w:r>
        <w:rPr>
          <w:rFonts w:ascii="Times New Roman" w:hAnsi="宋体" w:eastAsia="宋体" w:cs="Times New Roman"/>
          <w:color w:val="auto"/>
          <w:szCs w:val="21"/>
          <w:highlight w:val="none"/>
          <w:lang w:eastAsia="zh-Hans"/>
        </w:rPr>
        <w:t>【30】%</w:t>
      </w:r>
      <w:r>
        <w:rPr>
          <w:rFonts w:hint="eastAsia" w:ascii="Times New Roman" w:hAnsi="宋体" w:eastAsia="宋体" w:cs="Times New Roman"/>
          <w:color w:val="auto"/>
          <w:szCs w:val="21"/>
          <w:highlight w:val="none"/>
          <w:lang w:eastAsia="zh-Hans"/>
        </w:rPr>
        <w:t>承担违约责任</w:t>
      </w:r>
      <w:r>
        <w:rPr>
          <w:rFonts w:hint="eastAsia" w:ascii="宋体" w:hAnsi="宋体" w:eastAsia="宋体" w:cs="Times New Roman"/>
          <w:color w:val="auto"/>
          <w:szCs w:val="21"/>
          <w:highlight w:val="none"/>
        </w:rPr>
        <w:t>。乙方应当提供货物的质量检验单位出具的检验报告原件（检验报告合格）、出厂合格证明材料、产品性能使用说明书，并具备主管部门的质量认证文件等。</w:t>
      </w:r>
    </w:p>
    <w:p w14:paraId="23745A6E">
      <w:pPr>
        <w:adjustRightInd w:val="0"/>
        <w:snapToGrid w:val="0"/>
        <w:spacing w:line="360" w:lineRule="auto"/>
        <w:ind w:firstLine="373" w:firstLineChars="177"/>
        <w:rPr>
          <w:rFonts w:ascii="宋体" w:hAnsi="宋体" w:eastAsia="宋体" w:cs="Times New Roman"/>
          <w:b/>
          <w:color w:val="auto"/>
          <w:szCs w:val="21"/>
          <w:highlight w:val="none"/>
        </w:rPr>
      </w:pPr>
    </w:p>
    <w:p w14:paraId="5227ED34">
      <w:pPr>
        <w:adjustRightInd w:val="0"/>
        <w:snapToGrid w:val="0"/>
        <w:spacing w:line="360" w:lineRule="auto"/>
        <w:ind w:firstLine="373" w:firstLineChars="177"/>
        <w:outlineLvl w:val="1"/>
        <w:rPr>
          <w:rFonts w:ascii="宋体" w:hAnsi="宋体" w:eastAsia="宋体" w:cs="Times New Roman"/>
          <w:b/>
          <w:color w:val="auto"/>
          <w:szCs w:val="21"/>
          <w:highlight w:val="none"/>
        </w:rPr>
      </w:pPr>
      <w:bookmarkStart w:id="608" w:name="_Toc29542"/>
      <w:r>
        <w:rPr>
          <w:rFonts w:hint="eastAsia" w:ascii="宋体" w:hAnsi="宋体" w:eastAsia="宋体" w:cs="Times New Roman"/>
          <w:b/>
          <w:color w:val="auto"/>
          <w:szCs w:val="21"/>
          <w:highlight w:val="none"/>
        </w:rPr>
        <w:t>第五条 质量保证</w:t>
      </w:r>
      <w:bookmarkEnd w:id="608"/>
    </w:p>
    <w:p w14:paraId="4BDEC690">
      <w:pPr>
        <w:adjustRightInd w:val="0"/>
        <w:snapToGrid w:val="0"/>
        <w:spacing w:line="360" w:lineRule="auto"/>
        <w:ind w:firstLine="371" w:firstLineChars="177"/>
        <w:rPr>
          <w:rFonts w:hint="eastAsia" w:ascii="Times New Roman" w:hAnsi="宋体" w:eastAsia="宋体" w:cs="Times New Roman"/>
          <w:color w:val="auto"/>
          <w:sz w:val="21"/>
          <w:szCs w:val="21"/>
          <w:highlight w:val="none"/>
          <w:lang w:eastAsia="zh-Hans"/>
        </w:rPr>
      </w:pPr>
      <w:r>
        <w:rPr>
          <w:rFonts w:hint="eastAsia" w:ascii="Times New Roman" w:hAnsi="宋体" w:eastAsia="宋体" w:cs="Times New Roman"/>
          <w:color w:val="auto"/>
          <w:sz w:val="21"/>
          <w:szCs w:val="21"/>
          <w:highlight w:val="none"/>
          <w:lang w:eastAsia="zh-Hans"/>
        </w:rPr>
        <w:t>1、货物质量应符合国家及行业标准、通常标准及厂方出厂标准，并符合《用户需求书》及本合同文件技术标准和</w:t>
      </w:r>
      <w:r>
        <w:rPr>
          <w:rFonts w:hint="eastAsia" w:ascii="Times New Roman" w:hAnsi="宋体" w:eastAsia="宋体" w:cs="Times New Roman"/>
          <w:color w:val="auto"/>
          <w:sz w:val="21"/>
          <w:szCs w:val="21"/>
          <w:highlight w:val="none"/>
          <w:lang w:val="en-US" w:eastAsia="zh-CN"/>
        </w:rPr>
        <w:t>技术</w:t>
      </w:r>
      <w:r>
        <w:rPr>
          <w:rFonts w:hint="eastAsia" w:ascii="Times New Roman" w:hAnsi="宋体" w:eastAsia="宋体" w:cs="Times New Roman"/>
          <w:color w:val="auto"/>
          <w:sz w:val="21"/>
          <w:szCs w:val="21"/>
          <w:highlight w:val="none"/>
          <w:lang w:eastAsia="zh-Hans"/>
        </w:rPr>
        <w:t>要求，完全满足甲方的实际使用需要。详细技术要求按照技术规范的标准执行，质量合格无瑕疵（详见附件：《用户需求书》）。</w:t>
      </w:r>
    </w:p>
    <w:p w14:paraId="217BC09E">
      <w:pPr>
        <w:adjustRightInd w:val="0"/>
        <w:snapToGrid w:val="0"/>
        <w:spacing w:line="360" w:lineRule="auto"/>
        <w:ind w:firstLine="371" w:firstLineChars="177"/>
        <w:rPr>
          <w:rFonts w:hint="eastAsia" w:ascii="Times New Roman" w:hAnsi="宋体" w:eastAsia="宋体" w:cs="Times New Roman"/>
          <w:color w:val="auto"/>
          <w:sz w:val="21"/>
          <w:szCs w:val="21"/>
          <w:highlight w:val="none"/>
          <w:lang w:eastAsia="zh-Hans"/>
        </w:rPr>
      </w:pPr>
      <w:r>
        <w:rPr>
          <w:rFonts w:hint="eastAsia" w:ascii="Times New Roman" w:hAnsi="宋体" w:eastAsia="宋体" w:cs="Times New Roman"/>
          <w:color w:val="auto"/>
          <w:sz w:val="21"/>
          <w:szCs w:val="21"/>
          <w:highlight w:val="none"/>
          <w:lang w:eastAsia="zh-Hans"/>
        </w:rPr>
        <w:t>2、乙方在供应货物同时，应向甲方提供产品合格证及使用说明书</w:t>
      </w:r>
      <w:r>
        <w:rPr>
          <w:rFonts w:hint="eastAsia" w:ascii="Times New Roman" w:hAnsi="宋体" w:eastAsia="宋体" w:cs="Times New Roman"/>
          <w:color w:val="auto"/>
          <w:sz w:val="21"/>
          <w:szCs w:val="21"/>
          <w:highlight w:val="none"/>
          <w:u w:val="none"/>
          <w:lang w:eastAsia="zh-Hans"/>
        </w:rPr>
        <w:t xml:space="preserve"> 一 </w:t>
      </w:r>
      <w:r>
        <w:rPr>
          <w:rFonts w:hint="eastAsia" w:ascii="Times New Roman" w:hAnsi="宋体" w:eastAsia="宋体" w:cs="Times New Roman"/>
          <w:color w:val="auto"/>
          <w:sz w:val="21"/>
          <w:szCs w:val="21"/>
          <w:highlight w:val="none"/>
          <w:lang w:eastAsia="zh-Hans"/>
        </w:rPr>
        <w:t>份及相应的配件、备品、备件。</w:t>
      </w:r>
    </w:p>
    <w:p w14:paraId="4A06ABBF">
      <w:pPr>
        <w:adjustRightInd w:val="0"/>
        <w:snapToGrid w:val="0"/>
        <w:spacing w:line="360" w:lineRule="auto"/>
        <w:ind w:firstLine="371" w:firstLineChars="177"/>
        <w:rPr>
          <w:rFonts w:hint="eastAsia" w:ascii="Times New Roman" w:hAnsi="宋体" w:eastAsia="宋体" w:cs="Times New Roman"/>
          <w:color w:val="auto"/>
          <w:sz w:val="21"/>
          <w:szCs w:val="21"/>
          <w:highlight w:val="none"/>
          <w:lang w:eastAsia="zh-Hans"/>
        </w:rPr>
      </w:pPr>
      <w:r>
        <w:rPr>
          <w:rFonts w:hint="eastAsia" w:ascii="Times New Roman" w:hAnsi="宋体" w:eastAsia="宋体" w:cs="Times New Roman"/>
          <w:color w:val="auto"/>
          <w:sz w:val="21"/>
          <w:szCs w:val="21"/>
          <w:highlight w:val="none"/>
          <w:lang w:eastAsia="zh-Hans"/>
        </w:rPr>
        <w:t>3、DN15~DN25水表整表（含配套远传模块、电池和通讯资费）质保期为7年，DN40~DN50水表整表（含配套远传模块、电池和通讯资费）质保期为5年，</w:t>
      </w:r>
      <w:r>
        <w:rPr>
          <w:rFonts w:hint="eastAsia" w:ascii="宋体" w:hAnsi="宋体" w:eastAsia="宋体" w:cs="宋体"/>
          <w:color w:val="auto"/>
          <w:highlight w:val="none"/>
        </w:rPr>
        <w:t>按每批次</w:t>
      </w:r>
      <w:r>
        <w:rPr>
          <w:rFonts w:hint="eastAsia" w:ascii="Times New Roman" w:hAnsi="宋体" w:eastAsia="宋体" w:cs="Times New Roman"/>
          <w:color w:val="auto"/>
          <w:sz w:val="21"/>
          <w:szCs w:val="21"/>
          <w:highlight w:val="none"/>
          <w:lang w:eastAsia="zh-Hans"/>
        </w:rPr>
        <w:t>货物送达甲方指定地点</w:t>
      </w:r>
      <w:r>
        <w:rPr>
          <w:rFonts w:hint="eastAsia" w:ascii="Times New Roman" w:hAnsi="宋体" w:eastAsia="宋体" w:cs="Times New Roman"/>
          <w:color w:val="auto"/>
          <w:sz w:val="21"/>
          <w:szCs w:val="21"/>
          <w:highlight w:val="none"/>
          <w:lang w:eastAsia="zh-CN"/>
        </w:rPr>
        <w:t>交货</w:t>
      </w:r>
      <w:r>
        <w:rPr>
          <w:rFonts w:hint="eastAsia" w:ascii="Times New Roman" w:hAnsi="宋体" w:eastAsia="宋体" w:cs="Times New Roman"/>
          <w:color w:val="auto"/>
          <w:sz w:val="21"/>
          <w:szCs w:val="21"/>
          <w:highlight w:val="none"/>
          <w:lang w:eastAsia="zh-Hans"/>
        </w:rPr>
        <w:t>验收合格</w:t>
      </w:r>
      <w:r>
        <w:rPr>
          <w:rFonts w:hint="eastAsia" w:ascii="Times New Roman" w:hAnsi="宋体" w:eastAsia="宋体" w:cs="Times New Roman"/>
          <w:color w:val="auto"/>
          <w:sz w:val="21"/>
          <w:szCs w:val="21"/>
          <w:highlight w:val="none"/>
          <w:lang w:eastAsia="zh-CN"/>
        </w:rPr>
        <w:t>并开具发票</w:t>
      </w:r>
      <w:r>
        <w:rPr>
          <w:rFonts w:hint="eastAsia" w:ascii="Times New Roman" w:hAnsi="宋体" w:eastAsia="宋体" w:cs="Times New Roman"/>
          <w:color w:val="auto"/>
          <w:sz w:val="21"/>
          <w:szCs w:val="21"/>
          <w:highlight w:val="none"/>
          <w:lang w:eastAsia="zh-Hans"/>
        </w:rPr>
        <w:t>之日算起。质保期内，乙方对货物进行免费保修。</w:t>
      </w:r>
    </w:p>
    <w:p w14:paraId="7E2153E1">
      <w:pPr>
        <w:adjustRightInd w:val="0"/>
        <w:snapToGrid w:val="0"/>
        <w:spacing w:line="360" w:lineRule="auto"/>
        <w:ind w:firstLine="371" w:firstLineChars="177"/>
        <w:rPr>
          <w:rFonts w:hint="eastAsia" w:ascii="Times New Roman" w:hAnsi="宋体" w:eastAsia="宋体" w:cs="Times New Roman"/>
          <w:color w:val="auto"/>
          <w:sz w:val="21"/>
          <w:szCs w:val="21"/>
          <w:highlight w:val="none"/>
          <w:lang w:val="en-GB" w:eastAsia="zh-Hans"/>
        </w:rPr>
      </w:pPr>
      <w:r>
        <w:rPr>
          <w:rFonts w:hint="eastAsia" w:ascii="Times New Roman" w:hAnsi="宋体" w:eastAsia="宋体" w:cs="Times New Roman"/>
          <w:color w:val="auto"/>
          <w:sz w:val="21"/>
          <w:szCs w:val="21"/>
          <w:highlight w:val="none"/>
          <w:lang w:val="en-GB" w:eastAsia="zh-Hans"/>
        </w:rPr>
        <w:t>4、质保期内，若乙方提供的货物出现质量问题，经1次维修仍不能正常使用的，乙方应在7天内免费给予更换，因不能正常使用而给甲方或第三方造成的损失，乙方应承担因货物质量问题而造成的一切经济损失。</w:t>
      </w:r>
    </w:p>
    <w:p w14:paraId="26D29D0D">
      <w:pPr>
        <w:adjustRightInd w:val="0"/>
        <w:snapToGrid w:val="0"/>
        <w:spacing w:line="360" w:lineRule="auto"/>
        <w:ind w:firstLine="371" w:firstLineChars="177"/>
        <w:rPr>
          <w:rFonts w:hint="default" w:ascii="Times New Roman" w:hAnsi="宋体" w:eastAsia="宋体" w:cs="Times New Roman"/>
          <w:color w:val="auto"/>
          <w:sz w:val="21"/>
          <w:szCs w:val="21"/>
          <w:highlight w:val="none"/>
          <w:lang w:val="en-US" w:eastAsia="zh-CN"/>
        </w:rPr>
      </w:pPr>
      <w:r>
        <w:rPr>
          <w:rFonts w:hint="eastAsia" w:ascii="Times New Roman" w:hAnsi="宋体" w:eastAsia="宋体" w:cs="Times New Roman"/>
          <w:color w:val="auto"/>
          <w:sz w:val="21"/>
          <w:szCs w:val="21"/>
          <w:highlight w:val="none"/>
          <w:lang w:val="en-US" w:eastAsia="zh-CN"/>
        </w:rPr>
        <w:t>5、</w:t>
      </w:r>
      <w:r>
        <w:rPr>
          <w:rFonts w:hint="eastAsia" w:ascii="Times New Roman" w:hAnsi="宋体" w:eastAsia="宋体" w:cs="Times New Roman"/>
          <w:color w:val="auto"/>
          <w:sz w:val="21"/>
          <w:szCs w:val="21"/>
          <w:highlight w:val="none"/>
          <w:lang w:eastAsia="zh-Hans"/>
        </w:rPr>
        <w:t>质保期内</w:t>
      </w:r>
      <w:r>
        <w:rPr>
          <w:rFonts w:hint="eastAsia" w:ascii="Times New Roman" w:hAnsi="宋体" w:eastAsia="宋体" w:cs="Times New Roman"/>
          <w:color w:val="auto"/>
          <w:sz w:val="21"/>
          <w:szCs w:val="21"/>
          <w:highlight w:val="none"/>
          <w:lang w:eastAsia="zh-CN"/>
        </w:rPr>
        <w:t>，</w:t>
      </w:r>
      <w:r>
        <w:rPr>
          <w:rFonts w:hint="eastAsia" w:ascii="Times New Roman" w:hAnsi="宋体" w:eastAsia="宋体" w:cs="Times New Roman"/>
          <w:color w:val="auto"/>
          <w:sz w:val="21"/>
          <w:szCs w:val="21"/>
          <w:highlight w:val="none"/>
          <w:lang w:val="en-US" w:eastAsia="zh-CN"/>
        </w:rPr>
        <w:t>若乙方</w:t>
      </w:r>
      <w:r>
        <w:rPr>
          <w:rFonts w:hint="eastAsia" w:ascii="Times New Roman" w:hAnsi="宋体" w:eastAsia="宋体" w:cs="Times New Roman"/>
          <w:color w:val="auto"/>
          <w:sz w:val="21"/>
          <w:szCs w:val="21"/>
          <w:highlight w:val="none"/>
          <w:lang w:eastAsia="zh-Hans"/>
        </w:rPr>
        <w:t>接到</w:t>
      </w:r>
      <w:r>
        <w:rPr>
          <w:rFonts w:hint="eastAsia" w:ascii="Times New Roman" w:hAnsi="宋体" w:eastAsia="宋体" w:cs="Times New Roman"/>
          <w:color w:val="auto"/>
          <w:sz w:val="21"/>
          <w:szCs w:val="21"/>
          <w:highlight w:val="none"/>
          <w:lang w:val="en-US" w:eastAsia="zh-CN"/>
        </w:rPr>
        <w:t>甲方</w:t>
      </w:r>
      <w:r>
        <w:rPr>
          <w:rFonts w:hint="eastAsia" w:ascii="Times New Roman" w:hAnsi="宋体" w:eastAsia="宋体" w:cs="Times New Roman"/>
          <w:color w:val="auto"/>
          <w:sz w:val="21"/>
          <w:szCs w:val="21"/>
          <w:highlight w:val="none"/>
          <w:lang w:eastAsia="zh-Hans"/>
        </w:rPr>
        <w:t>售后通知</w:t>
      </w:r>
      <w:r>
        <w:rPr>
          <w:rFonts w:hint="eastAsia" w:ascii="Times New Roman" w:hAnsi="宋体" w:eastAsia="宋体" w:cs="Times New Roman"/>
          <w:color w:val="auto"/>
          <w:sz w:val="21"/>
          <w:szCs w:val="21"/>
          <w:highlight w:val="none"/>
          <w:lang w:val="en-US" w:eastAsia="zh-CN"/>
        </w:rPr>
        <w:t>须</w:t>
      </w:r>
      <w:r>
        <w:rPr>
          <w:rFonts w:hint="eastAsia" w:ascii="Times New Roman" w:hAnsi="宋体" w:eastAsia="宋体" w:cs="Times New Roman"/>
          <w:color w:val="auto"/>
          <w:sz w:val="21"/>
          <w:szCs w:val="21"/>
          <w:highlight w:val="none"/>
          <w:lang w:eastAsia="zh-Hans"/>
        </w:rPr>
        <w:t>在</w:t>
      </w:r>
      <w:r>
        <w:rPr>
          <w:rFonts w:hint="eastAsia" w:ascii="Times New Roman" w:hAnsi="宋体" w:eastAsia="宋体" w:cs="Times New Roman"/>
          <w:color w:val="auto"/>
          <w:sz w:val="21"/>
          <w:szCs w:val="21"/>
          <w:highlight w:val="none"/>
          <w:u w:val="single"/>
          <w:lang w:eastAsia="zh-CN"/>
        </w:rPr>
        <w:t xml:space="preserve"> </w:t>
      </w:r>
      <w:r>
        <w:rPr>
          <w:rFonts w:hint="eastAsia" w:ascii="Times New Roman" w:hAnsi="宋体" w:eastAsia="宋体" w:cs="Times New Roman"/>
          <w:color w:val="auto"/>
          <w:sz w:val="21"/>
          <w:szCs w:val="21"/>
          <w:highlight w:val="none"/>
          <w:u w:val="single"/>
          <w:lang w:val="en-US" w:eastAsia="zh-CN"/>
        </w:rPr>
        <w:t xml:space="preserve">  </w:t>
      </w:r>
      <w:r>
        <w:rPr>
          <w:rFonts w:hint="eastAsia" w:ascii="Times New Roman" w:hAnsi="宋体" w:eastAsia="宋体" w:cs="Times New Roman"/>
          <w:color w:val="auto"/>
          <w:sz w:val="21"/>
          <w:szCs w:val="21"/>
          <w:highlight w:val="none"/>
          <w:lang w:eastAsia="zh-Hans"/>
        </w:rPr>
        <w:t>小时以内做出响应</w:t>
      </w:r>
      <w:r>
        <w:rPr>
          <w:rFonts w:hint="eastAsia" w:ascii="Times New Roman" w:hAnsi="宋体" w:eastAsia="宋体" w:cs="Times New Roman"/>
          <w:color w:val="auto"/>
          <w:sz w:val="21"/>
          <w:szCs w:val="21"/>
          <w:highlight w:val="none"/>
          <w:lang w:eastAsia="zh-CN"/>
        </w:rPr>
        <w:t>，</w:t>
      </w:r>
      <w:r>
        <w:rPr>
          <w:rFonts w:hint="eastAsia" w:ascii="Times New Roman" w:hAnsi="宋体" w:eastAsia="宋体" w:cs="Times New Roman"/>
          <w:color w:val="auto"/>
          <w:sz w:val="21"/>
          <w:szCs w:val="21"/>
          <w:highlight w:val="none"/>
          <w:lang w:val="en-US" w:eastAsia="zh-CN"/>
        </w:rPr>
        <w:t>如甲方</w:t>
      </w:r>
      <w:r>
        <w:rPr>
          <w:rFonts w:hint="eastAsia" w:ascii="Times New Roman" w:hAnsi="宋体" w:eastAsia="宋体" w:cs="Times New Roman"/>
          <w:color w:val="auto"/>
          <w:sz w:val="21"/>
          <w:szCs w:val="21"/>
          <w:highlight w:val="none"/>
          <w:lang w:eastAsia="zh-Hans"/>
        </w:rPr>
        <w:t>要求到现场处理的，</w:t>
      </w:r>
      <w:r>
        <w:rPr>
          <w:rFonts w:hint="eastAsia" w:ascii="Times New Roman" w:hAnsi="宋体" w:eastAsia="宋体" w:cs="Times New Roman"/>
          <w:color w:val="auto"/>
          <w:sz w:val="21"/>
          <w:szCs w:val="21"/>
          <w:highlight w:val="none"/>
          <w:lang w:val="en-US" w:eastAsia="zh-CN"/>
        </w:rPr>
        <w:t>须在接到甲方通知后</w:t>
      </w:r>
      <w:r>
        <w:rPr>
          <w:rFonts w:hint="eastAsia" w:ascii="Times New Roman" w:hAnsi="宋体" w:eastAsia="宋体" w:cs="Times New Roman"/>
          <w:color w:val="auto"/>
          <w:sz w:val="21"/>
          <w:szCs w:val="21"/>
          <w:highlight w:val="none"/>
          <w:u w:val="single"/>
          <w:lang w:val="en-US" w:eastAsia="zh-CN"/>
        </w:rPr>
        <w:t xml:space="preserve">   小时</w:t>
      </w:r>
      <w:r>
        <w:rPr>
          <w:rFonts w:hint="eastAsia" w:ascii="Times New Roman" w:hAnsi="宋体" w:eastAsia="宋体" w:cs="Times New Roman"/>
          <w:color w:val="auto"/>
          <w:sz w:val="21"/>
          <w:szCs w:val="21"/>
          <w:highlight w:val="none"/>
          <w:lang w:eastAsia="zh-Hans"/>
        </w:rPr>
        <w:t>内到达现场进行处理</w:t>
      </w:r>
      <w:r>
        <w:rPr>
          <w:rFonts w:hint="eastAsia" w:ascii="Times New Roman" w:hAnsi="宋体" w:eastAsia="宋体" w:cs="Times New Roman"/>
          <w:color w:val="auto"/>
          <w:sz w:val="21"/>
          <w:szCs w:val="21"/>
          <w:highlight w:val="none"/>
          <w:lang w:eastAsia="zh-CN"/>
        </w:rPr>
        <w:t>，</w:t>
      </w:r>
      <w:r>
        <w:rPr>
          <w:rFonts w:hint="eastAsia" w:ascii="Times New Roman" w:hAnsi="宋体" w:eastAsia="宋体" w:cs="Times New Roman"/>
          <w:color w:val="auto"/>
          <w:sz w:val="21"/>
          <w:szCs w:val="21"/>
          <w:highlight w:val="none"/>
          <w:lang w:val="en-US" w:eastAsia="zh-CN"/>
        </w:rPr>
        <w:t>如超出规定时间的，</w:t>
      </w:r>
      <w:r>
        <w:rPr>
          <w:rFonts w:hint="eastAsia" w:ascii="宋体" w:hAnsi="宋体" w:eastAsia="宋体" w:cs="Times New Roman"/>
          <w:color w:val="auto"/>
          <w:szCs w:val="21"/>
          <w:highlight w:val="none"/>
        </w:rPr>
        <w:t>按本合同第</w:t>
      </w:r>
      <w:r>
        <w:rPr>
          <w:rFonts w:hint="eastAsia" w:ascii="宋体" w:hAnsi="宋体" w:eastAsia="宋体" w:cs="Times New Roman"/>
          <w:color w:val="auto"/>
          <w:szCs w:val="21"/>
          <w:highlight w:val="none"/>
          <w:lang w:val="en-US" w:eastAsia="zh-CN"/>
        </w:rPr>
        <w:t>十八</w:t>
      </w:r>
      <w:r>
        <w:rPr>
          <w:rFonts w:hint="eastAsia" w:ascii="宋体" w:hAnsi="宋体" w:eastAsia="宋体" w:cs="Times New Roman"/>
          <w:color w:val="auto"/>
          <w:szCs w:val="21"/>
          <w:highlight w:val="none"/>
        </w:rPr>
        <w:t>条第</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款追究违约责任</w:t>
      </w:r>
      <w:r>
        <w:rPr>
          <w:rFonts w:hint="eastAsia" w:ascii="Times New Roman" w:hAnsi="宋体" w:eastAsia="宋体" w:cs="Times New Roman"/>
          <w:color w:val="auto"/>
          <w:sz w:val="21"/>
          <w:szCs w:val="21"/>
          <w:highlight w:val="none"/>
          <w:lang w:val="en-US" w:eastAsia="zh-CN"/>
        </w:rPr>
        <w:t>。</w:t>
      </w:r>
    </w:p>
    <w:p w14:paraId="1E805CD5">
      <w:pPr>
        <w:adjustRightInd w:val="0"/>
        <w:snapToGrid w:val="0"/>
        <w:spacing w:line="360" w:lineRule="auto"/>
        <w:ind w:firstLine="371" w:firstLineChars="177"/>
        <w:rPr>
          <w:rFonts w:hint="eastAsia" w:ascii="Times New Roman" w:hAnsi="宋体" w:eastAsia="宋体" w:cs="Times New Roman"/>
          <w:color w:val="auto"/>
          <w:szCs w:val="21"/>
          <w:highlight w:val="none"/>
          <w:lang w:eastAsia="zh-Hans"/>
        </w:rPr>
      </w:pPr>
      <w:r>
        <w:rPr>
          <w:rFonts w:hint="eastAsia" w:ascii="Times New Roman" w:hAnsi="宋体" w:eastAsia="宋体" w:cs="Times New Roman"/>
          <w:color w:val="auto"/>
          <w:sz w:val="21"/>
          <w:szCs w:val="21"/>
          <w:highlight w:val="none"/>
          <w:lang w:val="en-US" w:eastAsia="zh-CN"/>
        </w:rPr>
        <w:t>6</w:t>
      </w:r>
      <w:r>
        <w:rPr>
          <w:rFonts w:hint="eastAsia" w:ascii="Times New Roman" w:hAnsi="宋体" w:eastAsia="宋体" w:cs="Times New Roman"/>
          <w:color w:val="auto"/>
          <w:sz w:val="21"/>
          <w:szCs w:val="21"/>
          <w:highlight w:val="none"/>
          <w:lang w:eastAsia="zh-Hans"/>
        </w:rPr>
        <w:t>、甲方在使用货物时所遇技术问题或修改通讯对接协议、系统功能模块等，乙方应按甲方要求及时向甲方无偿提供服务。</w:t>
      </w:r>
    </w:p>
    <w:p w14:paraId="561DAF9E">
      <w:pPr>
        <w:adjustRightInd w:val="0"/>
        <w:snapToGrid w:val="0"/>
        <w:spacing w:line="360" w:lineRule="auto"/>
        <w:ind w:firstLine="373" w:firstLineChars="177"/>
        <w:rPr>
          <w:rFonts w:ascii="宋体" w:hAnsi="宋体" w:eastAsia="宋体" w:cs="Times New Roman"/>
          <w:b/>
          <w:color w:val="auto"/>
          <w:szCs w:val="21"/>
          <w:highlight w:val="none"/>
        </w:rPr>
      </w:pPr>
    </w:p>
    <w:p w14:paraId="2FEBADAD">
      <w:pPr>
        <w:adjustRightInd w:val="0"/>
        <w:snapToGrid w:val="0"/>
        <w:spacing w:line="360" w:lineRule="auto"/>
        <w:ind w:firstLine="373" w:firstLineChars="177"/>
        <w:outlineLvl w:val="1"/>
        <w:rPr>
          <w:rFonts w:ascii="宋体" w:hAnsi="宋体" w:eastAsia="宋体" w:cs="Times New Roman"/>
          <w:b/>
          <w:color w:val="auto"/>
          <w:szCs w:val="21"/>
          <w:highlight w:val="none"/>
        </w:rPr>
      </w:pPr>
      <w:bookmarkStart w:id="609" w:name="_Toc26326"/>
      <w:r>
        <w:rPr>
          <w:rFonts w:hint="eastAsia" w:ascii="宋体" w:hAnsi="宋体" w:eastAsia="宋体" w:cs="Times New Roman"/>
          <w:b/>
          <w:color w:val="auto"/>
          <w:szCs w:val="21"/>
          <w:highlight w:val="none"/>
        </w:rPr>
        <w:t>第六条 包装、运输与装卸</w:t>
      </w:r>
      <w:bookmarkEnd w:id="609"/>
    </w:p>
    <w:p w14:paraId="6B91348A">
      <w:pPr>
        <w:adjustRightInd w:val="0"/>
        <w:snapToGrid w:val="0"/>
        <w:spacing w:line="360" w:lineRule="auto"/>
        <w:ind w:firstLine="422" w:firstLineChars="201"/>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1、本合同项下货物的包装均应有良好的防湿、防锈、防潮、防雨、防腐及防碰撞的措施，且货物的包装、运输、装卸方式均应符合国家及行业相关标准的规定。</w:t>
      </w:r>
    </w:p>
    <w:p w14:paraId="0F0BC55A">
      <w:pPr>
        <w:adjustRightInd w:val="0"/>
        <w:snapToGrid w:val="0"/>
        <w:spacing w:line="360" w:lineRule="auto"/>
        <w:ind w:firstLine="422" w:firstLineChars="201"/>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14:paraId="5D35798B">
      <w:pPr>
        <w:adjustRightInd w:val="0"/>
        <w:snapToGrid w:val="0"/>
        <w:spacing w:line="360" w:lineRule="auto"/>
        <w:ind w:firstLine="422" w:firstLineChars="20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3、每件包装箱内，应附有装箱单、合格证、产品出厂质量合格证明书、技术说明以及甲方要求的其他合格证明文件或资料。</w:t>
      </w:r>
    </w:p>
    <w:p w14:paraId="3412B9FC">
      <w:pPr>
        <w:adjustRightInd w:val="0"/>
        <w:snapToGrid w:val="0"/>
        <w:spacing w:line="360" w:lineRule="auto"/>
        <w:ind w:firstLine="422" w:firstLineChars="201"/>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4、各种设备的松散零星部件应采用可靠安全的包装方式，装入尺寸适当的箱内，并尽可能整车发运。栅格式箱子或类似的包装，只能用于盛装不至于被偷窃或被其他物品或雨水造成损坏的设备及零部件。</w:t>
      </w:r>
    </w:p>
    <w:p w14:paraId="5F2CC12B">
      <w:pPr>
        <w:adjustRightInd w:val="0"/>
        <w:snapToGrid w:val="0"/>
        <w:spacing w:line="360" w:lineRule="auto"/>
        <w:ind w:firstLine="422" w:firstLineChars="20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5、凡由于包装不良、运输方式不当或非法运输造成的事故、损失、行政处罚和由此产生的其他全部费用均由乙方全部承担。</w:t>
      </w:r>
    </w:p>
    <w:p w14:paraId="233A4C49">
      <w:pPr>
        <w:adjustRightInd w:val="0"/>
        <w:snapToGrid w:val="0"/>
        <w:spacing w:line="360" w:lineRule="auto"/>
        <w:ind w:firstLine="422" w:firstLineChars="201"/>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6、运输、装卸过程中发生的货物毁损、灭失等所有相关风险由乙方自行承担。</w:t>
      </w:r>
    </w:p>
    <w:p w14:paraId="07875118">
      <w:pPr>
        <w:adjustRightInd w:val="0"/>
        <w:snapToGrid w:val="0"/>
        <w:spacing w:line="360" w:lineRule="auto"/>
        <w:ind w:firstLine="373" w:firstLineChars="177"/>
        <w:rPr>
          <w:rFonts w:ascii="宋体" w:hAnsi="宋体" w:eastAsia="宋体" w:cs="Times New Roman"/>
          <w:b/>
          <w:color w:val="auto"/>
          <w:szCs w:val="21"/>
          <w:highlight w:val="none"/>
        </w:rPr>
      </w:pPr>
    </w:p>
    <w:p w14:paraId="727104C4">
      <w:pPr>
        <w:adjustRightInd w:val="0"/>
        <w:snapToGrid w:val="0"/>
        <w:spacing w:line="360" w:lineRule="auto"/>
        <w:ind w:firstLine="373" w:firstLineChars="177"/>
        <w:outlineLvl w:val="1"/>
        <w:rPr>
          <w:rFonts w:ascii="宋体" w:hAnsi="宋体" w:eastAsia="宋体" w:cs="Times New Roman"/>
          <w:b/>
          <w:color w:val="auto"/>
          <w:szCs w:val="21"/>
          <w:highlight w:val="none"/>
        </w:rPr>
      </w:pPr>
      <w:bookmarkStart w:id="610" w:name="_Toc24877"/>
      <w:r>
        <w:rPr>
          <w:rFonts w:hint="eastAsia" w:ascii="宋体" w:hAnsi="宋体" w:eastAsia="宋体" w:cs="Times New Roman"/>
          <w:b/>
          <w:color w:val="auto"/>
          <w:szCs w:val="21"/>
          <w:highlight w:val="none"/>
        </w:rPr>
        <w:t>第七条 保险</w:t>
      </w:r>
      <w:bookmarkEnd w:id="610"/>
    </w:p>
    <w:p w14:paraId="06BEEFCB">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乙方应负责为本合同项下所有货物购买相应的商业保险，保险费已包含在合同价中。如因乙方未能投保或保险人不予承担相应责任而货物在经甲方验收合格前的运输、装卸等过程中发生毁损、灭失的风险由乙方自行承担。</w:t>
      </w:r>
    </w:p>
    <w:p w14:paraId="49200370">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一旦上述货物发生保险事故，乙方除依法向保险人请求赔偿保险金外，应继续依约向甲方提供满足项目要求的货物，由此造成交货期延误的，乙方应按合同第</w:t>
      </w:r>
      <w:r>
        <w:rPr>
          <w:rFonts w:hint="eastAsia" w:ascii="宋体" w:hAnsi="宋体" w:eastAsia="宋体" w:cs="Times New Roman"/>
          <w:color w:val="auto"/>
          <w:szCs w:val="21"/>
          <w:highlight w:val="none"/>
          <w:lang w:val="en-US" w:eastAsia="zh-CN"/>
        </w:rPr>
        <w:t>十八</w:t>
      </w:r>
      <w:r>
        <w:rPr>
          <w:rFonts w:hint="eastAsia" w:ascii="宋体" w:hAnsi="宋体" w:eastAsia="宋体" w:cs="Times New Roman"/>
          <w:color w:val="auto"/>
          <w:szCs w:val="21"/>
          <w:highlight w:val="none"/>
        </w:rPr>
        <w:t>条第</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款约定承担违约责任。</w:t>
      </w:r>
    </w:p>
    <w:p w14:paraId="3F7B4558">
      <w:pPr>
        <w:adjustRightInd w:val="0"/>
        <w:snapToGrid w:val="0"/>
        <w:spacing w:line="360" w:lineRule="auto"/>
        <w:ind w:firstLine="373" w:firstLineChars="177"/>
        <w:rPr>
          <w:rFonts w:hint="eastAsia" w:ascii="宋体" w:hAnsi="宋体" w:eastAsia="宋体" w:cs="Times New Roman"/>
          <w:b/>
          <w:bCs/>
          <w:color w:val="auto"/>
          <w:szCs w:val="21"/>
          <w:highlight w:val="none"/>
        </w:rPr>
      </w:pPr>
    </w:p>
    <w:p w14:paraId="7B640A7B">
      <w:pPr>
        <w:adjustRightInd w:val="0"/>
        <w:snapToGrid w:val="0"/>
        <w:spacing w:line="360" w:lineRule="auto"/>
        <w:ind w:firstLine="373" w:firstLineChars="177"/>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第八条  交货约定</w:t>
      </w:r>
    </w:p>
    <w:p w14:paraId="45D8DC5A">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1、交货时间：根据甲方</w:t>
      </w:r>
      <w:r>
        <w:rPr>
          <w:rFonts w:hint="eastAsia" w:ascii="宋体" w:hAnsi="宋体" w:eastAsia="宋体" w:cs="Times New Roman"/>
          <w:color w:val="auto"/>
          <w:szCs w:val="21"/>
          <w:highlight w:val="none"/>
        </w:rPr>
        <w:t>供</w:t>
      </w:r>
      <w:r>
        <w:rPr>
          <w:rFonts w:hint="eastAsia" w:ascii="宋体" w:hAnsi="宋体" w:eastAsia="宋体" w:cs="Times New Roman"/>
          <w:color w:val="auto"/>
          <w:sz w:val="21"/>
          <w:szCs w:val="21"/>
          <w:highlight w:val="none"/>
        </w:rPr>
        <w:t>货通知，按时分批交货。乙方承诺按接到甲方《</w:t>
      </w:r>
      <w:r>
        <w:rPr>
          <w:rFonts w:hint="eastAsia" w:ascii="宋体" w:hAnsi="宋体" w:eastAsia="宋体" w:cs="Times New Roman"/>
          <w:color w:val="auto"/>
          <w:szCs w:val="21"/>
          <w:highlight w:val="none"/>
        </w:rPr>
        <w:t>供</w:t>
      </w:r>
      <w:r>
        <w:rPr>
          <w:rFonts w:hint="eastAsia" w:ascii="宋体" w:hAnsi="宋体" w:eastAsia="宋体" w:cs="Times New Roman"/>
          <w:color w:val="auto"/>
          <w:sz w:val="21"/>
          <w:szCs w:val="21"/>
          <w:highlight w:val="none"/>
        </w:rPr>
        <w:t>货通知单》之日起</w:t>
      </w:r>
      <w:r>
        <w:rPr>
          <w:rFonts w:hint="eastAsia" w:ascii="宋体" w:hAnsi="宋体" w:eastAsia="宋体" w:cs="Times New Roman"/>
          <w:color w:val="auto"/>
          <w:sz w:val="21"/>
          <w:szCs w:val="21"/>
          <w:highlight w:val="none"/>
          <w:u w:val="single"/>
          <w:lang w:val="en-US" w:eastAsia="zh-CN"/>
        </w:rPr>
        <w:t>180</w:t>
      </w:r>
      <w:r>
        <w:rPr>
          <w:rFonts w:hint="eastAsia" w:ascii="宋体" w:hAnsi="宋体" w:eastAsia="宋体" w:cs="Times New Roman"/>
          <w:color w:val="auto"/>
          <w:sz w:val="21"/>
          <w:szCs w:val="21"/>
          <w:highlight w:val="none"/>
        </w:rPr>
        <w:t>日历天内，将该批货物交付至甲方指定地点。</w:t>
      </w:r>
    </w:p>
    <w:p w14:paraId="1F4983E8">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2、交货地点、方式</w:t>
      </w:r>
    </w:p>
    <w:p w14:paraId="6B770CAF">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①交货地点为：甲方所在地仓库（或项目所在地）。</w:t>
      </w:r>
    </w:p>
    <w:p w14:paraId="1B4F9866">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甲方如需变更交货地点，甲方应在原定的最后交货日前提前三天以上通知乙方。乙方负责将货物送至甲方指定位置</w:t>
      </w:r>
      <w:r>
        <w:rPr>
          <w:rFonts w:hint="eastAsia" w:ascii="宋体" w:hAnsi="宋体" w:eastAsia="宋体" w:cs="Times New Roman"/>
          <w:color w:val="auto"/>
          <w:sz w:val="21"/>
          <w:szCs w:val="21"/>
          <w:highlight w:val="none"/>
          <w:lang w:bidi="ar"/>
        </w:rPr>
        <w:t>，</w:t>
      </w:r>
      <w:r>
        <w:rPr>
          <w:rFonts w:hint="eastAsia" w:ascii="宋体" w:hAnsi="宋体" w:eastAsia="宋体" w:cs="Times New Roman"/>
          <w:bCs w:val="0"/>
          <w:color w:val="auto"/>
          <w:sz w:val="21"/>
          <w:szCs w:val="21"/>
          <w:highlight w:val="none"/>
        </w:rPr>
        <w:t>货物到达交货地点发生的吊卸</w:t>
      </w:r>
      <w:r>
        <w:rPr>
          <w:rFonts w:hint="eastAsia" w:ascii="宋体" w:hAnsi="宋体" w:eastAsia="宋体" w:cs="Times New Roman"/>
          <w:bCs w:val="0"/>
          <w:color w:val="auto"/>
          <w:sz w:val="21"/>
          <w:szCs w:val="21"/>
          <w:highlight w:val="none"/>
          <w:lang w:eastAsia="zh-CN"/>
        </w:rPr>
        <w:t>、</w:t>
      </w:r>
      <w:r>
        <w:rPr>
          <w:rFonts w:hint="eastAsia" w:ascii="宋体" w:hAnsi="宋体" w:eastAsia="宋体" w:cs="Times New Roman"/>
          <w:bCs w:val="0"/>
          <w:color w:val="auto"/>
          <w:sz w:val="21"/>
          <w:szCs w:val="21"/>
          <w:highlight w:val="none"/>
          <w:lang w:val="en-US" w:eastAsia="zh-CN"/>
        </w:rPr>
        <w:t>搬运等</w:t>
      </w:r>
      <w:r>
        <w:rPr>
          <w:rFonts w:hint="eastAsia" w:ascii="宋体" w:hAnsi="宋体" w:eastAsia="宋体" w:cs="Times New Roman"/>
          <w:bCs w:val="0"/>
          <w:color w:val="auto"/>
          <w:sz w:val="21"/>
          <w:szCs w:val="21"/>
          <w:highlight w:val="none"/>
        </w:rPr>
        <w:t>费用由</w:t>
      </w:r>
      <w:r>
        <w:rPr>
          <w:rFonts w:hint="eastAsia" w:ascii="宋体" w:hAnsi="宋体" w:eastAsia="宋体" w:cs="Times New Roman"/>
          <w:bCs w:val="0"/>
          <w:color w:val="auto"/>
          <w:sz w:val="21"/>
          <w:szCs w:val="21"/>
          <w:highlight w:val="none"/>
          <w:lang w:val="en-US" w:eastAsia="zh-CN"/>
        </w:rPr>
        <w:t>乙</w:t>
      </w:r>
      <w:r>
        <w:rPr>
          <w:rFonts w:hint="eastAsia" w:ascii="宋体" w:hAnsi="宋体" w:eastAsia="宋体" w:cs="Times New Roman"/>
          <w:bCs w:val="0"/>
          <w:color w:val="auto"/>
          <w:sz w:val="21"/>
          <w:szCs w:val="21"/>
          <w:highlight w:val="none"/>
        </w:rPr>
        <w:t>方负责。</w:t>
      </w:r>
    </w:p>
    <w:p w14:paraId="162F78D3">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②调试：乙方应负责完成交货调试工作。甲方有权向乙方提出进行现场调试的要求，一旦提出，乙方应在甲方通知要求的时间到甲方现场对货物进行调试，并在开始调试之日起</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lang w:val="en-US" w:eastAsia="zh-CN"/>
        </w:rPr>
        <w:t>3</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日内调试完毕。本合同未列明但货物安装、调试及正常使用所必须的相关配件、辅助设备等，乙方须免费提供，</w:t>
      </w:r>
      <w:r>
        <w:rPr>
          <w:rFonts w:hint="eastAsia" w:ascii="宋体" w:hAnsi="宋体" w:eastAsia="宋体" w:cs="宋体"/>
          <w:color w:val="auto"/>
          <w:sz w:val="21"/>
          <w:szCs w:val="21"/>
          <w:highlight w:val="none"/>
        </w:rPr>
        <w:t>调试费用</w:t>
      </w:r>
      <w:r>
        <w:rPr>
          <w:rFonts w:hint="eastAsia" w:ascii="宋体" w:hAnsi="宋体" w:eastAsia="宋体" w:cs="Times New Roman"/>
          <w:color w:val="auto"/>
          <w:sz w:val="21"/>
          <w:szCs w:val="21"/>
          <w:highlight w:val="none"/>
        </w:rPr>
        <w:t>已包含在合同价款内。如乙方未按合同约定及甲方要求进行调试的，甲方有权在下一批次应付款中直接扣减相关费用，乙方对此无异议。</w:t>
      </w:r>
    </w:p>
    <w:p w14:paraId="09072D2D">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在货物安放至甲方指定位置移</w:t>
      </w:r>
      <w:r>
        <w:rPr>
          <w:rFonts w:hint="eastAsia" w:ascii="宋体" w:hAnsi="宋体" w:eastAsia="宋体" w:cs="宋体"/>
          <w:color w:val="auto"/>
          <w:sz w:val="21"/>
          <w:szCs w:val="21"/>
          <w:highlight w:val="none"/>
        </w:rPr>
        <w:t>交甲方并经交货验收合格前（即在质量跟踪卡或送货单上签收交货验收合格前），货物的毁损、灭失的风险和责任以及与交货有关的所有费</w:t>
      </w:r>
      <w:r>
        <w:rPr>
          <w:rFonts w:hint="eastAsia" w:ascii="宋体" w:hAnsi="宋体" w:eastAsia="宋体" w:cs="Times New Roman"/>
          <w:color w:val="auto"/>
          <w:sz w:val="21"/>
          <w:szCs w:val="21"/>
          <w:highlight w:val="none"/>
        </w:rPr>
        <w:t>用均由乙方承担。</w:t>
      </w:r>
    </w:p>
    <w:p w14:paraId="1BA85EF5">
      <w:pPr>
        <w:adjustRightInd w:val="0"/>
        <w:snapToGrid w:val="0"/>
        <w:spacing w:line="360" w:lineRule="auto"/>
        <w:ind w:firstLine="373" w:firstLineChars="177"/>
        <w:rPr>
          <w:rFonts w:hint="eastAsia" w:ascii="宋体" w:hAnsi="宋体" w:eastAsia="宋体" w:cs="Times New Roman"/>
          <w:b/>
          <w:bCs/>
          <w:color w:val="auto"/>
          <w:szCs w:val="21"/>
          <w:highlight w:val="none"/>
        </w:rPr>
      </w:pPr>
    </w:p>
    <w:p w14:paraId="34CAECFD">
      <w:pPr>
        <w:adjustRightInd w:val="0"/>
        <w:snapToGrid w:val="0"/>
        <w:spacing w:line="360" w:lineRule="auto"/>
        <w:ind w:firstLine="373" w:firstLineChars="177"/>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第</w:t>
      </w:r>
      <w:r>
        <w:rPr>
          <w:rFonts w:hint="eastAsia" w:ascii="宋体" w:hAnsi="宋体" w:eastAsia="宋体" w:cs="Times New Roman"/>
          <w:b/>
          <w:bCs/>
          <w:color w:val="auto"/>
          <w:szCs w:val="21"/>
          <w:highlight w:val="none"/>
        </w:rPr>
        <w:t>九</w:t>
      </w:r>
      <w:r>
        <w:rPr>
          <w:rFonts w:hint="eastAsia" w:ascii="宋体" w:hAnsi="宋体" w:eastAsia="宋体" w:cs="Times New Roman"/>
          <w:b/>
          <w:bCs/>
          <w:color w:val="auto"/>
          <w:sz w:val="21"/>
          <w:szCs w:val="21"/>
          <w:highlight w:val="none"/>
        </w:rPr>
        <w:t>条  验收</w:t>
      </w:r>
    </w:p>
    <w:p w14:paraId="3097C83E">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1、货物到达交货地点后，甲方按送货单清点无缺件，按照本合同约定查看相关单证和资料无缺漏，外观包装无破损后，甲乙双方即时</w:t>
      </w:r>
      <w:r>
        <w:rPr>
          <w:rFonts w:hint="eastAsia" w:ascii="宋体" w:hAnsi="宋体" w:eastAsia="宋体" w:cs="Times New Roman"/>
          <w:color w:val="auto"/>
          <w:sz w:val="21"/>
          <w:szCs w:val="21"/>
          <w:highlight w:val="none"/>
          <w:lang w:val="en-US" w:eastAsia="zh-CN"/>
        </w:rPr>
        <w:t>进行交货</w:t>
      </w:r>
      <w:r>
        <w:rPr>
          <w:rFonts w:hint="eastAsia" w:ascii="宋体" w:hAnsi="宋体" w:eastAsia="宋体" w:cs="Times New Roman"/>
          <w:color w:val="auto"/>
          <w:sz w:val="21"/>
          <w:szCs w:val="21"/>
          <w:highlight w:val="none"/>
        </w:rPr>
        <w:t>验收，验收后双方代表签字确认验收结果。在验收中若发现货物有短缺破损或与合同文件不符的其他情况，甲方有权拒收货物，乙方承担全部责任。验收所需的费用（如有）由乙方承担。</w:t>
      </w:r>
    </w:p>
    <w:p w14:paraId="07359784">
      <w:pPr>
        <w:adjustRightInd w:val="0"/>
        <w:snapToGrid w:val="0"/>
        <w:spacing w:line="360" w:lineRule="auto"/>
        <w:ind w:firstLine="371" w:firstLineChars="177"/>
        <w:rPr>
          <w:rFonts w:hint="eastAsia" w:ascii="宋体" w:hAnsi="宋体" w:eastAsia="宋体" w:cs="Times New Roman"/>
          <w:color w:val="auto"/>
          <w:sz w:val="21"/>
          <w:szCs w:val="21"/>
          <w:highlight w:val="none"/>
          <w:lang w:eastAsia="zh-TW"/>
        </w:rPr>
      </w:pPr>
      <w:r>
        <w:rPr>
          <w:rFonts w:hint="eastAsia" w:ascii="宋体" w:hAnsi="宋体" w:eastAsia="宋体" w:cs="Times New Roman"/>
          <w:color w:val="auto"/>
          <w:sz w:val="21"/>
          <w:szCs w:val="21"/>
          <w:highlight w:val="none"/>
        </w:rPr>
        <w:t>2、交货验收合格的，货物到货后开箱时应由甲乙双方代表检查验收合格签字</w:t>
      </w:r>
      <w:r>
        <w:rPr>
          <w:rFonts w:hint="eastAsia" w:ascii="宋体" w:hAnsi="宋体" w:eastAsia="宋体" w:cs="Times New Roman"/>
          <w:color w:val="auto"/>
          <w:sz w:val="21"/>
          <w:szCs w:val="21"/>
          <w:highlight w:val="none"/>
          <w:lang w:eastAsia="zh-CN"/>
        </w:rPr>
        <w:t>。</w:t>
      </w:r>
    </w:p>
    <w:p w14:paraId="72F85876">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如乙方提供的货物与本合同文件要求不符，甲方有权要求退货或换货，乙方无条件接受退货、换货，并承担由此发生的一切费用和损失。乙方实际交货时间以乙方最终提交合格货物时间为准。</w:t>
      </w:r>
    </w:p>
    <w:p w14:paraId="7B0A9423">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不合格情形严重或不合格货物价款超过货物总价款的</w:t>
      </w:r>
      <w:r>
        <w:rPr>
          <w:rFonts w:hint="eastAsia" w:ascii="宋体" w:hAnsi="宋体" w:eastAsia="宋体" w:cs="Times New Roman"/>
          <w:color w:val="auto"/>
          <w:sz w:val="21"/>
          <w:szCs w:val="21"/>
          <w:highlight w:val="none"/>
          <w:u w:val="none"/>
        </w:rPr>
        <w:t xml:space="preserve"> 10</w:t>
      </w:r>
      <w:r>
        <w:rPr>
          <w:rFonts w:hint="eastAsia" w:ascii="宋体" w:hAnsi="宋体" w:eastAsia="宋体" w:cs="Times New Roman"/>
          <w:color w:val="auto"/>
          <w:sz w:val="21"/>
          <w:szCs w:val="21"/>
          <w:highlight w:val="none"/>
        </w:rPr>
        <w:t xml:space="preserve"> %的，甲方可解除本合同，因货物不合格而造成的一切损失（包括直接和间接损失，以及造成甲方、第三方人身、财产损害）均由乙方赔偿。</w:t>
      </w:r>
    </w:p>
    <w:p w14:paraId="365CDBFD">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验收按本合同文件要求及国家及行业有关规定、规范进行。验收时如发现所交付的货物有短缺、次品、损坏或其它不符合本合同规定之情形者，甲方做出详尽的现场记录，经乙方现场确认，此现场记录或备忘录为乙方应依甲方要求作补缺、更换损坏部件、退换货、解除合同、索赔等的有效证据。因货物不符合本合同要求而产生的一切费用、损失等均由乙方承担。</w:t>
      </w:r>
    </w:p>
    <w:p w14:paraId="73921F7C">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5、甲方在验收时直至在使用过程中，如甲方认为货物存在质量问题的，乙方应按本合同第</w:t>
      </w:r>
      <w:r>
        <w:rPr>
          <w:rFonts w:hint="eastAsia" w:ascii="宋体" w:hAnsi="宋体" w:eastAsia="宋体" w:cs="Times New Roman"/>
          <w:color w:val="auto"/>
          <w:sz w:val="21"/>
          <w:szCs w:val="21"/>
          <w:highlight w:val="none"/>
          <w:lang w:eastAsia="zh-CN"/>
        </w:rPr>
        <w:t>十</w:t>
      </w:r>
      <w:r>
        <w:rPr>
          <w:rFonts w:hint="eastAsia" w:ascii="宋体" w:hAnsi="宋体" w:eastAsia="宋体" w:cs="Times New Roman"/>
          <w:color w:val="auto"/>
          <w:sz w:val="21"/>
          <w:szCs w:val="21"/>
          <w:highlight w:val="none"/>
          <w:lang w:val="en-US" w:eastAsia="zh-CN"/>
        </w:rPr>
        <w:t>八</w:t>
      </w:r>
      <w:r>
        <w:rPr>
          <w:rFonts w:hint="eastAsia" w:ascii="宋体" w:hAnsi="宋体" w:eastAsia="宋体" w:cs="Times New Roman"/>
          <w:color w:val="auto"/>
          <w:sz w:val="21"/>
          <w:szCs w:val="21"/>
          <w:highlight w:val="none"/>
        </w:rPr>
        <w:t>条约定承担违约责任；如果甲乙双方对货物质量有争议的，</w:t>
      </w:r>
      <w:r>
        <w:rPr>
          <w:rFonts w:hint="eastAsia" w:ascii="宋体" w:hAnsi="宋体" w:eastAsia="宋体" w:cs="Times New Roman"/>
          <w:color w:val="auto"/>
          <w:szCs w:val="21"/>
          <w:highlight w:val="none"/>
        </w:rPr>
        <w:t>双方同意在质量问题发生后 7 日内提交东莞市质检部门或有资质及鉴定能力的鉴定机构进行质量鉴定后确认，鉴定费由乙方先行垫付，鉴定结果确定后，质量符合合同（含附件）约定的，鉴定费由甲方承担，否则由乙方承担</w:t>
      </w:r>
      <w:r>
        <w:rPr>
          <w:rFonts w:hint="eastAsia" w:ascii="宋体" w:hAnsi="宋体" w:eastAsia="宋体" w:cs="Times New Roman"/>
          <w:color w:val="auto"/>
          <w:sz w:val="21"/>
          <w:szCs w:val="21"/>
          <w:highlight w:val="none"/>
        </w:rPr>
        <w:t>。</w:t>
      </w:r>
    </w:p>
    <w:p w14:paraId="5BE318B9">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首次检定义务：乙方在交货的同时，必须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否则，甲方有权</w:t>
      </w:r>
      <w:r>
        <w:rPr>
          <w:rFonts w:hint="default" w:ascii="宋体" w:hAnsi="宋体" w:eastAsia="宋体" w:cs="宋体"/>
          <w:b w:val="0"/>
          <w:bCs w:val="0"/>
          <w:color w:val="auto"/>
          <w:sz w:val="21"/>
          <w:szCs w:val="21"/>
          <w:highlight w:val="none"/>
          <w:lang w:val="en-US" w:eastAsia="zh-CN"/>
        </w:rPr>
        <w:t>拒收</w:t>
      </w:r>
      <w:r>
        <w:rPr>
          <w:rFonts w:hint="eastAsia" w:ascii="宋体" w:hAnsi="宋体" w:eastAsia="宋体" w:cs="宋体"/>
          <w:b w:val="0"/>
          <w:bCs w:val="0"/>
          <w:color w:val="auto"/>
          <w:sz w:val="21"/>
          <w:szCs w:val="21"/>
          <w:highlight w:val="none"/>
          <w:lang w:val="en-US" w:eastAsia="zh-CN"/>
        </w:rPr>
        <w:t>货物，乙方承担全部责任。</w:t>
      </w:r>
    </w:p>
    <w:p w14:paraId="0C6373EB">
      <w:pPr>
        <w:adjustRightInd w:val="0"/>
        <w:snapToGrid w:val="0"/>
        <w:spacing w:line="360" w:lineRule="auto"/>
        <w:ind w:firstLine="373" w:firstLineChars="177"/>
        <w:rPr>
          <w:rFonts w:hint="eastAsia" w:ascii="宋体" w:hAnsi="宋体" w:eastAsia="宋体" w:cs="Times New Roman"/>
          <w:b/>
          <w:bCs/>
          <w:color w:val="auto"/>
          <w:szCs w:val="21"/>
          <w:highlight w:val="none"/>
        </w:rPr>
      </w:pPr>
    </w:p>
    <w:p w14:paraId="49720F65">
      <w:pPr>
        <w:adjustRightInd w:val="0"/>
        <w:snapToGrid w:val="0"/>
        <w:spacing w:line="360" w:lineRule="auto"/>
        <w:ind w:firstLine="373" w:firstLineChars="177"/>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第</w:t>
      </w:r>
      <w:r>
        <w:rPr>
          <w:rFonts w:hint="eastAsia" w:ascii="宋体" w:hAnsi="宋体" w:eastAsia="宋体" w:cs="Times New Roman"/>
          <w:b/>
          <w:bCs/>
          <w:color w:val="auto"/>
          <w:szCs w:val="21"/>
          <w:highlight w:val="none"/>
        </w:rPr>
        <w:t>十</w:t>
      </w:r>
      <w:r>
        <w:rPr>
          <w:rFonts w:hint="eastAsia" w:ascii="宋体" w:hAnsi="宋体" w:eastAsia="宋体" w:cs="Times New Roman"/>
          <w:b/>
          <w:bCs/>
          <w:color w:val="auto"/>
          <w:sz w:val="21"/>
          <w:szCs w:val="21"/>
          <w:highlight w:val="none"/>
        </w:rPr>
        <w:t>条  价款的支付</w:t>
      </w:r>
    </w:p>
    <w:p w14:paraId="78C7E94E">
      <w:pPr>
        <w:adjustRightInd w:val="0"/>
        <w:snapToGrid w:val="0"/>
        <w:spacing w:line="360" w:lineRule="auto"/>
        <w:ind w:firstLine="371" w:firstLineChars="177"/>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1、甲方发出单笔《供货通知单》后，在收到乙方按本合同约定提供与本批次货款等额的订单保函并经甲方财务人员审核合格后30个工作日内，甲方支付至该批货物货款总额（含销项税额）的100%。</w:t>
      </w:r>
    </w:p>
    <w:p w14:paraId="41F250B6">
      <w:pPr>
        <w:adjustRightInd w:val="0"/>
        <w:snapToGrid w:val="0"/>
        <w:spacing w:line="360" w:lineRule="auto"/>
        <w:ind w:firstLine="371" w:firstLineChars="177"/>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2、如果依合同乙方应支付违约金或赔偿或其他费用的，甲方有权从上述应支付给乙方的款项中直接扣除，不足部分甲方有权要求乙方另行补足。</w:t>
      </w:r>
    </w:p>
    <w:p w14:paraId="6E131458">
      <w:pPr>
        <w:widowControl w:val="0"/>
        <w:tabs>
          <w:tab w:val="left" w:pos="0"/>
        </w:tabs>
        <w:adjustRightInd w:val="0"/>
        <w:snapToGrid w:val="0"/>
        <w:spacing w:line="360" w:lineRule="auto"/>
        <w:ind w:firstLine="422"/>
        <w:jc w:val="both"/>
        <w:textAlignment w:val="baseline"/>
        <w:rPr>
          <w:rFonts w:hint="eastAsia" w:ascii="宋体" w:hAnsi="宋体" w:eastAsia="宋体" w:cs="Times New Roman"/>
          <w:b/>
          <w:color w:val="auto"/>
          <w:kern w:val="2"/>
          <w:sz w:val="21"/>
          <w:szCs w:val="21"/>
          <w:highlight w:val="none"/>
          <w:lang w:val="en-US" w:eastAsia="zh-CN" w:bidi="ar-SA"/>
        </w:rPr>
      </w:pPr>
    </w:p>
    <w:p w14:paraId="07168B31">
      <w:pPr>
        <w:widowControl w:val="0"/>
        <w:tabs>
          <w:tab w:val="left" w:pos="0"/>
        </w:tabs>
        <w:adjustRightInd w:val="0"/>
        <w:snapToGrid w:val="0"/>
        <w:spacing w:line="360" w:lineRule="auto"/>
        <w:ind w:firstLine="422"/>
        <w:jc w:val="both"/>
        <w:textAlignment w:val="baseline"/>
        <w:outlineLvl w:val="1"/>
        <w:rPr>
          <w:rFonts w:ascii="宋体" w:hAnsi="宋体" w:eastAsia="宋体" w:cs="Times New Roman"/>
          <w:b/>
          <w:color w:val="auto"/>
          <w:kern w:val="2"/>
          <w:sz w:val="21"/>
          <w:szCs w:val="21"/>
          <w:highlight w:val="none"/>
          <w:lang w:val="en-US" w:eastAsia="zh-CN" w:bidi="ar-SA"/>
        </w:rPr>
      </w:pPr>
      <w:bookmarkStart w:id="611" w:name="_Toc30563"/>
      <w:r>
        <w:rPr>
          <w:rFonts w:hint="eastAsia" w:ascii="宋体" w:hAnsi="宋体" w:eastAsia="宋体" w:cs="Times New Roman"/>
          <w:b/>
          <w:color w:val="auto"/>
          <w:kern w:val="2"/>
          <w:sz w:val="21"/>
          <w:szCs w:val="21"/>
          <w:highlight w:val="none"/>
          <w:lang w:val="en-US" w:eastAsia="zh-CN" w:bidi="ar-SA"/>
        </w:rPr>
        <w:t>第十一条 技术服务和培训</w:t>
      </w:r>
      <w:bookmarkEnd w:id="611"/>
    </w:p>
    <w:p w14:paraId="17C1E700">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1、技术服务</w:t>
      </w:r>
    </w:p>
    <w:p w14:paraId="186C1F5E">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（1）乙方应及时提供与本合同设备有关的安装、调试、验收、试验、运行、检修等相应的技术指导、技术配合、技术培训等全过程的服务。</w:t>
      </w:r>
    </w:p>
    <w:p w14:paraId="510065A1">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rPr>
        <w:t>甲方有权将乙方所提供的一切与本合同设备有关的资料分发给与本项目有关的各方，并不由此而构成任何侵权，亦无需事先取得乙方的同意，但双方不得向任何与本项目无关的第三方提供。</w:t>
      </w:r>
    </w:p>
    <w:p w14:paraId="77F7C8B4">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须对一切与本合同有关（包括外购）的供货、设备及技术接口、技术服务等问题负全部责任。凡与本合同设备相连接的其它设备装置，乙方有提供接口和技术配合的义务，并不由此而向甲方主张发生合同价格以外的任何费用。</w:t>
      </w:r>
    </w:p>
    <w:p w14:paraId="49B9FA23">
      <w:pPr>
        <w:adjustRightInd w:val="0"/>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（4）由于乙方技术服务人员对安装的疏忽和错误以及乙方未按要求派人指导而造成的直接损失应由乙方负责。造成甲方损失的，乙方需足额赔偿。</w:t>
      </w:r>
    </w:p>
    <w:p w14:paraId="5B472763">
      <w:pPr>
        <w:adjustRightInd w:val="0"/>
        <w:snapToGrid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、人员培训</w:t>
      </w:r>
    </w:p>
    <w:p w14:paraId="0E592D72">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（1）现场培训：指在安装、调试和检测期间，乙方根据甲方需求提供现场安装指导，并派专人对维护操作人员进行培训，务必使这些受训人员能胜任这些设备的检查、调试和维护工作。</w:t>
      </w:r>
    </w:p>
    <w:p w14:paraId="29A3A13B">
      <w:pPr>
        <w:adjustRightInd w:val="0"/>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（2）培训地点规模及时间：由甲方指定，乙方应提前 15 日提供完整的书面培训计划和方案，列明提供培训的技术人员名单及资质，以及培训完成后甲方人员可达到的水平等。</w:t>
      </w:r>
    </w:p>
    <w:p w14:paraId="404A554A">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（3）培训内容：乙方为甲方免费提供操作及维护培训，主要内容为货物的基本结构、性能、主要部件的构造及原理，日常使用操作、保养与管理，常见故障的原因分析与排除，紧急情况的处理等。</w:t>
      </w:r>
    </w:p>
    <w:p w14:paraId="6C0A8CC8">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（4）培训费用：培训费用由乙方承担，该费用已包含在合同价中。</w:t>
      </w:r>
    </w:p>
    <w:p w14:paraId="413DE9A2">
      <w:pPr>
        <w:adjustRightInd w:val="0"/>
        <w:snapToGrid w:val="0"/>
        <w:spacing w:line="360" w:lineRule="auto"/>
        <w:ind w:firstLine="373" w:firstLineChars="177"/>
        <w:rPr>
          <w:rFonts w:ascii="宋体" w:hAnsi="宋体" w:eastAsia="宋体" w:cs="Times New Roman"/>
          <w:b/>
          <w:color w:val="auto"/>
          <w:szCs w:val="21"/>
          <w:highlight w:val="none"/>
        </w:rPr>
      </w:pPr>
    </w:p>
    <w:p w14:paraId="3C7CA008">
      <w:pPr>
        <w:adjustRightInd w:val="0"/>
        <w:snapToGrid w:val="0"/>
        <w:spacing w:line="360" w:lineRule="auto"/>
        <w:ind w:firstLine="373" w:firstLineChars="177"/>
        <w:outlineLvl w:val="1"/>
        <w:rPr>
          <w:rFonts w:ascii="宋体" w:hAnsi="宋体" w:eastAsia="宋体" w:cs="Times New Roman"/>
          <w:b/>
          <w:color w:val="auto"/>
          <w:szCs w:val="21"/>
          <w:highlight w:val="none"/>
        </w:rPr>
      </w:pPr>
      <w:bookmarkStart w:id="612" w:name="_Toc23425"/>
      <w:r>
        <w:rPr>
          <w:rFonts w:hint="eastAsia" w:ascii="宋体" w:hAnsi="宋体" w:eastAsia="宋体" w:cs="Times New Roman"/>
          <w:b/>
          <w:color w:val="auto"/>
          <w:szCs w:val="21"/>
          <w:highlight w:val="none"/>
        </w:rPr>
        <w:t>第十二条 履约担保</w:t>
      </w:r>
      <w:bookmarkEnd w:id="612"/>
    </w:p>
    <w:p w14:paraId="6267B6F0">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1、乙方应当根据招标文件的规定在签订本合同前向甲方提供履约担保，履约担保形式及金额由乙方从以下方式中任选一种：</w:t>
      </w:r>
    </w:p>
    <w:p w14:paraId="243F346E">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履约保证金（银行转账形式）金额为合同</w:t>
      </w:r>
      <w:r>
        <w:rPr>
          <w:rFonts w:hint="eastAsia" w:ascii="宋体" w:hAnsi="宋体" w:eastAsia="宋体" w:cs="Times New Roman"/>
          <w:color w:val="auto"/>
          <w:szCs w:val="21"/>
          <w:highlight w:val="none"/>
        </w:rPr>
        <w:t>暂定</w:t>
      </w:r>
      <w:r>
        <w:rPr>
          <w:rFonts w:hint="eastAsia" w:ascii="宋体" w:hAnsi="宋体" w:eastAsia="宋体" w:cs="Times New Roman"/>
          <w:bCs/>
          <w:color w:val="auto"/>
          <w:szCs w:val="21"/>
          <w:highlight w:val="none"/>
        </w:rPr>
        <w:t>总</w:t>
      </w:r>
      <w:r>
        <w:rPr>
          <w:rFonts w:hint="eastAsia" w:ascii="宋体" w:hAnsi="宋体" w:eastAsia="宋体" w:cs="Times New Roman"/>
          <w:color w:val="auto"/>
          <w:szCs w:val="21"/>
          <w:highlight w:val="none"/>
          <w:u w:val="single"/>
        </w:rPr>
        <w:t>价（</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）的5</w:t>
      </w:r>
      <w:r>
        <w:rPr>
          <w:rFonts w:ascii="宋体" w:hAnsi="宋体" w:eastAsia="宋体" w:cs="Times New Roman"/>
          <w:color w:val="auto"/>
          <w:szCs w:val="21"/>
          <w:highlight w:val="none"/>
          <w:u w:val="single"/>
        </w:rPr>
        <w:t>%</w:t>
      </w:r>
      <w:r>
        <w:rPr>
          <w:rFonts w:hint="eastAsia" w:ascii="宋体" w:hAnsi="宋体" w:eastAsia="宋体" w:cs="Times New Roman"/>
          <w:color w:val="auto"/>
          <w:szCs w:val="21"/>
          <w:highlight w:val="none"/>
          <w:u w:val="single"/>
        </w:rPr>
        <w:t>；</w:t>
      </w:r>
    </w:p>
    <w:p w14:paraId="4F63596B">
      <w:pPr>
        <w:adjustRightInd w:val="0"/>
        <w:snapToGrid w:val="0"/>
        <w:spacing w:line="360" w:lineRule="auto"/>
        <w:ind w:firstLine="371" w:firstLineChars="177"/>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不可撤销银行履约保函金额为合</w:t>
      </w:r>
      <w:r>
        <w:rPr>
          <w:rFonts w:hint="eastAsia" w:ascii="宋体" w:hAnsi="宋体" w:eastAsia="宋体" w:cs="Times New Roman"/>
          <w:color w:val="auto"/>
          <w:szCs w:val="21"/>
          <w:highlight w:val="none"/>
        </w:rPr>
        <w:t>同暂定</w:t>
      </w:r>
      <w:r>
        <w:rPr>
          <w:rFonts w:hint="eastAsia" w:ascii="宋体" w:hAnsi="宋体" w:eastAsia="宋体" w:cs="Times New Roman"/>
          <w:bCs/>
          <w:color w:val="auto"/>
          <w:szCs w:val="21"/>
          <w:highlight w:val="none"/>
        </w:rPr>
        <w:t>总</w:t>
      </w:r>
      <w:r>
        <w:rPr>
          <w:rFonts w:hint="eastAsia" w:ascii="宋体" w:hAnsi="宋体" w:eastAsia="宋体" w:cs="Times New Roman"/>
          <w:color w:val="auto"/>
          <w:szCs w:val="21"/>
          <w:highlight w:val="none"/>
          <w:u w:val="single"/>
        </w:rPr>
        <w:t>价（</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）的</w:t>
      </w:r>
      <w:r>
        <w:rPr>
          <w:rFonts w:ascii="宋体" w:hAnsi="宋体" w:eastAsia="宋体" w:cs="Times New Roman"/>
          <w:color w:val="auto"/>
          <w:szCs w:val="21"/>
          <w:highlight w:val="none"/>
          <w:u w:val="single"/>
        </w:rPr>
        <w:t>8%</w:t>
      </w:r>
      <w:r>
        <w:rPr>
          <w:rFonts w:hint="eastAsia" w:ascii="宋体" w:hAnsi="宋体" w:eastAsia="宋体" w:cs="Times New Roman"/>
          <w:color w:val="auto"/>
          <w:szCs w:val="21"/>
          <w:highlight w:val="none"/>
          <w:u w:val="single"/>
        </w:rPr>
        <w:t>；</w:t>
      </w:r>
    </w:p>
    <w:p w14:paraId="17394B15">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lang w:val="en-US" w:eastAsia="zh-CN"/>
        </w:rPr>
        <w:t>履约保证保险</w:t>
      </w:r>
      <w:r>
        <w:rPr>
          <w:rFonts w:hint="eastAsia" w:ascii="宋体" w:hAnsi="宋体" w:eastAsia="宋体" w:cs="宋体"/>
          <w:color w:val="auto"/>
          <w:sz w:val="21"/>
          <w:szCs w:val="21"/>
          <w:highlight w:val="none"/>
          <w:u w:val="single"/>
        </w:rPr>
        <w:t>金额为合</w:t>
      </w:r>
      <w:r>
        <w:rPr>
          <w:rFonts w:hint="eastAsia" w:ascii="宋体" w:hAnsi="宋体" w:eastAsia="宋体" w:cs="宋体"/>
          <w:color w:val="auto"/>
          <w:sz w:val="21"/>
          <w:szCs w:val="21"/>
          <w:highlight w:val="none"/>
        </w:rPr>
        <w:t>同暂定</w:t>
      </w:r>
      <w:r>
        <w:rPr>
          <w:rFonts w:hint="eastAsia" w:ascii="宋体" w:hAnsi="宋体" w:eastAsia="宋体" w:cs="宋体"/>
          <w:bCs/>
          <w:color w:val="auto"/>
          <w:sz w:val="21"/>
          <w:szCs w:val="21"/>
          <w:highlight w:val="none"/>
        </w:rPr>
        <w:t>总</w:t>
      </w:r>
      <w:r>
        <w:rPr>
          <w:rFonts w:hint="eastAsia" w:ascii="宋体" w:hAnsi="宋体" w:eastAsia="宋体" w:cs="宋体"/>
          <w:color w:val="auto"/>
          <w:sz w:val="21"/>
          <w:szCs w:val="21"/>
          <w:highlight w:val="none"/>
          <w:u w:val="single"/>
        </w:rPr>
        <w:t>价（</w:t>
      </w:r>
      <w:r>
        <w:rPr>
          <w:rFonts w:hint="eastAsia" w:ascii="宋体" w:hAnsi="宋体" w:eastAsia="宋体" w:cs="宋体"/>
          <w:color w:val="auto"/>
          <w:sz w:val="21"/>
          <w:szCs w:val="21"/>
          <w:highlight w:val="none"/>
        </w:rPr>
        <w:t>含销项税额</w:t>
      </w:r>
      <w:r>
        <w:rPr>
          <w:rFonts w:hint="eastAsia" w:ascii="宋体" w:hAnsi="宋体" w:eastAsia="宋体" w:cs="宋体"/>
          <w:color w:val="auto"/>
          <w:sz w:val="21"/>
          <w:szCs w:val="21"/>
          <w:highlight w:val="none"/>
          <w:u w:val="single"/>
        </w:rPr>
        <w:t>）的8%；</w:t>
      </w:r>
    </w:p>
    <w:p w14:paraId="55631AA3">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担保公司履约担保书金额为合同</w:t>
      </w:r>
      <w:r>
        <w:rPr>
          <w:rFonts w:hint="eastAsia" w:ascii="宋体" w:hAnsi="宋体" w:eastAsia="宋体" w:cs="Times New Roman"/>
          <w:color w:val="auto"/>
          <w:szCs w:val="21"/>
          <w:highlight w:val="none"/>
        </w:rPr>
        <w:t>暂定</w:t>
      </w:r>
      <w:r>
        <w:rPr>
          <w:rFonts w:hint="eastAsia" w:ascii="宋体" w:hAnsi="宋体" w:eastAsia="宋体" w:cs="Times New Roman"/>
          <w:bCs/>
          <w:color w:val="auto"/>
          <w:szCs w:val="21"/>
          <w:highlight w:val="none"/>
        </w:rPr>
        <w:t>总</w:t>
      </w:r>
      <w:r>
        <w:rPr>
          <w:rFonts w:hint="eastAsia" w:ascii="宋体" w:hAnsi="宋体" w:eastAsia="宋体" w:cs="Times New Roman"/>
          <w:color w:val="auto"/>
          <w:szCs w:val="21"/>
          <w:highlight w:val="none"/>
          <w:u w:val="single"/>
        </w:rPr>
        <w:t>价（</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）的10%</w:t>
      </w:r>
      <w:r>
        <w:rPr>
          <w:rFonts w:hint="eastAsia" w:ascii="宋体" w:hAnsi="宋体" w:eastAsia="宋体" w:cs="Times New Roman"/>
          <w:color w:val="auto"/>
          <w:szCs w:val="21"/>
          <w:highlight w:val="none"/>
        </w:rPr>
        <w:t>。</w:t>
      </w:r>
    </w:p>
    <w:p w14:paraId="67C38EDB">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2、履约担保用于</w:t>
      </w:r>
      <w:r>
        <w:rPr>
          <w:rFonts w:hint="eastAsia" w:ascii="宋体" w:hAnsi="宋体" w:eastAsia="宋体" w:cs="宋体"/>
          <w:color w:val="auto"/>
          <w:szCs w:val="21"/>
          <w:highlight w:val="none"/>
          <w:lang w:val="en-US" w:eastAsia="zh-CN"/>
        </w:rPr>
        <w:t>补偿</w:t>
      </w:r>
      <w:r>
        <w:rPr>
          <w:rFonts w:hint="eastAsia" w:ascii="宋体" w:hAnsi="宋体" w:eastAsia="宋体" w:cs="Times New Roman"/>
          <w:color w:val="auto"/>
          <w:szCs w:val="21"/>
          <w:highlight w:val="none"/>
        </w:rPr>
        <w:t>甲方因乙方不能</w:t>
      </w:r>
      <w:r>
        <w:rPr>
          <w:rFonts w:hint="eastAsia" w:ascii="宋体" w:hAnsi="宋体" w:eastAsia="宋体" w:cs="宋体"/>
          <w:color w:val="auto"/>
          <w:szCs w:val="21"/>
          <w:highlight w:val="none"/>
          <w:lang w:val="en-US" w:eastAsia="zh-CN"/>
        </w:rPr>
        <w:t>完全履行</w:t>
      </w:r>
      <w:r>
        <w:rPr>
          <w:rFonts w:hint="eastAsia" w:ascii="宋体" w:hAnsi="宋体" w:eastAsia="宋体" w:cs="Times New Roman"/>
          <w:color w:val="auto"/>
          <w:szCs w:val="21"/>
          <w:highlight w:val="none"/>
        </w:rPr>
        <w:t>其合同义务而蒙受的损失</w:t>
      </w:r>
      <w:r>
        <w:rPr>
          <w:rFonts w:hint="eastAsia" w:ascii="宋体" w:hAnsi="宋体" w:eastAsia="宋体" w:cs="Times New Roman"/>
          <w:color w:val="auto"/>
          <w:kern w:val="0"/>
          <w:szCs w:val="21"/>
          <w:highlight w:val="none"/>
        </w:rPr>
        <w:t>或其他合同约定的事项。</w:t>
      </w:r>
      <w:r>
        <w:rPr>
          <w:rFonts w:hint="eastAsia" w:ascii="宋体" w:hAnsi="宋体" w:eastAsia="宋体" w:cs="Times New Roman"/>
          <w:color w:val="auto"/>
          <w:szCs w:val="21"/>
          <w:highlight w:val="none"/>
        </w:rPr>
        <w:t>如发生下列任一情况时，甲方除有权依合同追究违约责任外，还有权</w:t>
      </w:r>
      <w:r>
        <w:rPr>
          <w:rFonts w:hint="eastAsia" w:ascii="宋体" w:hAnsi="宋体" w:eastAsia="宋体" w:cs="Times New Roman"/>
          <w:color w:val="auto"/>
          <w:kern w:val="0"/>
          <w:szCs w:val="21"/>
          <w:highlight w:val="none"/>
        </w:rPr>
        <w:t>提取</w:t>
      </w:r>
      <w:r>
        <w:rPr>
          <w:rFonts w:hint="eastAsia" w:ascii="宋体" w:hAnsi="宋体" w:eastAsia="宋体" w:cs="Times New Roman"/>
          <w:color w:val="auto"/>
          <w:szCs w:val="21"/>
          <w:highlight w:val="none"/>
        </w:rPr>
        <w:t>履约担保</w:t>
      </w:r>
      <w:r>
        <w:rPr>
          <w:rFonts w:hint="eastAsia" w:ascii="宋体" w:hAnsi="宋体" w:eastAsia="宋体" w:cs="宋体"/>
          <w:color w:val="auto"/>
          <w:szCs w:val="21"/>
          <w:highlight w:val="none"/>
          <w:lang w:val="en-US" w:eastAsia="zh-CN"/>
        </w:rPr>
        <w:t>并</w:t>
      </w:r>
      <w:r>
        <w:rPr>
          <w:rFonts w:hint="eastAsia" w:ascii="宋体" w:hAnsi="宋体" w:eastAsia="宋体" w:cs="Times New Roman"/>
          <w:color w:val="auto"/>
          <w:szCs w:val="21"/>
          <w:highlight w:val="none"/>
        </w:rPr>
        <w:t>进行相应处理：</w:t>
      </w:r>
    </w:p>
    <w:p w14:paraId="0CB79833">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Times New Roman" w:hAnsi="宋体" w:eastAsia="宋体" w:cs="Times New Roman"/>
          <w:color w:val="auto"/>
          <w:szCs w:val="21"/>
          <w:highlight w:val="none"/>
        </w:rPr>
        <w:t>乙方将合同项下</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乙方</w:t>
      </w:r>
      <w:r>
        <w:rPr>
          <w:rFonts w:hint="eastAsia" w:ascii="Times New Roman" w:hAnsi="宋体" w:eastAsia="宋体" w:cs="Times New Roman"/>
          <w:color w:val="auto"/>
          <w:szCs w:val="21"/>
          <w:highlight w:val="none"/>
        </w:rPr>
        <w:t>的权利义务全部转让给第三方，或未经甲方书面同意将部分权利义务转让给第三方的，甲方有权没收其履约担保</w:t>
      </w:r>
      <w:r>
        <w:rPr>
          <w:rFonts w:hint="eastAsia" w:ascii="宋体" w:hAnsi="宋体" w:eastAsia="宋体" w:cs="Times New Roman"/>
          <w:color w:val="auto"/>
          <w:szCs w:val="21"/>
          <w:highlight w:val="none"/>
        </w:rPr>
        <w:t>。</w:t>
      </w:r>
    </w:p>
    <w:p w14:paraId="1989217F">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）在合同履行期间，因乙方货物质量或安装或运行等问题造成损害、侵权损失（包括但不限于甲方经济损失、第三人人身财产损失等）</w:t>
      </w:r>
      <w:r>
        <w:rPr>
          <w:rFonts w:ascii="宋体" w:hAnsi="宋体" w:eastAsia="宋体" w:cs="Times New Roman"/>
          <w:color w:val="auto"/>
          <w:kern w:val="0"/>
          <w:szCs w:val="21"/>
          <w:highlight w:val="none"/>
        </w:rPr>
        <w:t>、</w:t>
      </w:r>
      <w:r>
        <w:rPr>
          <w:rFonts w:ascii="宋体" w:hAnsi="宋体" w:eastAsia="宋体" w:cs="Times New Roman"/>
          <w:color w:val="auto"/>
          <w:szCs w:val="21"/>
          <w:highlight w:val="none"/>
        </w:rPr>
        <w:t>拖欠</w:t>
      </w:r>
      <w:r>
        <w:rPr>
          <w:rFonts w:hint="eastAsia" w:ascii="宋体" w:hAnsi="宋体" w:eastAsia="宋体" w:cs="Times New Roman"/>
          <w:color w:val="auto"/>
          <w:szCs w:val="21"/>
          <w:highlight w:val="none"/>
        </w:rPr>
        <w:t>设备供应商货款（含第三方劳务费用等）或</w:t>
      </w:r>
      <w:r>
        <w:rPr>
          <w:rFonts w:hint="eastAsia" w:ascii="宋体" w:hAnsi="宋体" w:eastAsia="宋体" w:cs="Times New Roman"/>
          <w:color w:val="auto"/>
          <w:kern w:val="0"/>
          <w:szCs w:val="21"/>
          <w:highlight w:val="none"/>
        </w:rPr>
        <w:t>与其</w:t>
      </w:r>
      <w:r>
        <w:rPr>
          <w:rFonts w:ascii="宋体" w:hAnsi="宋体" w:eastAsia="宋体" w:cs="Times New Roman"/>
          <w:color w:val="auto"/>
          <w:szCs w:val="21"/>
          <w:highlight w:val="none"/>
        </w:rPr>
        <w:t>所雇用员工发生劳资纠纷</w:t>
      </w:r>
      <w:r>
        <w:rPr>
          <w:rFonts w:hint="eastAsia" w:ascii="宋体" w:hAnsi="宋体" w:eastAsia="宋体" w:cs="Times New Roman"/>
          <w:color w:val="auto"/>
          <w:szCs w:val="21"/>
          <w:highlight w:val="none"/>
        </w:rPr>
        <w:t>、上访、闹事或其他影响甲方生产经营等情况而其未及时妥善处理的，甲方有权使用履约担保予以支付或作出相应处理，由此产生的一切法律后果由乙方承担。</w:t>
      </w:r>
    </w:p>
    <w:p w14:paraId="20F6560E">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）在合同履行期间，乙方违约产生的违约金、赔偿、罚款或其他应付费用等款项，甲方有权直接从应付而未付货物款项中扣除或使用履约担保予以支付。</w:t>
      </w:r>
    </w:p>
    <w:p w14:paraId="58B27EFE">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）合同期内，乙方不能及时完成某项合同义务的，甲方有权使用履约担保用于处理该项工作。</w:t>
      </w:r>
    </w:p>
    <w:p w14:paraId="600EAE5C">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）其他根据本合同约定或法律规定，甲方可使用履约担保的情形。</w:t>
      </w:r>
    </w:p>
    <w:p w14:paraId="720EF8C5">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3、乙方以履约保证金（银行转账形式）提供履约担保的，在合同期限届满</w:t>
      </w:r>
      <w:r>
        <w:rPr>
          <w:rFonts w:hint="eastAsia" w:ascii="宋体" w:hAnsi="宋体" w:eastAsia="宋体" w:cs="Times New Roman"/>
          <w:color w:val="auto"/>
          <w:szCs w:val="21"/>
          <w:highlight w:val="none"/>
          <w:lang w:eastAsia="zh-CN"/>
        </w:rPr>
        <w:t>并完成全部供货验收合格后</w:t>
      </w:r>
      <w:r>
        <w:rPr>
          <w:rFonts w:hint="eastAsia" w:ascii="宋体" w:hAnsi="宋体" w:eastAsia="宋体" w:cs="Times New Roman"/>
          <w:color w:val="auto"/>
          <w:szCs w:val="21"/>
          <w:highlight w:val="none"/>
        </w:rPr>
        <w:t>二十八（28）日后，经</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确认，</w:t>
      </w:r>
      <w:r>
        <w:rPr>
          <w:rFonts w:hint="eastAsia" w:ascii="宋体" w:hAnsi="宋体" w:eastAsia="宋体" w:cs="Times New Roman"/>
          <w:color w:val="auto"/>
          <w:szCs w:val="21"/>
          <w:highlight w:val="none"/>
          <w:lang w:eastAsia="zh-CN"/>
        </w:rPr>
        <w:t>乙方</w:t>
      </w:r>
      <w:r>
        <w:rPr>
          <w:rFonts w:hint="eastAsia" w:ascii="宋体" w:hAnsi="宋体" w:eastAsia="宋体" w:cs="Times New Roman"/>
          <w:color w:val="auto"/>
          <w:szCs w:val="21"/>
          <w:highlight w:val="none"/>
        </w:rPr>
        <w:t>可向</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提交退回履约担保的申请。</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审核无异议后，办理履约担保退还手续，退回时一律以银行转账的形式无息退回到</w:t>
      </w:r>
      <w:r>
        <w:rPr>
          <w:rFonts w:hint="eastAsia" w:ascii="宋体" w:hAnsi="宋体" w:eastAsia="宋体" w:cs="Times New Roman"/>
          <w:color w:val="auto"/>
          <w:szCs w:val="21"/>
          <w:highlight w:val="none"/>
          <w:lang w:eastAsia="zh-CN"/>
        </w:rPr>
        <w:t>乙方</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eastAsia="zh-CN"/>
        </w:rPr>
        <w:t>账</w:t>
      </w:r>
      <w:r>
        <w:rPr>
          <w:rFonts w:hint="eastAsia" w:ascii="宋体" w:hAnsi="宋体" w:eastAsia="宋体" w:cs="Times New Roman"/>
          <w:color w:val="auto"/>
          <w:szCs w:val="21"/>
          <w:highlight w:val="none"/>
        </w:rPr>
        <w:t>户。</w:t>
      </w:r>
    </w:p>
    <w:p w14:paraId="00C45CA7">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4、如乙方提供不可撤销银行履约保函（或履约保证保险或担保公司履约担保书）作为履约担保的，不可撤销银行履约保函或履约保证保险或担保公司履约担保书</w:t>
      </w:r>
      <w:r>
        <w:rPr>
          <w:rFonts w:hint="eastAsia" w:ascii="宋体" w:hAnsi="宋体" w:eastAsia="宋体" w:cs="Times New Roman"/>
          <w:color w:val="auto"/>
          <w:szCs w:val="21"/>
          <w:highlight w:val="none"/>
          <w:lang w:eastAsia="zh-CN"/>
        </w:rPr>
        <w:t>应从合同签订之日起至合同期限届满并完成全部供货验收合格后二十八（28）日内保持有效</w:t>
      </w:r>
      <w:r>
        <w:rPr>
          <w:rFonts w:hint="eastAsia" w:ascii="宋体" w:hAnsi="宋体" w:eastAsia="宋体" w:cs="Times New Roman"/>
          <w:color w:val="auto"/>
          <w:szCs w:val="21"/>
          <w:highlight w:val="none"/>
        </w:rPr>
        <w:t>。如不可撤销银行履约保函或履约保证保险或担保公司履约担保书在规定有效期届满时而货物尚未全部验收合格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应付而未付</w:t>
      </w:r>
      <w:r>
        <w:rPr>
          <w:rFonts w:hint="eastAsia" w:ascii="宋体" w:hAnsi="宋体" w:eastAsia="宋体" w:cs="Times New Roman"/>
          <w:color w:val="auto"/>
          <w:szCs w:val="21"/>
          <w:highlight w:val="none"/>
          <w:lang w:val="en-US" w:eastAsia="zh-CN"/>
        </w:rPr>
        <w:t>货</w:t>
      </w:r>
      <w:r>
        <w:rPr>
          <w:rFonts w:hint="eastAsia" w:ascii="宋体" w:hAnsi="宋体" w:eastAsia="宋体" w:cs="Times New Roman"/>
          <w:color w:val="auto"/>
          <w:szCs w:val="21"/>
          <w:highlight w:val="none"/>
        </w:rPr>
        <w:t>款中扣除。</w:t>
      </w:r>
    </w:p>
    <w:p w14:paraId="11BE130B">
      <w:pPr>
        <w:adjustRightInd w:val="0"/>
        <w:snapToGrid w:val="0"/>
        <w:spacing w:line="360" w:lineRule="auto"/>
        <w:ind w:firstLine="371" w:firstLineChars="177"/>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5、</w:t>
      </w:r>
      <w:r>
        <w:rPr>
          <w:rFonts w:hint="eastAsia" w:ascii="宋体" w:hAnsi="宋体" w:eastAsia="宋体" w:cs="Times New Roman"/>
          <w:color w:val="auto"/>
          <w:szCs w:val="21"/>
          <w:highlight w:val="none"/>
          <w:lang w:val="en-US" w:eastAsia="zh-CN"/>
        </w:rPr>
        <w:t>乙方</w:t>
      </w:r>
      <w:r>
        <w:rPr>
          <w:rFonts w:hint="eastAsia" w:ascii="宋体" w:hAnsi="宋体" w:eastAsia="宋体" w:cs="Times New Roman"/>
          <w:color w:val="auto"/>
          <w:szCs w:val="21"/>
          <w:highlight w:val="none"/>
        </w:rPr>
        <w:t>在合同履行期间应保证履约担保有效及金额符合招标文件要求</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因合同内容变更、保证金使用等原因导致履约担保金额不满足招标文件要求的，乙方应当在履约担保金额不足之日起15天内予以补足；如违反的，甲方有权按</w:t>
      </w:r>
      <w:r>
        <w:rPr>
          <w:rFonts w:hint="eastAsia" w:ascii="宋体" w:hAnsi="宋体" w:eastAsia="宋体" w:cs="Times New Roman"/>
          <w:color w:val="auto"/>
          <w:szCs w:val="21"/>
          <w:highlight w:val="none"/>
          <w:lang w:val="en-US" w:eastAsia="zh-CN"/>
        </w:rPr>
        <w:t>需补</w:t>
      </w:r>
      <w:r>
        <w:rPr>
          <w:rFonts w:hint="eastAsia" w:ascii="宋体" w:hAnsi="宋体" w:eastAsia="宋体" w:cs="Times New Roman"/>
          <w:color w:val="auto"/>
          <w:szCs w:val="21"/>
          <w:highlight w:val="none"/>
        </w:rPr>
        <w:t>足部分金额为限要求乙方承担违约金，违约金可直接从应付而未付</w:t>
      </w:r>
      <w:r>
        <w:rPr>
          <w:rFonts w:hint="eastAsia" w:ascii="宋体" w:hAnsi="宋体" w:eastAsia="宋体" w:cs="Times New Roman"/>
          <w:color w:val="auto"/>
          <w:szCs w:val="21"/>
          <w:highlight w:val="none"/>
          <w:lang w:val="en-US" w:eastAsia="zh-CN"/>
        </w:rPr>
        <w:t>货</w:t>
      </w:r>
      <w:r>
        <w:rPr>
          <w:rFonts w:hint="eastAsia" w:ascii="宋体" w:hAnsi="宋体" w:eastAsia="宋体" w:cs="Times New Roman"/>
          <w:color w:val="auto"/>
          <w:szCs w:val="21"/>
          <w:highlight w:val="none"/>
        </w:rPr>
        <w:t>款中扣除。</w:t>
      </w:r>
    </w:p>
    <w:p w14:paraId="39661C37">
      <w:pPr>
        <w:adjustRightInd w:val="0"/>
        <w:snapToGrid w:val="0"/>
        <w:spacing w:line="360" w:lineRule="auto"/>
        <w:ind w:firstLine="373" w:firstLineChars="177"/>
        <w:outlineLvl w:val="1"/>
        <w:rPr>
          <w:rFonts w:hint="eastAsia" w:ascii="宋体" w:hAnsi="宋体" w:eastAsia="宋体" w:cs="Times New Roman"/>
          <w:b/>
          <w:color w:val="auto"/>
          <w:szCs w:val="21"/>
          <w:highlight w:val="none"/>
        </w:rPr>
      </w:pPr>
    </w:p>
    <w:p w14:paraId="1392C02E">
      <w:pPr>
        <w:adjustRightInd w:val="0"/>
        <w:snapToGrid w:val="0"/>
        <w:spacing w:line="360" w:lineRule="auto"/>
        <w:ind w:firstLine="373" w:firstLineChars="177"/>
        <w:outlineLvl w:val="1"/>
        <w:rPr>
          <w:rFonts w:ascii="宋体" w:hAnsi="宋体" w:eastAsia="宋体" w:cs="Times New Roman"/>
          <w:b/>
          <w:color w:val="auto"/>
          <w:szCs w:val="21"/>
          <w:highlight w:val="none"/>
        </w:rPr>
      </w:pPr>
      <w:bookmarkStart w:id="613" w:name="_Toc22425"/>
      <w:r>
        <w:rPr>
          <w:rFonts w:hint="eastAsia" w:ascii="宋体" w:hAnsi="宋体" w:eastAsia="宋体" w:cs="Times New Roman"/>
          <w:b/>
          <w:color w:val="auto"/>
          <w:szCs w:val="21"/>
          <w:highlight w:val="none"/>
        </w:rPr>
        <w:t>第十三条  订单全款独立</w:t>
      </w:r>
      <w:r>
        <w:rPr>
          <w:rFonts w:hint="eastAsia" w:ascii="宋体" w:hAnsi="宋体" w:eastAsia="宋体" w:cs="Times New Roman"/>
          <w:b/>
          <w:color w:val="auto"/>
          <w:szCs w:val="21"/>
          <w:highlight w:val="none"/>
          <w:lang w:val="en-US" w:eastAsia="zh-CN"/>
        </w:rPr>
        <w:t>银行</w:t>
      </w:r>
      <w:r>
        <w:rPr>
          <w:rFonts w:hint="eastAsia" w:ascii="宋体" w:hAnsi="宋体" w:eastAsia="宋体" w:cs="Times New Roman"/>
          <w:b/>
          <w:color w:val="auto"/>
          <w:szCs w:val="21"/>
          <w:highlight w:val="none"/>
        </w:rPr>
        <w:t>保函</w:t>
      </w:r>
      <w:bookmarkEnd w:id="613"/>
    </w:p>
    <w:p w14:paraId="3185B1A6">
      <w:pPr>
        <w:adjustRightInd w:val="0"/>
        <w:snapToGrid w:val="0"/>
        <w:spacing w:line="360" w:lineRule="auto"/>
        <w:ind w:firstLine="373" w:firstLineChars="177"/>
        <w:outlineLvl w:val="1"/>
        <w:rPr>
          <w:rFonts w:hint="eastAsia" w:ascii="宋体" w:hAnsi="宋体" w:eastAsia="宋体" w:cs="Times New Roman"/>
          <w:b/>
          <w:color w:val="auto"/>
          <w:szCs w:val="21"/>
          <w:highlight w:val="none"/>
        </w:rPr>
      </w:pPr>
    </w:p>
    <w:p w14:paraId="18104677">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rPr>
      </w:pPr>
      <w:bookmarkStart w:id="614" w:name="_Toc21481"/>
      <w:r>
        <w:rPr>
          <w:rFonts w:hint="eastAsia" w:ascii="宋体" w:hAnsi="宋体" w:eastAsia="宋体" w:cs="Times New Roman"/>
          <w:b w:val="0"/>
          <w:bCs/>
          <w:color w:val="auto"/>
          <w:szCs w:val="21"/>
          <w:highlight w:val="none"/>
        </w:rPr>
        <w:t>1、保函开立义务</w:t>
      </w:r>
      <w:bookmarkEnd w:id="614"/>
    </w:p>
    <w:p w14:paraId="3D52E6BA">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rPr>
      </w:pPr>
      <w:bookmarkStart w:id="615" w:name="_Toc3929"/>
      <w:r>
        <w:rPr>
          <w:rFonts w:hint="eastAsia" w:ascii="宋体" w:hAnsi="宋体" w:eastAsia="宋体" w:cs="Times New Roman"/>
          <w:b w:val="0"/>
          <w:bCs/>
          <w:color w:val="auto"/>
          <w:szCs w:val="21"/>
          <w:highlight w:val="none"/>
          <w:lang w:val="en-US" w:eastAsia="zh-CN"/>
        </w:rPr>
        <w:t>乙方</w:t>
      </w:r>
      <w:r>
        <w:rPr>
          <w:rFonts w:hint="eastAsia" w:ascii="宋体" w:hAnsi="宋体" w:eastAsia="宋体" w:cs="Times New Roman"/>
          <w:b w:val="0"/>
          <w:bCs/>
          <w:color w:val="auto"/>
          <w:szCs w:val="21"/>
          <w:highlight w:val="none"/>
        </w:rPr>
        <w:t>应在</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发出</w:t>
      </w:r>
      <w:r>
        <w:rPr>
          <w:rFonts w:hint="eastAsia" w:ascii="宋体" w:hAnsi="宋体" w:eastAsia="宋体" w:cs="Times New Roman"/>
          <w:b w:val="0"/>
          <w:bCs/>
          <w:color w:val="auto"/>
          <w:szCs w:val="21"/>
          <w:highlight w:val="none"/>
          <w:lang w:val="en-US" w:eastAsia="zh-CN"/>
        </w:rPr>
        <w:t>每批货物的供货通知单</w:t>
      </w:r>
      <w:r>
        <w:rPr>
          <w:rFonts w:hint="eastAsia" w:ascii="宋体" w:hAnsi="宋体" w:eastAsia="宋体" w:cs="Times New Roman"/>
          <w:b w:val="0"/>
          <w:bCs/>
          <w:color w:val="auto"/>
          <w:szCs w:val="21"/>
          <w:highlight w:val="none"/>
        </w:rPr>
        <w:t>后【</w:t>
      </w:r>
      <w:r>
        <w:rPr>
          <w:rFonts w:hint="eastAsia" w:ascii="宋体" w:hAnsi="宋体" w:eastAsia="宋体" w:cs="Times New Roman"/>
          <w:b w:val="0"/>
          <w:bCs/>
          <w:color w:val="auto"/>
          <w:szCs w:val="21"/>
          <w:highlight w:val="none"/>
          <w:lang w:eastAsia="zh-CN"/>
        </w:rPr>
        <w:t>3</w:t>
      </w:r>
      <w:r>
        <w:rPr>
          <w:rFonts w:hint="eastAsia" w:ascii="宋体" w:hAnsi="宋体" w:eastAsia="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】个</w:t>
      </w:r>
      <w:r>
        <w:rPr>
          <w:rFonts w:hint="eastAsia" w:ascii="宋体" w:hAnsi="宋体" w:eastAsia="宋体" w:cs="Times New Roman"/>
          <w:b w:val="0"/>
          <w:bCs/>
          <w:color w:val="auto"/>
          <w:szCs w:val="21"/>
          <w:highlight w:val="none"/>
          <w:lang w:val="en-US" w:eastAsia="zh-CN"/>
        </w:rPr>
        <w:t>自然</w:t>
      </w:r>
      <w:r>
        <w:rPr>
          <w:rFonts w:hint="eastAsia" w:ascii="宋体" w:hAnsi="宋体" w:eastAsia="宋体" w:cs="Times New Roman"/>
          <w:b w:val="0"/>
          <w:bCs/>
          <w:color w:val="auto"/>
          <w:szCs w:val="21"/>
          <w:highlight w:val="none"/>
        </w:rPr>
        <w:t>日内，向</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提交符合附件格式要求的、不可撤销的见索即付独立保函（下称“</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保函”），且须满足：</w:t>
      </w:r>
      <w:bookmarkEnd w:id="615"/>
    </w:p>
    <w:p w14:paraId="4C674374">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rPr>
      </w:pPr>
      <w:bookmarkStart w:id="616" w:name="_Toc1371"/>
      <w:r>
        <w:rPr>
          <w:rFonts w:hint="eastAsia" w:ascii="宋体" w:hAnsi="宋体" w:eastAsia="宋体" w:cs="Times New Roman"/>
          <w:b w:val="0"/>
          <w:bCs/>
          <w:color w:val="auto"/>
          <w:szCs w:val="21"/>
          <w:highlight w:val="none"/>
        </w:rPr>
        <w:t>(1) 开立银行：国有商业银行或全国性股份制商业银行；</w:t>
      </w:r>
      <w:bookmarkEnd w:id="616"/>
    </w:p>
    <w:p w14:paraId="7C444D39">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rPr>
      </w:pPr>
      <w:bookmarkStart w:id="617" w:name="_Toc15889"/>
      <w:r>
        <w:rPr>
          <w:rFonts w:hint="eastAsia" w:ascii="宋体" w:hAnsi="宋体" w:eastAsia="宋体" w:cs="Times New Roman"/>
          <w:b w:val="0"/>
          <w:bCs/>
          <w:color w:val="auto"/>
          <w:szCs w:val="21"/>
          <w:highlight w:val="none"/>
        </w:rPr>
        <w:t>(2) 保函金额：与该</w:t>
      </w:r>
      <w:r>
        <w:rPr>
          <w:rFonts w:hint="eastAsia" w:ascii="宋体" w:hAnsi="宋体" w:eastAsia="宋体" w:cs="Times New Roman"/>
          <w:b w:val="0"/>
          <w:bCs/>
          <w:color w:val="auto"/>
          <w:szCs w:val="21"/>
          <w:highlight w:val="none"/>
          <w:lang w:val="en-US" w:eastAsia="zh-CN"/>
        </w:rPr>
        <w:t>供货通知单</w:t>
      </w:r>
      <w:r>
        <w:rPr>
          <w:rFonts w:hint="eastAsia" w:ascii="宋体" w:hAnsi="宋体" w:eastAsia="宋体" w:cs="Times New Roman"/>
          <w:b w:val="0"/>
          <w:bCs/>
          <w:color w:val="auto"/>
          <w:szCs w:val="21"/>
          <w:highlight w:val="none"/>
        </w:rPr>
        <w:t>载明的货款总额100%等值</w:t>
      </w:r>
      <w:r>
        <w:rPr>
          <w:rFonts w:hint="eastAsia" w:ascii="宋体" w:hAnsi="宋体" w:eastAsia="宋体" w:cs="Times New Roman"/>
          <w:color w:val="auto"/>
          <w:sz w:val="21"/>
          <w:szCs w:val="21"/>
          <w:highlight w:val="none"/>
          <w:lang w:val="en-US" w:eastAsia="zh-CN"/>
        </w:rPr>
        <w:t>（含销项税额）</w:t>
      </w:r>
      <w:r>
        <w:rPr>
          <w:rFonts w:hint="eastAsia" w:ascii="宋体" w:hAnsi="宋体" w:eastAsia="宋体" w:cs="Times New Roman"/>
          <w:b w:val="0"/>
          <w:bCs/>
          <w:color w:val="auto"/>
          <w:szCs w:val="21"/>
          <w:highlight w:val="none"/>
        </w:rPr>
        <w:t>；</w:t>
      </w:r>
      <w:bookmarkEnd w:id="617"/>
    </w:p>
    <w:p w14:paraId="7E9B9035">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rPr>
      </w:pPr>
      <w:bookmarkStart w:id="618" w:name="_Toc18602"/>
      <w:r>
        <w:rPr>
          <w:rFonts w:hint="eastAsia" w:ascii="宋体" w:hAnsi="宋体" w:eastAsia="宋体" w:cs="Times New Roman"/>
          <w:b w:val="0"/>
          <w:bCs/>
          <w:color w:val="auto"/>
          <w:szCs w:val="21"/>
          <w:highlight w:val="none"/>
        </w:rPr>
        <w:t>(3) 生效时间：与</w:t>
      </w:r>
      <w:r>
        <w:rPr>
          <w:rFonts w:hint="eastAsia" w:ascii="宋体" w:hAnsi="宋体" w:eastAsia="宋体" w:cs="Times New Roman"/>
          <w:b w:val="0"/>
          <w:bCs/>
          <w:color w:val="auto"/>
          <w:szCs w:val="21"/>
          <w:highlight w:val="none"/>
          <w:lang w:val="en-US" w:eastAsia="zh-CN"/>
        </w:rPr>
        <w:t>供货通知单</w:t>
      </w:r>
      <w:r>
        <w:rPr>
          <w:rFonts w:hint="eastAsia" w:ascii="宋体" w:hAnsi="宋体" w:eastAsia="宋体" w:cs="Times New Roman"/>
          <w:b w:val="0"/>
          <w:bCs/>
          <w:color w:val="auto"/>
          <w:szCs w:val="21"/>
          <w:highlight w:val="none"/>
        </w:rPr>
        <w:t>生效日同步。</w:t>
      </w:r>
      <w:bookmarkEnd w:id="618"/>
    </w:p>
    <w:p w14:paraId="63088A11">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rPr>
      </w:pPr>
      <w:bookmarkStart w:id="619" w:name="_Toc15328"/>
      <w:r>
        <w:rPr>
          <w:rFonts w:hint="eastAsia" w:ascii="宋体" w:hAnsi="宋体" w:eastAsia="宋体" w:cs="Times New Roman"/>
          <w:b w:val="0"/>
          <w:bCs/>
          <w:color w:val="auto"/>
          <w:szCs w:val="21"/>
          <w:highlight w:val="none"/>
        </w:rPr>
        <w:t>2、</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保函核心条款要求</w:t>
      </w:r>
      <w:bookmarkEnd w:id="619"/>
    </w:p>
    <w:p w14:paraId="5EADE3C8">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rPr>
      </w:pPr>
      <w:bookmarkStart w:id="620" w:name="_Toc21932"/>
      <w:r>
        <w:rPr>
          <w:rFonts w:hint="eastAsia" w:ascii="宋体" w:hAnsi="宋体" w:eastAsia="宋体" w:cs="Times New Roman"/>
          <w:b w:val="0"/>
          <w:bCs/>
          <w:color w:val="auto"/>
          <w:szCs w:val="21"/>
          <w:highlight w:val="none"/>
        </w:rPr>
        <w:t>受益人是</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，有效期为</w:t>
      </w:r>
      <w:r>
        <w:rPr>
          <w:rFonts w:hint="eastAsia" w:ascii="宋体" w:hAnsi="宋体" w:eastAsia="宋体" w:cs="Times New Roman"/>
          <w:b w:val="0"/>
          <w:bCs/>
          <w:color w:val="auto"/>
          <w:szCs w:val="21"/>
          <w:highlight w:val="none"/>
          <w:lang w:val="en-US" w:eastAsia="zh-CN"/>
        </w:rPr>
        <w:t>供货通知单</w:t>
      </w:r>
      <w:r>
        <w:rPr>
          <w:rFonts w:hint="eastAsia" w:ascii="宋体" w:hAnsi="宋体" w:eastAsia="宋体" w:cs="Times New Roman"/>
          <w:b w:val="0"/>
          <w:bCs/>
          <w:color w:val="auto"/>
          <w:szCs w:val="21"/>
          <w:highlight w:val="none"/>
        </w:rPr>
        <w:t>约定的供货期至货物验收合格后</w:t>
      </w:r>
      <w:r>
        <w:rPr>
          <w:rFonts w:hint="eastAsia" w:ascii="宋体" w:hAnsi="宋体" w:eastAsia="宋体" w:cs="Times New Roman"/>
          <w:color w:val="auto"/>
          <w:szCs w:val="21"/>
          <w:highlight w:val="none"/>
          <w:lang w:eastAsia="zh-CN"/>
        </w:rPr>
        <w:t>二十八（28）日</w:t>
      </w:r>
      <w:r>
        <w:rPr>
          <w:rFonts w:hint="eastAsia" w:ascii="宋体" w:hAnsi="宋体" w:eastAsia="宋体" w:cs="Times New Roman"/>
          <w:b w:val="0"/>
          <w:bCs/>
          <w:color w:val="auto"/>
          <w:szCs w:val="21"/>
          <w:highlight w:val="none"/>
        </w:rPr>
        <w:t>，担保范围是</w:t>
      </w:r>
      <w:r>
        <w:rPr>
          <w:rFonts w:hint="eastAsia" w:ascii="宋体" w:hAnsi="宋体" w:eastAsia="宋体" w:cs="Times New Roman"/>
          <w:b w:val="0"/>
          <w:bCs/>
          <w:color w:val="auto"/>
          <w:szCs w:val="21"/>
          <w:highlight w:val="none"/>
          <w:lang w:val="en-US" w:eastAsia="zh-CN"/>
        </w:rPr>
        <w:t>乙方</w:t>
      </w:r>
      <w:r>
        <w:rPr>
          <w:rFonts w:hint="eastAsia" w:ascii="宋体" w:hAnsi="宋体" w:eastAsia="宋体" w:cs="Times New Roman"/>
          <w:b w:val="0"/>
          <w:bCs/>
          <w:color w:val="auto"/>
          <w:szCs w:val="21"/>
          <w:highlight w:val="none"/>
        </w:rPr>
        <w:t>履行该</w:t>
      </w:r>
      <w:r>
        <w:rPr>
          <w:rFonts w:hint="eastAsia" w:ascii="宋体" w:hAnsi="宋体" w:eastAsia="宋体" w:cs="Times New Roman"/>
          <w:b w:val="0"/>
          <w:bCs/>
          <w:color w:val="auto"/>
          <w:szCs w:val="21"/>
          <w:highlight w:val="none"/>
          <w:lang w:val="en-US" w:eastAsia="zh-CN"/>
        </w:rPr>
        <w:t>供货通知单</w:t>
      </w:r>
      <w:r>
        <w:rPr>
          <w:rFonts w:hint="eastAsia" w:ascii="宋体" w:hAnsi="宋体" w:eastAsia="宋体" w:cs="Times New Roman"/>
          <w:b w:val="0"/>
          <w:bCs/>
          <w:color w:val="auto"/>
          <w:szCs w:val="21"/>
          <w:highlight w:val="none"/>
        </w:rPr>
        <w:t>项下</w:t>
      </w:r>
      <w:r>
        <w:rPr>
          <w:rFonts w:hint="eastAsia" w:ascii="宋体" w:hAnsi="宋体" w:eastAsia="宋体" w:cs="Times New Roman"/>
          <w:b w:val="0"/>
          <w:bCs/>
          <w:color w:val="auto"/>
          <w:szCs w:val="21"/>
          <w:highlight w:val="none"/>
          <w:lang w:eastAsia="zh-CN"/>
        </w:rPr>
        <w:t>的</w:t>
      </w:r>
      <w:r>
        <w:rPr>
          <w:rFonts w:hint="eastAsia" w:ascii="宋体" w:hAnsi="宋体" w:eastAsia="宋体" w:cs="Times New Roman"/>
          <w:b w:val="0"/>
          <w:bCs/>
          <w:color w:val="auto"/>
          <w:szCs w:val="21"/>
          <w:highlight w:val="none"/>
          <w:lang w:val="en-US" w:eastAsia="zh-CN"/>
        </w:rPr>
        <w:t>按时按量</w:t>
      </w:r>
      <w:r>
        <w:rPr>
          <w:rFonts w:hint="eastAsia" w:ascii="宋体" w:hAnsi="宋体" w:eastAsia="宋体" w:cs="Times New Roman"/>
          <w:b w:val="0"/>
          <w:bCs/>
          <w:color w:val="auto"/>
          <w:szCs w:val="21"/>
          <w:highlight w:val="none"/>
        </w:rPr>
        <w:t>供货</w:t>
      </w:r>
      <w:r>
        <w:rPr>
          <w:rFonts w:hint="eastAsia" w:ascii="宋体" w:hAnsi="宋体" w:eastAsia="宋体" w:cs="Times New Roman"/>
          <w:b w:val="0"/>
          <w:bCs/>
          <w:color w:val="auto"/>
          <w:szCs w:val="21"/>
          <w:highlight w:val="none"/>
          <w:lang w:val="en-US" w:eastAsia="zh-CN"/>
        </w:rPr>
        <w:t>义务且全部货物经甲方验收合格</w:t>
      </w: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保函一经开立，未经</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书面同意不得修改或撤销。</w:t>
      </w:r>
      <w:bookmarkEnd w:id="620"/>
    </w:p>
    <w:p w14:paraId="2481F8A9">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rPr>
      </w:pPr>
      <w:bookmarkStart w:id="621" w:name="_Toc26796"/>
      <w:r>
        <w:rPr>
          <w:rFonts w:hint="eastAsia" w:ascii="宋体" w:hAnsi="宋体" w:eastAsia="宋体" w:cs="Times New Roman"/>
          <w:b w:val="0"/>
          <w:bCs/>
          <w:color w:val="auto"/>
          <w:szCs w:val="21"/>
          <w:highlight w:val="none"/>
        </w:rPr>
        <w:t>3、付款与</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保函的绑定规则</w:t>
      </w:r>
      <w:bookmarkEnd w:id="621"/>
    </w:p>
    <w:p w14:paraId="6888ADC8">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rPr>
      </w:pPr>
      <w:bookmarkStart w:id="622" w:name="_Toc7795"/>
      <w:r>
        <w:rPr>
          <w:rFonts w:hint="eastAsia" w:ascii="宋体" w:hAnsi="宋体" w:eastAsia="宋体" w:cs="Times New Roman"/>
          <w:b w:val="0"/>
          <w:bCs/>
          <w:color w:val="auto"/>
          <w:szCs w:val="21"/>
          <w:highlight w:val="none"/>
        </w:rPr>
        <w:t xml:space="preserve">(1) </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仅在收到有效</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保函后，方支付该</w:t>
      </w:r>
      <w:r>
        <w:rPr>
          <w:rFonts w:hint="eastAsia" w:ascii="宋体" w:hAnsi="宋体" w:eastAsia="宋体" w:cs="Times New Roman"/>
          <w:b w:val="0"/>
          <w:bCs/>
          <w:color w:val="auto"/>
          <w:szCs w:val="21"/>
          <w:highlight w:val="none"/>
          <w:lang w:val="en-US" w:eastAsia="zh-CN"/>
        </w:rPr>
        <w:t>供货通知单</w:t>
      </w:r>
      <w:r>
        <w:rPr>
          <w:rFonts w:hint="eastAsia" w:ascii="宋体" w:hAnsi="宋体" w:eastAsia="宋体" w:cs="Times New Roman"/>
          <w:b w:val="0"/>
          <w:bCs/>
          <w:color w:val="auto"/>
          <w:szCs w:val="21"/>
          <w:highlight w:val="none"/>
        </w:rPr>
        <w:t>对应的全额货款；</w:t>
      </w:r>
      <w:bookmarkEnd w:id="622"/>
    </w:p>
    <w:p w14:paraId="3FF1B71D">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rPr>
      </w:pPr>
      <w:bookmarkStart w:id="623" w:name="_Toc16633"/>
      <w:r>
        <w:rPr>
          <w:rFonts w:hint="eastAsia" w:ascii="宋体" w:hAnsi="宋体" w:eastAsia="宋体" w:cs="Times New Roman"/>
          <w:b w:val="0"/>
          <w:bCs/>
          <w:color w:val="auto"/>
          <w:szCs w:val="21"/>
          <w:highlight w:val="none"/>
        </w:rPr>
        <w:t xml:space="preserve">(2) </w:t>
      </w:r>
      <w:r>
        <w:rPr>
          <w:rFonts w:hint="eastAsia" w:ascii="宋体" w:hAnsi="宋体" w:eastAsia="宋体" w:cs="Times New Roman"/>
          <w:b w:val="0"/>
          <w:bCs/>
          <w:color w:val="auto"/>
          <w:szCs w:val="21"/>
          <w:highlight w:val="none"/>
          <w:lang w:val="en-US" w:eastAsia="zh-CN"/>
        </w:rPr>
        <w:t>乙方</w:t>
      </w:r>
      <w:r>
        <w:rPr>
          <w:rFonts w:hint="eastAsia" w:ascii="宋体" w:hAnsi="宋体" w:eastAsia="宋体" w:cs="Times New Roman"/>
          <w:b w:val="0"/>
          <w:bCs/>
          <w:color w:val="auto"/>
          <w:szCs w:val="21"/>
          <w:highlight w:val="none"/>
        </w:rPr>
        <w:t>未按时提交合规</w:t>
      </w:r>
      <w:r>
        <w:rPr>
          <w:rFonts w:hint="eastAsia" w:ascii="宋体" w:hAnsi="宋体" w:eastAsia="宋体" w:cs="Times New Roman"/>
          <w:b w:val="0"/>
          <w:bCs/>
          <w:color w:val="auto"/>
          <w:szCs w:val="21"/>
          <w:highlight w:val="none"/>
          <w:lang w:eastAsia="zh-CN"/>
        </w:rPr>
        <w:t>的</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保函的，</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有权暂停支付该</w:t>
      </w:r>
      <w:r>
        <w:rPr>
          <w:rFonts w:hint="eastAsia" w:ascii="宋体" w:hAnsi="宋体" w:eastAsia="宋体" w:cs="Times New Roman"/>
          <w:b w:val="0"/>
          <w:bCs/>
          <w:color w:val="auto"/>
          <w:szCs w:val="21"/>
          <w:highlight w:val="none"/>
          <w:lang w:val="en-US" w:eastAsia="zh-CN"/>
        </w:rPr>
        <w:t>供货通知单项下的</w:t>
      </w:r>
      <w:r>
        <w:rPr>
          <w:rFonts w:hint="eastAsia" w:ascii="宋体" w:hAnsi="宋体" w:eastAsia="宋体" w:cs="Times New Roman"/>
          <w:b w:val="0"/>
          <w:bCs/>
          <w:color w:val="auto"/>
          <w:szCs w:val="21"/>
          <w:highlight w:val="none"/>
        </w:rPr>
        <w:t>货款并暂停后续供货安排直至保函补正。</w:t>
      </w:r>
      <w:bookmarkEnd w:id="623"/>
    </w:p>
    <w:p w14:paraId="52C153EE">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rPr>
      </w:pPr>
      <w:bookmarkStart w:id="624" w:name="_Toc7488"/>
      <w:r>
        <w:rPr>
          <w:rFonts w:hint="eastAsia" w:ascii="宋体" w:hAnsi="宋体" w:eastAsia="宋体" w:cs="Times New Roman"/>
          <w:b w:val="0"/>
          <w:bCs/>
          <w:color w:val="auto"/>
          <w:szCs w:val="21"/>
          <w:highlight w:val="none"/>
        </w:rPr>
        <w:t>4、保函的解除与动态管理</w:t>
      </w:r>
      <w:bookmarkEnd w:id="624"/>
    </w:p>
    <w:p w14:paraId="220F0247">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rPr>
      </w:pPr>
      <w:bookmarkStart w:id="625" w:name="_Toc20113"/>
      <w:r>
        <w:rPr>
          <w:rFonts w:hint="eastAsia" w:ascii="宋体" w:hAnsi="宋体" w:eastAsia="宋体" w:cs="Times New Roman"/>
          <w:b w:val="0"/>
          <w:bCs/>
          <w:color w:val="auto"/>
          <w:szCs w:val="21"/>
          <w:highlight w:val="none"/>
        </w:rPr>
        <w:t>(1) 自动解除：</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完成</w:t>
      </w:r>
      <w:r>
        <w:rPr>
          <w:rFonts w:hint="eastAsia" w:ascii="宋体" w:hAnsi="宋体" w:eastAsia="宋体" w:cs="Times New Roman"/>
          <w:b w:val="0"/>
          <w:bCs/>
          <w:color w:val="auto"/>
          <w:szCs w:val="21"/>
          <w:highlight w:val="none"/>
          <w:lang w:val="en-US" w:eastAsia="zh-CN"/>
        </w:rPr>
        <w:t>供货通知单</w:t>
      </w:r>
      <w:r>
        <w:rPr>
          <w:rFonts w:hint="eastAsia" w:ascii="宋体" w:hAnsi="宋体" w:eastAsia="宋体" w:cs="Times New Roman"/>
          <w:b w:val="0"/>
          <w:bCs/>
          <w:color w:val="auto"/>
          <w:szCs w:val="21"/>
          <w:highlight w:val="none"/>
        </w:rPr>
        <w:t>项下全部货物交付并经</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验收合格后</w:t>
      </w:r>
      <w:r>
        <w:rPr>
          <w:rFonts w:hint="eastAsia" w:ascii="宋体" w:hAnsi="宋体" w:eastAsia="宋体" w:cs="Times New Roman"/>
          <w:color w:val="auto"/>
          <w:szCs w:val="21"/>
          <w:highlight w:val="none"/>
          <w:lang w:eastAsia="zh-CN"/>
        </w:rPr>
        <w:t>二十八（28）日</w:t>
      </w: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保函自动失效；</w:t>
      </w:r>
      <w:bookmarkEnd w:id="625"/>
    </w:p>
    <w:p w14:paraId="0720C53F">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rPr>
      </w:pPr>
      <w:bookmarkStart w:id="626" w:name="_Toc29468"/>
      <w:r>
        <w:rPr>
          <w:rFonts w:hint="eastAsia" w:ascii="宋体" w:hAnsi="宋体" w:eastAsia="宋体" w:cs="Times New Roman"/>
          <w:b w:val="0"/>
          <w:bCs/>
          <w:color w:val="auto"/>
          <w:szCs w:val="21"/>
          <w:highlight w:val="none"/>
        </w:rPr>
        <w:t>(2) 延期要求：如</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保函有效期届满而订单义务未履行完毕，供应商须提前15日办理</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保函延期或替换新保函，否则采购人有权立即索赔；</w:t>
      </w:r>
      <w:bookmarkEnd w:id="626"/>
    </w:p>
    <w:p w14:paraId="72300457">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rPr>
      </w:pPr>
      <w:bookmarkStart w:id="627" w:name="_Toc31538"/>
      <w:r>
        <w:rPr>
          <w:rFonts w:hint="eastAsia" w:ascii="宋体" w:hAnsi="宋体" w:eastAsia="宋体" w:cs="Times New Roman"/>
          <w:b w:val="0"/>
          <w:bCs/>
          <w:color w:val="auto"/>
          <w:szCs w:val="21"/>
          <w:highlight w:val="none"/>
        </w:rPr>
        <w:t>(3) 累计保函：针对多批次小额订单，经</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书面同意，</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可开立覆盖连续【3】个月订单总额的滚动保函，但单</w:t>
      </w:r>
      <w:r>
        <w:rPr>
          <w:rFonts w:hint="eastAsia" w:ascii="宋体" w:hAnsi="宋体" w:eastAsia="宋体" w:cs="Times New Roman"/>
          <w:b w:val="0"/>
          <w:bCs/>
          <w:color w:val="auto"/>
          <w:szCs w:val="21"/>
          <w:highlight w:val="none"/>
          <w:lang w:eastAsia="zh-CN"/>
        </w:rPr>
        <w:t>个</w:t>
      </w:r>
      <w:r>
        <w:rPr>
          <w:rFonts w:hint="eastAsia" w:ascii="宋体" w:hAnsi="宋体" w:eastAsia="宋体" w:cs="Times New Roman"/>
          <w:color w:val="auto"/>
          <w:szCs w:val="21"/>
          <w:highlight w:val="none"/>
          <w:lang w:val="en-US" w:eastAsia="zh-CN"/>
        </w:rPr>
        <w:t>供货通知单</w:t>
      </w:r>
      <w:r>
        <w:rPr>
          <w:rFonts w:hint="eastAsia" w:ascii="宋体" w:hAnsi="宋体" w:eastAsia="宋体" w:cs="Times New Roman"/>
          <w:b w:val="0"/>
          <w:bCs/>
          <w:color w:val="auto"/>
          <w:szCs w:val="21"/>
          <w:highlight w:val="none"/>
        </w:rPr>
        <w:t>付款前仍需完成该</w:t>
      </w:r>
      <w:r>
        <w:rPr>
          <w:rFonts w:hint="eastAsia" w:ascii="宋体" w:hAnsi="宋体" w:eastAsia="宋体" w:cs="Times New Roman"/>
          <w:color w:val="auto"/>
          <w:szCs w:val="21"/>
          <w:highlight w:val="none"/>
          <w:lang w:val="en-US" w:eastAsia="zh-CN"/>
        </w:rPr>
        <w:t>供货通知单</w:t>
      </w:r>
      <w:r>
        <w:rPr>
          <w:rFonts w:hint="eastAsia" w:ascii="宋体" w:hAnsi="宋体" w:eastAsia="宋体" w:cs="Times New Roman"/>
          <w:b w:val="0"/>
          <w:bCs/>
          <w:color w:val="auto"/>
          <w:szCs w:val="21"/>
          <w:highlight w:val="none"/>
        </w:rPr>
        <w:t>在保函中的金额绑定登记。</w:t>
      </w:r>
      <w:bookmarkEnd w:id="627"/>
    </w:p>
    <w:p w14:paraId="5EA3B096">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rPr>
      </w:pPr>
      <w:bookmarkStart w:id="628" w:name="_Toc25664"/>
      <w:r>
        <w:rPr>
          <w:rFonts w:hint="eastAsia" w:ascii="宋体" w:hAnsi="宋体" w:eastAsia="宋体" w:cs="Times New Roman"/>
          <w:b w:val="0"/>
          <w:bCs/>
          <w:color w:val="auto"/>
          <w:szCs w:val="21"/>
          <w:highlight w:val="none"/>
        </w:rPr>
        <w:t>5、违约责任</w:t>
      </w:r>
      <w:bookmarkEnd w:id="628"/>
    </w:p>
    <w:p w14:paraId="27EC18A6">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rPr>
      </w:pPr>
      <w:bookmarkStart w:id="629" w:name="_Toc15833"/>
      <w:r>
        <w:rPr>
          <w:rFonts w:hint="eastAsia" w:ascii="宋体" w:hAnsi="宋体" w:eastAsia="宋体" w:cs="Times New Roman"/>
          <w:b w:val="0"/>
          <w:bCs/>
          <w:color w:val="auto"/>
          <w:szCs w:val="21"/>
          <w:highlight w:val="none"/>
          <w:lang w:val="en-US" w:eastAsia="zh-CN"/>
        </w:rPr>
        <w:t>乙方</w:t>
      </w:r>
      <w:r>
        <w:rPr>
          <w:rFonts w:hint="eastAsia" w:ascii="宋体" w:hAnsi="宋体" w:eastAsia="宋体" w:cs="Times New Roman"/>
          <w:b w:val="0"/>
          <w:bCs/>
          <w:color w:val="auto"/>
          <w:szCs w:val="21"/>
          <w:highlight w:val="none"/>
        </w:rPr>
        <w:t>未履行本条项下</w:t>
      </w:r>
      <w:r>
        <w:rPr>
          <w:rFonts w:hint="eastAsia" w:ascii="宋体" w:hAnsi="宋体" w:eastAsia="宋体" w:cs="Times New Roman"/>
          <w:b w:val="0"/>
          <w:bCs/>
          <w:color w:val="auto"/>
          <w:szCs w:val="21"/>
          <w:highlight w:val="none"/>
          <w:lang w:val="en-US" w:eastAsia="zh-CN"/>
        </w:rPr>
        <w:t>供货</w:t>
      </w:r>
      <w:r>
        <w:rPr>
          <w:rFonts w:hint="eastAsia" w:ascii="宋体" w:hAnsi="宋体" w:eastAsia="宋体" w:cs="Times New Roman"/>
          <w:b w:val="0"/>
          <w:bCs/>
          <w:color w:val="auto"/>
          <w:szCs w:val="21"/>
          <w:highlight w:val="none"/>
        </w:rPr>
        <w:t>保函开立、延期或金额绑定义务的：</w:t>
      </w:r>
      <w:bookmarkEnd w:id="629"/>
    </w:p>
    <w:p w14:paraId="2BFCC872">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rPr>
      </w:pPr>
      <w:bookmarkStart w:id="630" w:name="_Toc26800"/>
      <w:r>
        <w:rPr>
          <w:rFonts w:hint="eastAsia" w:ascii="宋体" w:hAnsi="宋体" w:eastAsia="宋体" w:cs="Times New Roman"/>
          <w:b w:val="0"/>
          <w:bCs/>
          <w:color w:val="auto"/>
          <w:szCs w:val="21"/>
          <w:highlight w:val="none"/>
        </w:rPr>
        <w:t>(1) 按该</w:t>
      </w:r>
      <w:r>
        <w:rPr>
          <w:rFonts w:hint="eastAsia" w:ascii="宋体" w:hAnsi="宋体" w:eastAsia="宋体" w:cs="Times New Roman"/>
          <w:color w:val="auto"/>
          <w:szCs w:val="21"/>
          <w:highlight w:val="none"/>
          <w:lang w:val="en-US" w:eastAsia="zh-CN"/>
        </w:rPr>
        <w:t>供货通知单</w:t>
      </w:r>
      <w:r>
        <w:rPr>
          <w:rFonts w:hint="eastAsia" w:ascii="宋体" w:hAnsi="宋体" w:eastAsia="宋体" w:cs="Times New Roman"/>
          <w:b w:val="0"/>
          <w:bCs/>
          <w:color w:val="auto"/>
          <w:szCs w:val="21"/>
          <w:highlight w:val="none"/>
        </w:rPr>
        <w:t>金额的【</w:t>
      </w:r>
      <w:r>
        <w:rPr>
          <w:rFonts w:hint="eastAsia" w:ascii="宋体" w:hAnsi="宋体" w:eastAsia="宋体" w:cs="Times New Roman"/>
          <w:b w:val="0"/>
          <w:bCs/>
          <w:color w:val="auto"/>
          <w:szCs w:val="21"/>
          <w:highlight w:val="none"/>
          <w:lang w:eastAsia="zh-CN"/>
        </w:rPr>
        <w:t>5</w:t>
      </w:r>
      <w:r>
        <w:rPr>
          <w:rFonts w:hint="eastAsia" w:ascii="宋体" w:hAnsi="宋体" w:eastAsia="宋体" w:cs="Times New Roman"/>
          <w:b w:val="0"/>
          <w:bCs/>
          <w:color w:val="auto"/>
          <w:szCs w:val="21"/>
          <w:highlight w:val="none"/>
          <w:lang w:val="en-US" w:eastAsia="zh-CN"/>
        </w:rPr>
        <w:t>‰</w:t>
      </w:r>
      <w:r>
        <w:rPr>
          <w:rFonts w:hint="eastAsia" w:ascii="宋体" w:hAnsi="宋体" w:eastAsia="宋体" w:cs="Times New Roman"/>
          <w:b w:val="0"/>
          <w:bCs/>
          <w:color w:val="auto"/>
          <w:szCs w:val="21"/>
          <w:highlight w:val="none"/>
        </w:rPr>
        <w:t>】/日向</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支付违约金；</w:t>
      </w:r>
      <w:bookmarkEnd w:id="630"/>
    </w:p>
    <w:p w14:paraId="09B513BB">
      <w:pPr>
        <w:adjustRightInd w:val="0"/>
        <w:snapToGrid w:val="0"/>
        <w:spacing w:line="360" w:lineRule="auto"/>
        <w:ind w:firstLine="371" w:firstLineChars="177"/>
        <w:outlineLvl w:val="1"/>
        <w:rPr>
          <w:rFonts w:hint="eastAsia" w:ascii="宋体" w:hAnsi="宋体" w:eastAsia="宋体" w:cs="Times New Roman"/>
          <w:b w:val="0"/>
          <w:bCs/>
          <w:color w:val="auto"/>
          <w:szCs w:val="21"/>
          <w:highlight w:val="none"/>
        </w:rPr>
      </w:pPr>
      <w:bookmarkStart w:id="631" w:name="_Toc8054"/>
      <w:r>
        <w:rPr>
          <w:rFonts w:hint="eastAsia" w:ascii="宋体" w:hAnsi="宋体" w:eastAsia="宋体" w:cs="Times New Roman"/>
          <w:b w:val="0"/>
          <w:bCs/>
          <w:color w:val="auto"/>
          <w:szCs w:val="21"/>
          <w:highlight w:val="none"/>
        </w:rPr>
        <w:t xml:space="preserve">(2) </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rPr>
        <w:t>有权</w:t>
      </w:r>
      <w:r>
        <w:rPr>
          <w:rFonts w:hint="eastAsia" w:ascii="宋体" w:hAnsi="宋体" w:eastAsia="宋体" w:cs="Times New Roman"/>
          <w:b w:val="0"/>
          <w:bCs/>
          <w:color w:val="auto"/>
          <w:szCs w:val="21"/>
          <w:highlight w:val="none"/>
          <w:lang w:val="en-US" w:eastAsia="zh-CN"/>
        </w:rPr>
        <w:t>终止</w:t>
      </w:r>
      <w:r>
        <w:rPr>
          <w:rFonts w:hint="eastAsia" w:ascii="宋体" w:hAnsi="宋体" w:eastAsia="宋体" w:cs="Times New Roman"/>
          <w:b w:val="0"/>
          <w:bCs/>
          <w:color w:val="auto"/>
          <w:szCs w:val="21"/>
          <w:highlight w:val="none"/>
        </w:rPr>
        <w:t>该</w:t>
      </w:r>
      <w:r>
        <w:rPr>
          <w:rFonts w:hint="eastAsia" w:ascii="宋体" w:hAnsi="宋体" w:eastAsia="宋体" w:cs="Times New Roman"/>
          <w:b w:val="0"/>
          <w:bCs/>
          <w:color w:val="auto"/>
          <w:szCs w:val="21"/>
          <w:highlight w:val="none"/>
          <w:lang w:val="en-US" w:eastAsia="zh-CN"/>
        </w:rPr>
        <w:t>供货通知单</w:t>
      </w:r>
      <w:r>
        <w:rPr>
          <w:rFonts w:hint="eastAsia" w:ascii="宋体" w:hAnsi="宋体" w:eastAsia="宋体" w:cs="Times New Roman"/>
          <w:b w:val="0"/>
          <w:bCs/>
          <w:color w:val="auto"/>
          <w:szCs w:val="21"/>
          <w:highlight w:val="none"/>
        </w:rPr>
        <w:t>并追索</w:t>
      </w:r>
      <w:r>
        <w:rPr>
          <w:rFonts w:hint="eastAsia" w:ascii="宋体" w:hAnsi="宋体" w:eastAsia="宋体" w:cs="Times New Roman"/>
          <w:b w:val="0"/>
          <w:bCs/>
          <w:color w:val="auto"/>
          <w:szCs w:val="21"/>
          <w:highlight w:val="none"/>
          <w:lang w:val="en-US" w:eastAsia="zh-CN"/>
        </w:rPr>
        <w:t>供货通知单项下</w:t>
      </w:r>
      <w:r>
        <w:rPr>
          <w:rFonts w:hint="eastAsia" w:ascii="宋体" w:hAnsi="宋体" w:eastAsia="宋体" w:cs="Times New Roman"/>
          <w:b w:val="0"/>
          <w:bCs/>
          <w:color w:val="auto"/>
          <w:szCs w:val="21"/>
          <w:highlight w:val="none"/>
        </w:rPr>
        <w:t>已付货款</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如有</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rPr>
        <w:t>及资金占用成本（按LPR的150%计息）。</w:t>
      </w:r>
      <w:bookmarkEnd w:id="631"/>
    </w:p>
    <w:p w14:paraId="07A0E752">
      <w:pPr>
        <w:adjustRightInd w:val="0"/>
        <w:snapToGrid w:val="0"/>
        <w:spacing w:line="360" w:lineRule="auto"/>
        <w:ind w:firstLine="373" w:firstLineChars="177"/>
        <w:outlineLvl w:val="1"/>
        <w:rPr>
          <w:rFonts w:hint="eastAsia" w:ascii="宋体" w:hAnsi="宋体" w:eastAsia="宋体" w:cs="Times New Roman"/>
          <w:b/>
          <w:color w:val="auto"/>
          <w:szCs w:val="21"/>
          <w:highlight w:val="none"/>
        </w:rPr>
      </w:pPr>
    </w:p>
    <w:p w14:paraId="345FF1A5">
      <w:pPr>
        <w:adjustRightInd w:val="0"/>
        <w:snapToGrid w:val="0"/>
        <w:spacing w:line="360" w:lineRule="auto"/>
        <w:ind w:firstLine="373" w:firstLineChars="177"/>
        <w:outlineLvl w:val="1"/>
        <w:rPr>
          <w:rFonts w:ascii="宋体" w:hAnsi="宋体" w:eastAsia="宋体" w:cs="Times New Roman"/>
          <w:b/>
          <w:color w:val="auto"/>
          <w:szCs w:val="21"/>
          <w:highlight w:val="none"/>
        </w:rPr>
      </w:pPr>
      <w:bookmarkStart w:id="632" w:name="_Toc31411"/>
      <w:r>
        <w:rPr>
          <w:rFonts w:hint="eastAsia" w:ascii="宋体" w:hAnsi="宋体" w:eastAsia="宋体" w:cs="Times New Roman"/>
          <w:b/>
          <w:color w:val="auto"/>
          <w:szCs w:val="21"/>
          <w:highlight w:val="none"/>
          <w:lang w:val="en-US" w:eastAsia="zh-CN"/>
        </w:rPr>
        <w:t xml:space="preserve">第十四条 </w:t>
      </w:r>
      <w:r>
        <w:rPr>
          <w:rFonts w:hint="eastAsia" w:ascii="宋体" w:hAnsi="宋体" w:eastAsia="宋体" w:cs="Times New Roman"/>
          <w:b/>
          <w:color w:val="auto"/>
          <w:szCs w:val="21"/>
          <w:highlight w:val="none"/>
        </w:rPr>
        <w:t>技术资料</w:t>
      </w:r>
      <w:bookmarkEnd w:id="632"/>
    </w:p>
    <w:p w14:paraId="0003A739">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应按《用户需求书》的要求向甲方提供完整的所有供货设备的必要技术资料。乙方必须保证技术资料符合安装需求，如因乙方提供的技术资料错误导致设备无法安装的，由此造成的一切损失由乙方承担。具体技术资料要求按照招标文件用户需求书的规定执行。</w:t>
      </w:r>
    </w:p>
    <w:p w14:paraId="00B4A032">
      <w:pPr>
        <w:adjustRightInd w:val="0"/>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2、乙方在设备交货的同时应提供最终设备的全套（简体中文，如是外文应附中文译本）资料（含纸质和电子文件）给甲方，包括但不限于：  </w:t>
      </w:r>
    </w:p>
    <w:p w14:paraId="2854755F">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（1）完整的装箱单、产品出厂检验合格证；</w:t>
      </w:r>
    </w:p>
    <w:p w14:paraId="57552BD1">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（2）产品说明书；</w:t>
      </w:r>
    </w:p>
    <w:p w14:paraId="314582AC">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val="en-US" w:eastAsia="zh-CN"/>
        </w:rPr>
        <w:t>东莞市</w:t>
      </w:r>
      <w:r>
        <w:rPr>
          <w:rFonts w:hint="eastAsia" w:ascii="宋体" w:hAnsi="宋体" w:eastAsia="宋体" w:cs="Times New Roman"/>
          <w:color w:val="auto"/>
          <w:szCs w:val="21"/>
          <w:highlight w:val="none"/>
        </w:rPr>
        <w:t>法定</w:t>
      </w:r>
      <w:r>
        <w:rPr>
          <w:rFonts w:hint="eastAsia" w:ascii="宋体" w:hAnsi="宋体" w:eastAsia="宋体" w:cs="Times New Roman"/>
          <w:color w:val="auto"/>
          <w:szCs w:val="21"/>
          <w:highlight w:val="none"/>
          <w:lang w:val="en-US" w:eastAsia="zh-CN"/>
        </w:rPr>
        <w:t>水表</w:t>
      </w:r>
      <w:r>
        <w:rPr>
          <w:rFonts w:hint="eastAsia" w:ascii="宋体" w:hAnsi="宋体" w:eastAsia="宋体" w:cs="Times New Roman"/>
          <w:color w:val="auto"/>
          <w:szCs w:val="21"/>
          <w:highlight w:val="none"/>
        </w:rPr>
        <w:t>计量检定机构出具的检定合格证书</w:t>
      </w:r>
      <w:r>
        <w:rPr>
          <w:rFonts w:hint="eastAsia" w:ascii="宋体" w:hAnsi="宋体" w:eastAsia="宋体" w:cs="宋体"/>
          <w:b w:val="0"/>
          <w:bCs w:val="0"/>
          <w:color w:val="auto"/>
          <w:sz w:val="21"/>
          <w:szCs w:val="21"/>
          <w:highlight w:val="none"/>
          <w:lang w:val="en-US" w:eastAsia="zh-CN"/>
        </w:rPr>
        <w:t>（超出东莞市法定水表检定机构检测能力范围的，须由上级主管部门指定的水表检定机构出具检定合格证书）</w:t>
      </w:r>
      <w:r>
        <w:rPr>
          <w:rFonts w:hint="eastAsia" w:ascii="宋体" w:hAnsi="宋体" w:eastAsia="宋体" w:cs="Times New Roman"/>
          <w:color w:val="auto"/>
          <w:szCs w:val="21"/>
          <w:highlight w:val="none"/>
        </w:rPr>
        <w:t>；</w:t>
      </w:r>
    </w:p>
    <w:p w14:paraId="4C9C3D41">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（4）与货物使用、维护或检验等所需的相关其他文件；</w:t>
      </w:r>
    </w:p>
    <w:p w14:paraId="3CF41960">
      <w:pPr>
        <w:adjustRightInd w:val="0"/>
        <w:snapToGrid w:val="0"/>
        <w:spacing w:line="360" w:lineRule="auto"/>
        <w:ind w:firstLine="373" w:firstLineChars="177"/>
        <w:rPr>
          <w:rFonts w:ascii="宋体" w:hAnsi="宋体" w:eastAsia="宋体" w:cs="Times New Roman"/>
          <w:b/>
          <w:color w:val="auto"/>
          <w:szCs w:val="21"/>
          <w:highlight w:val="none"/>
        </w:rPr>
      </w:pPr>
    </w:p>
    <w:p w14:paraId="115771FC">
      <w:pPr>
        <w:adjustRightInd w:val="0"/>
        <w:snapToGrid w:val="0"/>
        <w:spacing w:line="360" w:lineRule="auto"/>
        <w:ind w:firstLine="373" w:firstLineChars="177"/>
        <w:outlineLvl w:val="1"/>
        <w:rPr>
          <w:rFonts w:ascii="宋体" w:hAnsi="宋体" w:eastAsia="宋体" w:cs="Times New Roman"/>
          <w:b/>
          <w:color w:val="auto"/>
          <w:szCs w:val="21"/>
          <w:highlight w:val="none"/>
        </w:rPr>
      </w:pPr>
      <w:bookmarkStart w:id="633" w:name="_Toc14844"/>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五</w:t>
      </w:r>
      <w:r>
        <w:rPr>
          <w:rFonts w:hint="eastAsia" w:ascii="宋体" w:hAnsi="宋体" w:eastAsia="宋体" w:cs="Times New Roman"/>
          <w:b/>
          <w:color w:val="auto"/>
          <w:szCs w:val="21"/>
          <w:highlight w:val="none"/>
        </w:rPr>
        <w:t>条 权利保证</w:t>
      </w:r>
      <w:bookmarkEnd w:id="633"/>
    </w:p>
    <w:p w14:paraId="24F39DF1">
      <w:pPr>
        <w:adjustRightInd w:val="0"/>
        <w:snapToGrid w:val="0"/>
        <w:spacing w:line="360" w:lineRule="auto"/>
        <w:ind w:firstLine="424" w:firstLine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乙方应保证合同项下提供的货物不侵犯任何第三方的专利、商标、版权以及其它权利，否则，乙方须承担因此产生的全部责任及费用，如因此造成甲方损失的，乙方应予以赔偿。</w:t>
      </w:r>
    </w:p>
    <w:p w14:paraId="05CCAC6C">
      <w:pPr>
        <w:adjustRightInd w:val="0"/>
        <w:snapToGrid w:val="0"/>
        <w:spacing w:line="360" w:lineRule="auto"/>
        <w:ind w:firstLine="373" w:firstLineChars="177"/>
        <w:rPr>
          <w:rFonts w:ascii="宋体" w:hAnsi="宋体" w:eastAsia="宋体" w:cs="Times New Roman"/>
          <w:b/>
          <w:color w:val="auto"/>
          <w:szCs w:val="21"/>
          <w:highlight w:val="none"/>
        </w:rPr>
      </w:pPr>
    </w:p>
    <w:p w14:paraId="0110A1F0">
      <w:pPr>
        <w:adjustRightInd w:val="0"/>
        <w:snapToGrid w:val="0"/>
        <w:spacing w:line="360" w:lineRule="auto"/>
        <w:ind w:firstLine="373" w:firstLineChars="177"/>
        <w:outlineLvl w:val="1"/>
        <w:rPr>
          <w:rFonts w:ascii="宋体" w:hAnsi="宋体" w:eastAsia="宋体" w:cs="Times New Roman"/>
          <w:b/>
          <w:color w:val="auto"/>
          <w:szCs w:val="21"/>
          <w:highlight w:val="none"/>
        </w:rPr>
      </w:pPr>
      <w:bookmarkStart w:id="634" w:name="_Toc11561"/>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六</w:t>
      </w:r>
      <w:r>
        <w:rPr>
          <w:rFonts w:hint="eastAsia" w:ascii="宋体" w:hAnsi="宋体" w:eastAsia="宋体" w:cs="Times New Roman"/>
          <w:b/>
          <w:color w:val="auto"/>
          <w:szCs w:val="21"/>
          <w:highlight w:val="none"/>
        </w:rPr>
        <w:t>条 不可抗力</w:t>
      </w:r>
      <w:bookmarkEnd w:id="634"/>
    </w:p>
    <w:p w14:paraId="1AB3BDB4">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任何一方因不可抗力（指战争、动乱、瘟疫、洪水、地震或其他灾害，以及其他不可预见、不可防止并不能避免或克服的事件）引起的履行延迟或履行不能的，不需承担违约责任。但受不可抗力影响的一方应于不可抗力发生后</w:t>
      </w:r>
      <w:r>
        <w:rPr>
          <w:rFonts w:ascii="宋体" w:hAnsi="宋体" w:eastAsia="宋体" w:cs="Times New Roman"/>
          <w:color w:val="auto"/>
          <w:szCs w:val="21"/>
          <w:highlight w:val="none"/>
          <w:u w:val="single"/>
        </w:rPr>
        <w:t>7</w:t>
      </w:r>
      <w:r>
        <w:rPr>
          <w:rFonts w:hint="eastAsia" w:ascii="宋体" w:hAnsi="宋体" w:eastAsia="宋体" w:cs="Times New Roman"/>
          <w:color w:val="auto"/>
          <w:szCs w:val="21"/>
          <w:highlight w:val="none"/>
        </w:rPr>
        <w:t>日内书面通知另一方，并在不可抗力事件发生后 7 日内，提供</w:t>
      </w:r>
      <w:r>
        <w:rPr>
          <w:rFonts w:hint="eastAsia" w:ascii="宋体" w:hAnsi="宋体" w:eastAsia="宋体" w:cs="Times New Roman"/>
          <w:color w:val="auto"/>
          <w:szCs w:val="21"/>
          <w:highlight w:val="none"/>
          <w:lang w:val="en-US" w:eastAsia="zh-CN"/>
        </w:rPr>
        <w:t>书面</w:t>
      </w:r>
      <w:r>
        <w:rPr>
          <w:rFonts w:hint="eastAsia" w:ascii="宋体" w:hAnsi="宋体" w:eastAsia="宋体" w:cs="Times New Roman"/>
          <w:color w:val="auto"/>
          <w:szCs w:val="21"/>
          <w:highlight w:val="none"/>
        </w:rPr>
        <w:t>证明</w:t>
      </w:r>
      <w:r>
        <w:rPr>
          <w:rFonts w:hint="eastAsia" w:ascii="宋体" w:hAnsi="宋体" w:eastAsia="宋体" w:cs="Times New Roman"/>
          <w:color w:val="auto"/>
          <w:szCs w:val="21"/>
          <w:highlight w:val="none"/>
          <w:lang w:val="en-US" w:eastAsia="zh-CN"/>
        </w:rPr>
        <w:t>材料</w:t>
      </w:r>
      <w:r>
        <w:rPr>
          <w:rFonts w:hint="eastAsia" w:ascii="宋体" w:hAnsi="宋体" w:eastAsia="宋体" w:cs="Times New Roman"/>
          <w:color w:val="auto"/>
          <w:szCs w:val="21"/>
          <w:highlight w:val="none"/>
        </w:rPr>
        <w:t>，并应采取措施防止对方损失进一步扩大，如未采取相应措施导致另一方损失扩大的，受不可抗力影响一方应就扩大损失部分承担赔偿责任。如果不可抗力事件发生后，乙方不能按甲方的最迟交货期交货，则甲方有权解除本合同并不承担任何责任。</w:t>
      </w:r>
    </w:p>
    <w:p w14:paraId="2A944F2C">
      <w:pPr>
        <w:adjustRightInd w:val="0"/>
        <w:snapToGrid w:val="0"/>
        <w:spacing w:line="360" w:lineRule="auto"/>
        <w:ind w:firstLine="373" w:firstLineChars="177"/>
        <w:rPr>
          <w:rFonts w:ascii="宋体" w:hAnsi="宋体" w:eastAsia="宋体" w:cs="Times New Roman"/>
          <w:b/>
          <w:color w:val="auto"/>
          <w:szCs w:val="21"/>
          <w:highlight w:val="none"/>
        </w:rPr>
      </w:pPr>
    </w:p>
    <w:p w14:paraId="58ADAFEB">
      <w:pPr>
        <w:adjustRightInd w:val="0"/>
        <w:snapToGrid w:val="0"/>
        <w:spacing w:line="360" w:lineRule="auto"/>
        <w:ind w:firstLine="373" w:firstLineChars="177"/>
        <w:outlineLvl w:val="1"/>
        <w:rPr>
          <w:rFonts w:ascii="宋体" w:hAnsi="宋体" w:eastAsia="宋体" w:cs="Times New Roman"/>
          <w:b/>
          <w:color w:val="auto"/>
          <w:szCs w:val="21"/>
          <w:highlight w:val="none"/>
        </w:rPr>
      </w:pPr>
      <w:bookmarkStart w:id="635" w:name="_Toc29252"/>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七</w:t>
      </w:r>
      <w:r>
        <w:rPr>
          <w:rFonts w:hint="eastAsia" w:ascii="宋体" w:hAnsi="宋体" w:eastAsia="宋体" w:cs="Times New Roman"/>
          <w:b/>
          <w:color w:val="auto"/>
          <w:szCs w:val="21"/>
          <w:highlight w:val="none"/>
        </w:rPr>
        <w:t>条 索赔</w:t>
      </w:r>
      <w:bookmarkEnd w:id="635"/>
    </w:p>
    <w:p w14:paraId="5AD3D9A5">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1、在货物验收、使用过程中，甲方如对货物（包括但不限于其规格、数量、质量等）有异议的，有权向乙方提出索赔，乙方应在甲方发出索赔通知后</w:t>
      </w: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日内作出答复，并与甲方现场确认货物的质量问题后进行理赔；乙方未在7日内作出答复的，视为乙方同意甲方的索赔通知及按通知所确定的款项向甲方理赔。乙方根据合同约定应承担更换或退货责任的，乙方应立即根据本合同的约定承担免费更换或退货责任。</w:t>
      </w:r>
    </w:p>
    <w:p w14:paraId="639E2839">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2、如双方对货物的质量问题存在争议的，双方同意在质量问题发生后 7 日内提交东莞市质检部门或有资质及鉴定能力的鉴定机构进行质量鉴定后确认，鉴定费由乙方先行垫付，鉴定结果确定后，质量符合合同（含附件）约定的，鉴定费由甲方承担，否则由乙方承担。</w:t>
      </w:r>
    </w:p>
    <w:p w14:paraId="093B56AB">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3、如果乙方对甲方提出的异议及索赔负有责任，乙方应按照甲方同意的下列一种或多种方式解决索赔事宜：</w:t>
      </w:r>
    </w:p>
    <w:p w14:paraId="30CDBA08">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（1）根据甲方要求予以退货，在甲方发出退货通知后 7 日内将退货货物运回，返还甲方已支付的全部货款，并承担因此产生的全部费用，以及赔偿因此给甲方造成的损失。</w:t>
      </w:r>
    </w:p>
    <w:p w14:paraId="26DA65BA">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（2）根据甲方要求承担货物的更换责任，乙方应于甲方发出更换通知后 7 日内更换全新并符合本合同的规定的货物，乙方应承担因此产生的全部费用并赔偿甲方因此遭受的损失，更换货物的质保期应按本合同的相关规定重新计算。</w:t>
      </w:r>
    </w:p>
    <w:p w14:paraId="2481DD45">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）当甲方损失无法计算时，乙方同意按合同暂定</w:t>
      </w:r>
      <w:r>
        <w:rPr>
          <w:rFonts w:hint="eastAsia" w:ascii="宋体" w:hAnsi="宋体" w:eastAsia="宋体" w:cs="Times New Roman"/>
          <w:bCs/>
          <w:color w:val="auto"/>
          <w:szCs w:val="21"/>
          <w:highlight w:val="none"/>
        </w:rPr>
        <w:t>总</w:t>
      </w:r>
      <w:r>
        <w:rPr>
          <w:rFonts w:hint="eastAsia" w:ascii="宋体" w:hAnsi="宋体" w:eastAsia="宋体" w:cs="Times New Roman"/>
          <w:color w:val="auto"/>
          <w:szCs w:val="21"/>
          <w:highlight w:val="none"/>
        </w:rPr>
        <w:t>价</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w:t>
      </w:r>
      <w:r>
        <w:rPr>
          <w:rFonts w:hint="eastAsia" w:ascii="宋体" w:hAnsi="宋体" w:eastAsia="宋体" w:cs="Times New Roman"/>
          <w:color w:val="auto"/>
          <w:szCs w:val="21"/>
          <w:highlight w:val="none"/>
        </w:rPr>
        <w:t>的</w:t>
      </w:r>
      <w:r>
        <w:rPr>
          <w:rFonts w:ascii="宋体" w:hAnsi="宋体" w:eastAsia="宋体" w:cs="Times New Roman"/>
          <w:color w:val="auto"/>
          <w:szCs w:val="21"/>
          <w:highlight w:val="none"/>
        </w:rPr>
        <w:t>20</w:t>
      </w:r>
      <w:r>
        <w:rPr>
          <w:rFonts w:hint="eastAsia" w:ascii="宋体" w:hAnsi="宋体" w:eastAsia="宋体" w:cs="Times New Roman"/>
          <w:color w:val="auto"/>
          <w:szCs w:val="21"/>
          <w:highlight w:val="none"/>
        </w:rPr>
        <w:t>%计算赔偿金。</w:t>
      </w:r>
    </w:p>
    <w:p w14:paraId="6DED7903">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如果在甲方发出索赔通知后30天内，乙方未作书面答复，上述索赔应视为已被乙方接受。甲方将启动履约担保支付或从未付货款中扣除索赔金额。如果该等款项不足以补偿索赔金额，甲方有权向乙方提出不足部分的补偿。</w:t>
      </w:r>
    </w:p>
    <w:p w14:paraId="6F9121D9">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）索赔金额、甲方损失以及因索赔所发生的费用，甲方有权启动履约担保支付或从未付货款中直接扣除。</w:t>
      </w:r>
    </w:p>
    <w:p w14:paraId="6D1C74AB">
      <w:pPr>
        <w:adjustRightInd w:val="0"/>
        <w:snapToGrid w:val="0"/>
        <w:spacing w:line="360" w:lineRule="auto"/>
        <w:ind w:firstLine="373" w:firstLineChars="177"/>
        <w:rPr>
          <w:rFonts w:ascii="宋体" w:hAnsi="宋体" w:eastAsia="宋体" w:cs="Times New Roman"/>
          <w:b/>
          <w:color w:val="auto"/>
          <w:szCs w:val="21"/>
          <w:highlight w:val="none"/>
        </w:rPr>
      </w:pPr>
    </w:p>
    <w:p w14:paraId="7A70E1BD">
      <w:pPr>
        <w:adjustRightInd w:val="0"/>
        <w:snapToGrid w:val="0"/>
        <w:spacing w:line="360" w:lineRule="auto"/>
        <w:ind w:firstLine="373" w:firstLineChars="177"/>
        <w:outlineLvl w:val="1"/>
        <w:rPr>
          <w:rFonts w:ascii="Times New Roman" w:hAnsi="Times New Roman" w:eastAsia="宋体" w:cs="Times New Roman"/>
          <w:color w:val="auto"/>
          <w:szCs w:val="24"/>
          <w:highlight w:val="none"/>
        </w:rPr>
      </w:pPr>
      <w:bookmarkStart w:id="636" w:name="_Toc7817"/>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八</w:t>
      </w:r>
      <w:r>
        <w:rPr>
          <w:rFonts w:hint="eastAsia" w:ascii="宋体" w:hAnsi="宋体" w:eastAsia="宋体" w:cs="Times New Roman"/>
          <w:b/>
          <w:color w:val="auto"/>
          <w:szCs w:val="21"/>
          <w:highlight w:val="none"/>
        </w:rPr>
        <w:t>条 违约责任</w:t>
      </w:r>
      <w:bookmarkEnd w:id="636"/>
    </w:p>
    <w:p w14:paraId="71AA828B">
      <w:pPr>
        <w:adjustRightInd w:val="0"/>
        <w:snapToGrid w:val="0"/>
        <w:spacing w:line="360" w:lineRule="auto"/>
        <w:ind w:firstLine="371" w:firstLineChars="177"/>
        <w:rPr>
          <w:rFonts w:ascii="宋体" w:hAnsi="宋体" w:eastAsia="宋体" w:cs="Times New Roman"/>
          <w:color w:val="auto"/>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、乙方未</w:t>
      </w:r>
      <w:r>
        <w:rPr>
          <w:rFonts w:hint="eastAsia" w:ascii="宋体" w:hAnsi="宋体" w:eastAsia="宋体" w:cs="Times New Roman"/>
          <w:color w:val="auto"/>
          <w:szCs w:val="21"/>
          <w:highlight w:val="none"/>
          <w:lang w:val="en-US" w:eastAsia="zh-CN"/>
        </w:rPr>
        <w:t>按供货通知单</w:t>
      </w:r>
      <w:r>
        <w:rPr>
          <w:rFonts w:hint="eastAsia" w:ascii="宋体" w:hAnsi="宋体" w:eastAsia="宋体" w:cs="Times New Roman"/>
          <w:color w:val="auto"/>
          <w:szCs w:val="21"/>
          <w:highlight w:val="none"/>
        </w:rPr>
        <w:t>约定的时间完成交货（部分交货视为未完成交货），或未在规定的时间内承担相应的更换、退货责任的，每逾期一日，应按合同暂定</w:t>
      </w:r>
      <w:r>
        <w:rPr>
          <w:rFonts w:hint="eastAsia" w:ascii="宋体" w:hAnsi="宋体" w:eastAsia="宋体" w:cs="Times New Roman"/>
          <w:bCs/>
          <w:color w:val="auto"/>
          <w:szCs w:val="21"/>
          <w:highlight w:val="none"/>
        </w:rPr>
        <w:t>总</w:t>
      </w:r>
      <w:r>
        <w:rPr>
          <w:rFonts w:hint="eastAsia" w:ascii="宋体" w:hAnsi="宋体" w:eastAsia="宋体" w:cs="Times New Roman"/>
          <w:color w:val="auto"/>
          <w:szCs w:val="21"/>
          <w:highlight w:val="none"/>
        </w:rPr>
        <w:t>价</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w:t>
      </w:r>
      <w:r>
        <w:rPr>
          <w:rFonts w:hint="eastAsia" w:ascii="宋体" w:hAnsi="宋体" w:eastAsia="宋体" w:cs="Times New Roman"/>
          <w:color w:val="auto"/>
          <w:szCs w:val="21"/>
          <w:highlight w:val="none"/>
        </w:rPr>
        <w:t>的5‰向甲方支付违约金。乙方逾期超过_</w:t>
      </w:r>
      <w:r>
        <w:rPr>
          <w:rFonts w:hint="eastAsia" w:ascii="宋体" w:hAnsi="宋体" w:eastAsia="宋体" w:cs="Times New Roman"/>
          <w:color w:val="auto"/>
          <w:szCs w:val="21"/>
          <w:highlight w:val="none"/>
          <w:u w:val="single"/>
        </w:rPr>
        <w:t>30</w:t>
      </w:r>
      <w:r>
        <w:rPr>
          <w:rFonts w:hint="eastAsia" w:ascii="宋体" w:hAnsi="宋体" w:eastAsia="宋体" w:cs="Times New Roman"/>
          <w:color w:val="auto"/>
          <w:szCs w:val="21"/>
          <w:highlight w:val="none"/>
        </w:rPr>
        <w:t>_日的，甲方可单方解除本合同，无论甲方是否解除本合同，乙方除支付前述逾期违约金外，还应按合同暂定</w:t>
      </w:r>
      <w:r>
        <w:rPr>
          <w:rFonts w:hint="eastAsia" w:ascii="宋体" w:hAnsi="宋体" w:eastAsia="宋体" w:cs="Times New Roman"/>
          <w:bCs/>
          <w:color w:val="auto"/>
          <w:szCs w:val="21"/>
          <w:highlight w:val="none"/>
        </w:rPr>
        <w:t>总</w:t>
      </w:r>
      <w:r>
        <w:rPr>
          <w:rFonts w:hint="eastAsia" w:ascii="宋体" w:hAnsi="宋体" w:eastAsia="宋体" w:cs="Times New Roman"/>
          <w:color w:val="auto"/>
          <w:szCs w:val="21"/>
          <w:highlight w:val="none"/>
        </w:rPr>
        <w:t>价</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w:t>
      </w:r>
      <w:r>
        <w:rPr>
          <w:rFonts w:hint="eastAsia" w:ascii="宋体" w:hAnsi="宋体" w:eastAsia="宋体" w:cs="Times New Roman"/>
          <w:color w:val="auto"/>
          <w:szCs w:val="21"/>
          <w:highlight w:val="none"/>
        </w:rPr>
        <w:t>的5%向甲方支付赔偿金。</w:t>
      </w:r>
      <w:r>
        <w:rPr>
          <w:rFonts w:hint="eastAsia" w:ascii="Times New Roman" w:hAnsi="宋体" w:eastAsia="宋体" w:cs="Times New Roman"/>
          <w:color w:val="auto"/>
          <w:szCs w:val="21"/>
          <w:highlight w:val="none"/>
        </w:rPr>
        <w:t>该部分金额不足以弥补甲方损失的，甲方还有权另行追偿。</w:t>
      </w:r>
    </w:p>
    <w:p w14:paraId="5CB37400">
      <w:pPr>
        <w:adjustRightInd w:val="0"/>
        <w:snapToGrid w:val="0"/>
        <w:spacing w:line="360" w:lineRule="auto"/>
        <w:ind w:firstLine="371" w:firstLineChars="177"/>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、乙方所交货物（包括但不限于品种、型号、规格、质量、性能）不符合合同规定的，甲方有权拒收，并要求乙方免费予以更换或退货，同时乙方应向甲方支付该批货款金额</w:t>
      </w:r>
      <w:r>
        <w:rPr>
          <w:rFonts w:hint="eastAsia" w:ascii="宋体" w:hAnsi="宋体" w:eastAsia="宋体" w:cs="Times New Roman"/>
          <w:color w:val="auto"/>
          <w:szCs w:val="21"/>
          <w:highlight w:val="none"/>
          <w:u w:val="non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none"/>
        </w:rPr>
        <w:t>）</w:t>
      </w:r>
      <w:r>
        <w:rPr>
          <w:rFonts w:hint="eastAsia" w:ascii="宋体" w:hAnsi="宋体" w:eastAsia="宋体" w:cs="Times New Roman"/>
          <w:color w:val="auto"/>
          <w:szCs w:val="21"/>
          <w:highlight w:val="none"/>
        </w:rPr>
        <w:t>的5%的违约金。若因乙方原因导致乙方无法按照本合同约定供货的，甲方有权单方解除合同，且有权要求乙方支付合同暂定</w:t>
      </w:r>
      <w:r>
        <w:rPr>
          <w:rFonts w:hint="eastAsia" w:ascii="宋体" w:hAnsi="宋体" w:eastAsia="宋体" w:cs="Times New Roman"/>
          <w:bCs/>
          <w:color w:val="auto"/>
          <w:szCs w:val="21"/>
          <w:highlight w:val="none"/>
        </w:rPr>
        <w:t>总</w:t>
      </w:r>
      <w:r>
        <w:rPr>
          <w:rFonts w:hint="eastAsia" w:ascii="宋体" w:hAnsi="宋体" w:eastAsia="宋体" w:cs="Times New Roman"/>
          <w:color w:val="auto"/>
          <w:szCs w:val="21"/>
          <w:highlight w:val="none"/>
        </w:rPr>
        <w:t>价</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rPr>
        <w:t>【</w:t>
      </w:r>
      <w:r>
        <w:rPr>
          <w:rFonts w:ascii="Times New Roman" w:hAnsi="宋体" w:eastAsia="宋体" w:cs="Times New Roman"/>
          <w:color w:val="auto"/>
          <w:szCs w:val="21"/>
          <w:highlight w:val="none"/>
        </w:rPr>
        <w:t>20</w:t>
      </w:r>
      <w:r>
        <w:rPr>
          <w:rFonts w:hint="eastAsia" w:ascii="Times New Roman" w:hAnsi="宋体" w:eastAsia="宋体" w:cs="Times New Roman"/>
          <w:color w:val="auto"/>
          <w:szCs w:val="21"/>
          <w:highlight w:val="none"/>
        </w:rPr>
        <w:t>%】</w:t>
      </w:r>
      <w:r>
        <w:rPr>
          <w:rFonts w:hint="eastAsia" w:ascii="宋体" w:hAnsi="宋体" w:eastAsia="宋体" w:cs="Times New Roman"/>
          <w:color w:val="auto"/>
          <w:szCs w:val="21"/>
          <w:highlight w:val="none"/>
        </w:rPr>
        <w:t>的违约金。</w:t>
      </w:r>
    </w:p>
    <w:p w14:paraId="3D5D0CD4">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、乙方未按约定履行培训或售后服务义务的，甲方有权要求限期改正，如逾期仍未改正的，甲方有权解除合同，且剩余款项无需再支付，同时甲方有权没收履约担保。</w:t>
      </w:r>
    </w:p>
    <w:p w14:paraId="5A899A82">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、无论是否在质保期内，因货物质量问题发生安全事故或引起其他损失、造成不良后果的，乙方应承担全部责任及损失赔偿。</w:t>
      </w:r>
    </w:p>
    <w:p w14:paraId="1DA28077">
      <w:pPr>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w:t>
      </w:r>
      <w:r>
        <w:rPr>
          <w:rFonts w:hint="eastAsia" w:ascii="Times New Roman" w:hAnsi="宋体" w:eastAsia="宋体" w:cs="Times New Roman"/>
          <w:color w:val="auto"/>
          <w:szCs w:val="21"/>
          <w:highlight w:val="none"/>
          <w:lang w:eastAsia="zh-Hans"/>
        </w:rPr>
        <w:t>货物质量存在问题的，如甲方选择继续要货，乙方须在甲方指定的期限内交付符合合同质量标准的货物（甲方验收确认合格后，由乙方提回原不合格货物），因此构成迟延交货的，乙方并须承担迟延交货违约责任</w:t>
      </w:r>
      <w:r>
        <w:rPr>
          <w:rFonts w:hint="eastAsia" w:ascii="Times New Roman" w:hAnsi="宋体" w:eastAsia="宋体" w:cs="Times New Roman"/>
          <w:color w:val="auto"/>
          <w:szCs w:val="21"/>
          <w:highlight w:val="none"/>
          <w:lang w:eastAsia="zh-CN"/>
        </w:rPr>
        <w:t>，即每逾期一日，乙方应按合同</w:t>
      </w:r>
      <w:r>
        <w:rPr>
          <w:rFonts w:hint="eastAsia" w:ascii="Times New Roman" w:hAnsi="宋体" w:eastAsia="宋体" w:cs="Times New Roman"/>
          <w:color w:val="auto"/>
          <w:szCs w:val="21"/>
          <w:highlight w:val="none"/>
          <w:lang w:val="en-US" w:eastAsia="zh-CN"/>
        </w:rPr>
        <w:t>暂定</w:t>
      </w:r>
      <w:r>
        <w:rPr>
          <w:rFonts w:hint="eastAsia" w:ascii="Times New Roman" w:hAnsi="宋体" w:eastAsia="宋体" w:cs="Times New Roman"/>
          <w:color w:val="auto"/>
          <w:szCs w:val="21"/>
          <w:highlight w:val="none"/>
          <w:lang w:eastAsia="zh-CN"/>
        </w:rPr>
        <w:t>总价</w:t>
      </w:r>
      <w:r>
        <w:rPr>
          <w:rFonts w:hint="eastAsia" w:ascii="宋体" w:hAnsi="宋体" w:eastAsia="宋体" w:cs="Times New Roman"/>
          <w:color w:val="auto"/>
          <w:szCs w:val="21"/>
          <w:highlight w:val="none"/>
          <w:u w:val="non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none"/>
        </w:rPr>
        <w:t>）</w:t>
      </w:r>
      <w:r>
        <w:rPr>
          <w:rFonts w:hint="eastAsia" w:ascii="Times New Roman" w:hAnsi="宋体" w:eastAsia="宋体" w:cs="Times New Roman"/>
          <w:color w:val="auto"/>
          <w:szCs w:val="21"/>
          <w:highlight w:val="none"/>
          <w:lang w:eastAsia="zh-CN"/>
        </w:rPr>
        <w:t>的【5</w:t>
      </w:r>
      <w:r>
        <w:rPr>
          <w:rFonts w:hint="eastAsia" w:ascii="宋体" w:hAnsi="宋体" w:eastAsia="宋体" w:cs="Times New Roman"/>
          <w:color w:val="auto"/>
          <w:szCs w:val="21"/>
          <w:highlight w:val="none"/>
        </w:rPr>
        <w:t>‰</w:t>
      </w:r>
      <w:r>
        <w:rPr>
          <w:rFonts w:hint="eastAsia" w:ascii="Times New Roman" w:hAnsi="宋体" w:eastAsia="宋体" w:cs="Times New Roman"/>
          <w:color w:val="auto"/>
          <w:szCs w:val="21"/>
          <w:highlight w:val="none"/>
          <w:lang w:eastAsia="zh-CN"/>
        </w:rPr>
        <w:t>】向甲方支付违约金。乙方逾期超过30 日的，甲方可单方解除本合同，无论甲方是否解除本合同，乙方除支付前述逾期违约金外，还应按合同</w:t>
      </w:r>
      <w:r>
        <w:rPr>
          <w:rFonts w:hint="eastAsia" w:ascii="Times New Roman" w:hAnsi="宋体" w:eastAsia="宋体" w:cs="Times New Roman"/>
          <w:color w:val="auto"/>
          <w:szCs w:val="21"/>
          <w:highlight w:val="none"/>
          <w:lang w:val="en-US" w:eastAsia="zh-CN"/>
        </w:rPr>
        <w:t>暂定</w:t>
      </w:r>
      <w:r>
        <w:rPr>
          <w:rFonts w:hint="eastAsia" w:ascii="Times New Roman" w:hAnsi="宋体" w:eastAsia="宋体" w:cs="Times New Roman"/>
          <w:color w:val="auto"/>
          <w:szCs w:val="21"/>
          <w:highlight w:val="none"/>
          <w:lang w:eastAsia="zh-CN"/>
        </w:rPr>
        <w:t>总价（含</w:t>
      </w:r>
      <w:r>
        <w:rPr>
          <w:rFonts w:hint="eastAsia" w:ascii="Times New Roman" w:hAnsi="宋体" w:eastAsia="宋体" w:cs="Times New Roman"/>
          <w:color w:val="auto"/>
          <w:szCs w:val="21"/>
          <w:highlight w:val="none"/>
        </w:rPr>
        <w:t>销项税额</w:t>
      </w:r>
      <w:r>
        <w:rPr>
          <w:rFonts w:hint="eastAsia" w:ascii="Times New Roman" w:hAnsi="宋体" w:eastAsia="宋体" w:cs="Times New Roman"/>
          <w:color w:val="auto"/>
          <w:szCs w:val="21"/>
          <w:highlight w:val="none"/>
          <w:lang w:eastAsia="zh-CN"/>
        </w:rPr>
        <w:t>）的【5</w:t>
      </w:r>
      <w:r>
        <w:rPr>
          <w:rFonts w:hint="eastAsia" w:ascii="宋体" w:hAnsi="宋体" w:eastAsia="宋体" w:cs="Times New Roman"/>
          <w:color w:val="auto"/>
          <w:szCs w:val="21"/>
          <w:highlight w:val="none"/>
        </w:rPr>
        <w:t>‰</w:t>
      </w:r>
      <w:r>
        <w:rPr>
          <w:rFonts w:hint="eastAsia" w:ascii="Times New Roman" w:hAnsi="宋体" w:eastAsia="宋体" w:cs="Times New Roman"/>
          <w:color w:val="auto"/>
          <w:szCs w:val="21"/>
          <w:highlight w:val="none"/>
          <w:lang w:eastAsia="zh-CN"/>
        </w:rPr>
        <w:t>】向甲方支付赔偿金。该部分金额不足以弥补甲方损失的，甲方还有权另行追偿</w:t>
      </w:r>
      <w:r>
        <w:rPr>
          <w:rFonts w:hint="eastAsia" w:ascii="Times New Roman" w:hAnsi="宋体" w:eastAsia="宋体" w:cs="Times New Roman"/>
          <w:color w:val="auto"/>
          <w:szCs w:val="21"/>
          <w:highlight w:val="none"/>
          <w:lang w:eastAsia="zh-Hans"/>
        </w:rPr>
        <w:t>。甲方决定解除合同的，或货物内在质量存在问题，造成甲方或第三人损失的，乙方须负责赔偿因此而造成甲方的一切损失（包括直接和间接损失，以及造成甲方、第三方人身、财产损害）。</w:t>
      </w:r>
    </w:p>
    <w:p w14:paraId="38E668D7">
      <w:pPr>
        <w:snapToGrid w:val="0"/>
        <w:spacing w:line="360" w:lineRule="auto"/>
        <w:ind w:firstLine="371" w:firstLineChars="177"/>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 w:val="21"/>
          <w:szCs w:val="21"/>
          <w:highlight w:val="none"/>
          <w:lang w:val="en-US" w:eastAsia="zh-CN"/>
        </w:rPr>
        <w:t>6、在</w:t>
      </w:r>
      <w:r>
        <w:rPr>
          <w:rFonts w:hint="eastAsia" w:ascii="Times New Roman" w:hAnsi="宋体" w:eastAsia="宋体" w:cs="Times New Roman"/>
          <w:color w:val="auto"/>
          <w:sz w:val="21"/>
          <w:szCs w:val="21"/>
          <w:highlight w:val="none"/>
          <w:lang w:eastAsia="zh-Hans"/>
        </w:rPr>
        <w:t>质保期内</w:t>
      </w:r>
      <w:r>
        <w:rPr>
          <w:rFonts w:hint="eastAsia" w:ascii="Times New Roman" w:hAnsi="宋体" w:eastAsia="宋体" w:cs="Times New Roman"/>
          <w:color w:val="auto"/>
          <w:sz w:val="21"/>
          <w:szCs w:val="21"/>
          <w:highlight w:val="none"/>
          <w:lang w:eastAsia="zh-CN"/>
        </w:rPr>
        <w:t>，</w:t>
      </w:r>
      <w:r>
        <w:rPr>
          <w:rFonts w:hint="eastAsia" w:ascii="Times New Roman" w:hAnsi="宋体" w:eastAsia="宋体" w:cs="Times New Roman"/>
          <w:color w:val="auto"/>
          <w:sz w:val="21"/>
          <w:szCs w:val="21"/>
          <w:highlight w:val="none"/>
          <w:lang w:val="en-US" w:eastAsia="zh-CN"/>
        </w:rPr>
        <w:t>乙方</w:t>
      </w:r>
      <w:r>
        <w:rPr>
          <w:rFonts w:hint="eastAsia" w:ascii="Times New Roman" w:hAnsi="宋体" w:eastAsia="宋体" w:cs="Times New Roman"/>
          <w:color w:val="auto"/>
          <w:sz w:val="21"/>
          <w:szCs w:val="21"/>
          <w:highlight w:val="none"/>
          <w:lang w:eastAsia="zh-Hans"/>
        </w:rPr>
        <w:t>接到</w:t>
      </w:r>
      <w:r>
        <w:rPr>
          <w:rFonts w:hint="eastAsia" w:ascii="Times New Roman" w:hAnsi="宋体" w:eastAsia="宋体" w:cs="Times New Roman"/>
          <w:color w:val="auto"/>
          <w:sz w:val="21"/>
          <w:szCs w:val="21"/>
          <w:highlight w:val="none"/>
          <w:lang w:val="en-US" w:eastAsia="zh-CN"/>
        </w:rPr>
        <w:t>甲方</w:t>
      </w:r>
      <w:r>
        <w:rPr>
          <w:rFonts w:hint="eastAsia" w:ascii="Times New Roman" w:hAnsi="宋体" w:eastAsia="宋体" w:cs="Times New Roman"/>
          <w:color w:val="auto"/>
          <w:sz w:val="21"/>
          <w:szCs w:val="21"/>
          <w:highlight w:val="none"/>
          <w:lang w:eastAsia="zh-Hans"/>
        </w:rPr>
        <w:t>售后通知并要求到现场处理的，</w:t>
      </w:r>
      <w:r>
        <w:rPr>
          <w:rFonts w:hint="eastAsia" w:ascii="Times New Roman" w:hAnsi="宋体" w:eastAsia="宋体" w:cs="Times New Roman"/>
          <w:color w:val="auto"/>
          <w:szCs w:val="21"/>
          <w:highlight w:val="none"/>
          <w:lang w:eastAsia="zh-Hans"/>
        </w:rPr>
        <w:t>乙方须</w:t>
      </w:r>
      <w:r>
        <w:rPr>
          <w:rFonts w:hint="eastAsia" w:ascii="宋体" w:hAnsi="宋体" w:eastAsia="宋体" w:cs="Times New Roman"/>
          <w:color w:val="auto"/>
          <w:szCs w:val="21"/>
          <w:highlight w:val="none"/>
        </w:rPr>
        <w:t>按本合同第</w:t>
      </w:r>
      <w:r>
        <w:rPr>
          <w:rFonts w:hint="eastAsia" w:ascii="宋体" w:hAnsi="宋体" w:eastAsia="宋体" w:cs="Times New Roman"/>
          <w:color w:val="auto"/>
          <w:szCs w:val="21"/>
          <w:highlight w:val="none"/>
          <w:lang w:val="en-US" w:eastAsia="zh-CN"/>
        </w:rPr>
        <w:t>五</w:t>
      </w:r>
      <w:r>
        <w:rPr>
          <w:rFonts w:hint="eastAsia" w:ascii="宋体" w:hAnsi="宋体" w:eastAsia="宋体" w:cs="Times New Roman"/>
          <w:color w:val="auto"/>
          <w:szCs w:val="21"/>
          <w:highlight w:val="none"/>
        </w:rPr>
        <w:t>条第</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款</w:t>
      </w:r>
      <w:r>
        <w:rPr>
          <w:rFonts w:hint="eastAsia" w:ascii="宋体" w:hAnsi="宋体" w:eastAsia="宋体" w:cs="Times New Roman"/>
          <w:color w:val="auto"/>
          <w:szCs w:val="21"/>
          <w:highlight w:val="none"/>
          <w:lang w:val="en-US" w:eastAsia="zh-CN"/>
        </w:rPr>
        <w:t>时间规定到达现场</w:t>
      </w:r>
      <w:r>
        <w:rPr>
          <w:rFonts w:hint="eastAsia" w:ascii="Times New Roman" w:hAnsi="宋体" w:eastAsia="宋体" w:cs="Times New Roman"/>
          <w:color w:val="auto"/>
          <w:sz w:val="21"/>
          <w:szCs w:val="21"/>
          <w:highlight w:val="none"/>
          <w:lang w:eastAsia="zh-CN"/>
        </w:rPr>
        <w:t>，</w:t>
      </w:r>
      <w:r>
        <w:rPr>
          <w:rFonts w:hint="eastAsia" w:ascii="Times New Roman" w:hAnsi="宋体" w:eastAsia="宋体" w:cs="Times New Roman"/>
          <w:color w:val="auto"/>
          <w:szCs w:val="21"/>
          <w:highlight w:val="none"/>
          <w:lang w:val="en-US" w:eastAsia="zh-CN"/>
        </w:rPr>
        <w:t>若</w:t>
      </w:r>
      <w:r>
        <w:rPr>
          <w:rFonts w:hint="default" w:ascii="Times New Roman" w:hAnsi="宋体" w:eastAsia="宋体" w:cs="Times New Roman"/>
          <w:color w:val="auto"/>
          <w:szCs w:val="21"/>
          <w:highlight w:val="none"/>
          <w:lang w:val="en-US" w:eastAsia="zh-CN"/>
        </w:rPr>
        <w:t>迟延</w:t>
      </w:r>
      <w:r>
        <w:rPr>
          <w:rFonts w:hint="eastAsia" w:ascii="Times New Roman" w:hAnsi="宋体" w:eastAsia="宋体" w:cs="Times New Roman"/>
          <w:color w:val="auto"/>
          <w:szCs w:val="21"/>
          <w:highlight w:val="none"/>
          <w:lang w:val="en-US" w:eastAsia="zh-CN"/>
        </w:rPr>
        <w:t>到达现场</w:t>
      </w:r>
      <w:r>
        <w:rPr>
          <w:rFonts w:hint="eastAsia" w:ascii="Times New Roman" w:hAnsi="宋体" w:eastAsia="宋体" w:cs="Times New Roman"/>
          <w:color w:val="auto"/>
          <w:szCs w:val="21"/>
          <w:highlight w:val="none"/>
          <w:lang w:eastAsia="zh-Hans"/>
        </w:rPr>
        <w:t>的</w:t>
      </w:r>
      <w:r>
        <w:rPr>
          <w:rFonts w:hint="eastAsia" w:ascii="Times New Roman" w:hAnsi="宋体" w:eastAsia="宋体" w:cs="Times New Roman"/>
          <w:color w:val="auto"/>
          <w:sz w:val="21"/>
          <w:szCs w:val="21"/>
          <w:highlight w:val="none"/>
          <w:lang w:val="en-US" w:eastAsia="zh-CN"/>
        </w:rPr>
        <w:t>，</w:t>
      </w:r>
      <w:r>
        <w:rPr>
          <w:rFonts w:hint="eastAsia" w:ascii="Times New Roman" w:hAnsi="宋体" w:eastAsia="宋体" w:cs="Times New Roman"/>
          <w:color w:val="auto"/>
          <w:szCs w:val="21"/>
          <w:highlight w:val="none"/>
          <w:lang w:eastAsia="zh-Hans"/>
        </w:rPr>
        <w:t>乙方并须承担</w:t>
      </w:r>
      <w:r>
        <w:rPr>
          <w:rFonts w:hint="eastAsia" w:ascii="Times New Roman" w:hAnsi="宋体" w:eastAsia="宋体" w:cs="Times New Roman"/>
          <w:color w:val="auto"/>
          <w:szCs w:val="21"/>
          <w:highlight w:val="none"/>
          <w:lang w:val="en-US" w:eastAsia="zh-CN"/>
        </w:rPr>
        <w:t>逾期</w:t>
      </w:r>
      <w:r>
        <w:rPr>
          <w:rFonts w:hint="eastAsia" w:ascii="Times New Roman" w:hAnsi="宋体" w:eastAsia="宋体" w:cs="Times New Roman"/>
          <w:color w:val="auto"/>
          <w:szCs w:val="21"/>
          <w:highlight w:val="none"/>
          <w:lang w:eastAsia="zh-Hans"/>
        </w:rPr>
        <w:t>违约责任</w:t>
      </w:r>
      <w:r>
        <w:rPr>
          <w:rFonts w:hint="eastAsia" w:ascii="Times New Roman" w:hAnsi="宋体" w:eastAsia="宋体" w:cs="Times New Roman"/>
          <w:color w:val="auto"/>
          <w:szCs w:val="21"/>
          <w:highlight w:val="none"/>
          <w:lang w:eastAsia="zh-CN"/>
        </w:rPr>
        <w:t>，即每逾期一</w:t>
      </w:r>
      <w:r>
        <w:rPr>
          <w:rFonts w:hint="eastAsia" w:ascii="Times New Roman" w:hAnsi="宋体" w:eastAsia="宋体" w:cs="Times New Roman"/>
          <w:color w:val="auto"/>
          <w:szCs w:val="21"/>
          <w:highlight w:val="none"/>
          <w:lang w:val="en-US" w:eastAsia="zh-CN"/>
        </w:rPr>
        <w:t>次</w:t>
      </w:r>
      <w:r>
        <w:rPr>
          <w:rFonts w:hint="eastAsia" w:ascii="Times New Roman" w:hAnsi="宋体" w:eastAsia="宋体" w:cs="Times New Roman"/>
          <w:color w:val="auto"/>
          <w:szCs w:val="21"/>
          <w:highlight w:val="none"/>
          <w:lang w:eastAsia="zh-CN"/>
        </w:rPr>
        <w:t>，乙方应按合同</w:t>
      </w:r>
      <w:r>
        <w:rPr>
          <w:rFonts w:hint="eastAsia" w:ascii="Times New Roman" w:hAnsi="宋体" w:eastAsia="宋体" w:cs="Times New Roman"/>
          <w:color w:val="auto"/>
          <w:szCs w:val="21"/>
          <w:highlight w:val="none"/>
          <w:lang w:val="en-US" w:eastAsia="zh-CN"/>
        </w:rPr>
        <w:t>暂定</w:t>
      </w:r>
      <w:r>
        <w:rPr>
          <w:rFonts w:hint="eastAsia" w:ascii="Times New Roman" w:hAnsi="宋体" w:eastAsia="宋体" w:cs="Times New Roman"/>
          <w:color w:val="auto"/>
          <w:szCs w:val="21"/>
          <w:highlight w:val="none"/>
          <w:lang w:eastAsia="zh-CN"/>
        </w:rPr>
        <w:t>总价（含</w:t>
      </w:r>
      <w:r>
        <w:rPr>
          <w:rFonts w:hint="eastAsia" w:ascii="Times New Roman" w:hAnsi="宋体" w:eastAsia="宋体" w:cs="Times New Roman"/>
          <w:color w:val="auto"/>
          <w:szCs w:val="21"/>
          <w:highlight w:val="none"/>
        </w:rPr>
        <w:t>销项税额</w:t>
      </w:r>
      <w:r>
        <w:rPr>
          <w:rFonts w:hint="eastAsia" w:ascii="Times New Roman" w:hAnsi="宋体" w:eastAsia="宋体" w:cs="Times New Roman"/>
          <w:color w:val="auto"/>
          <w:szCs w:val="21"/>
          <w:highlight w:val="none"/>
          <w:lang w:eastAsia="zh-CN"/>
        </w:rPr>
        <w:t>）的【5</w:t>
      </w:r>
      <w:r>
        <w:rPr>
          <w:rFonts w:hint="eastAsia" w:ascii="宋体" w:hAnsi="宋体" w:eastAsia="宋体" w:cs="Times New Roman"/>
          <w:color w:val="auto"/>
          <w:szCs w:val="21"/>
          <w:highlight w:val="none"/>
        </w:rPr>
        <w:t>‰</w:t>
      </w:r>
      <w:r>
        <w:rPr>
          <w:rFonts w:hint="eastAsia" w:ascii="Times New Roman" w:hAnsi="宋体" w:eastAsia="宋体" w:cs="Times New Roman"/>
          <w:color w:val="auto"/>
          <w:szCs w:val="21"/>
          <w:highlight w:val="none"/>
          <w:lang w:eastAsia="zh-CN"/>
        </w:rPr>
        <w:t>】向甲方支付违约金，该部分金额不足以弥补甲方损失的，甲方还有权另行追偿；</w:t>
      </w:r>
      <w:r>
        <w:rPr>
          <w:rFonts w:hint="eastAsia" w:ascii="Times New Roman" w:hAnsi="宋体" w:eastAsia="宋体" w:cs="Times New Roman"/>
          <w:color w:val="auto"/>
          <w:szCs w:val="21"/>
          <w:highlight w:val="none"/>
          <w:lang w:val="en-US" w:eastAsia="zh-CN"/>
        </w:rPr>
        <w:t>同时，若因逾期到达现场进行售后而</w:t>
      </w:r>
      <w:r>
        <w:rPr>
          <w:rFonts w:hint="eastAsia" w:ascii="Times New Roman" w:hAnsi="宋体" w:eastAsia="宋体" w:cs="Times New Roman"/>
          <w:color w:val="auto"/>
          <w:szCs w:val="21"/>
          <w:highlight w:val="none"/>
          <w:lang w:eastAsia="zh-Hans"/>
        </w:rPr>
        <w:t>造成甲方或第三人损失的，乙方须负责赔偿因此而造成甲方的一切损失（包括直接和间接损失，以及造成甲方、第三方人身、财产损害）。</w:t>
      </w:r>
    </w:p>
    <w:p w14:paraId="2FFC00FE">
      <w:pPr>
        <w:snapToGrid w:val="0"/>
        <w:spacing w:line="360" w:lineRule="auto"/>
        <w:ind w:firstLine="371" w:firstLineChars="177"/>
        <w:rPr>
          <w:rFonts w:ascii="Times New Roman" w:hAnsi="宋体" w:eastAsia="宋体" w:cs="Times New Roman"/>
          <w:color w:val="auto"/>
          <w:szCs w:val="21"/>
          <w:highlight w:val="none"/>
          <w:lang w:eastAsia="zh-Hans"/>
        </w:rPr>
      </w:pPr>
      <w:r>
        <w:rPr>
          <w:rFonts w:hint="eastAsia" w:ascii="Times New Roman" w:hAnsi="宋体" w:eastAsia="宋体" w:cs="Times New Roman"/>
          <w:color w:val="auto"/>
          <w:szCs w:val="21"/>
          <w:highlight w:val="none"/>
          <w:lang w:val="en-US" w:eastAsia="zh-CN"/>
        </w:rPr>
        <w:t>7</w:t>
      </w:r>
      <w:r>
        <w:rPr>
          <w:rFonts w:ascii="Times New Roman" w:hAnsi="宋体" w:eastAsia="宋体" w:cs="Times New Roman"/>
          <w:color w:val="auto"/>
          <w:szCs w:val="21"/>
          <w:highlight w:val="none"/>
        </w:rPr>
        <w:t>、</w:t>
      </w:r>
      <w:r>
        <w:rPr>
          <w:rFonts w:hint="eastAsia" w:ascii="Times New Roman" w:hAnsi="宋体" w:eastAsia="宋体" w:cs="Times New Roman"/>
          <w:color w:val="auto"/>
          <w:szCs w:val="21"/>
          <w:highlight w:val="none"/>
          <w:lang w:eastAsia="zh-Hans"/>
        </w:rPr>
        <w:t>在本合同履行期限内</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乙方未经甲方书面同意即将本合同约定项下的全部项目或部分项目转包给第三方的</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甲方有权单方解除本合同且要求乙方按合同</w:t>
      </w:r>
      <w:r>
        <w:rPr>
          <w:rFonts w:hint="eastAsia" w:ascii="Times New Roman" w:hAnsi="宋体" w:eastAsia="宋体" w:cs="Times New Roman"/>
          <w:color w:val="auto"/>
          <w:szCs w:val="21"/>
          <w:highlight w:val="none"/>
        </w:rPr>
        <w:t>暂定</w:t>
      </w:r>
      <w:r>
        <w:rPr>
          <w:rFonts w:hint="eastAsia" w:ascii="宋体" w:hAnsi="宋体" w:eastAsia="宋体" w:cs="Times New Roman"/>
          <w:color w:val="auto"/>
          <w:szCs w:val="21"/>
          <w:highlight w:val="none"/>
        </w:rPr>
        <w:t>总</w:t>
      </w:r>
      <w:r>
        <w:rPr>
          <w:rFonts w:hint="eastAsia" w:ascii="Times New Roman" w:hAnsi="宋体" w:eastAsia="宋体" w:cs="Times New Roman"/>
          <w:color w:val="auto"/>
          <w:szCs w:val="21"/>
          <w:highlight w:val="none"/>
        </w:rPr>
        <w:t>价</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lang w:eastAsia="zh-Hans"/>
        </w:rPr>
        <w:t>的</w:t>
      </w:r>
      <w:r>
        <w:rPr>
          <w:rFonts w:ascii="Times New Roman" w:hAnsi="宋体" w:eastAsia="宋体" w:cs="Times New Roman"/>
          <w:color w:val="auto"/>
          <w:szCs w:val="21"/>
          <w:highlight w:val="none"/>
          <w:lang w:eastAsia="zh-Hans"/>
        </w:rPr>
        <w:t>【20%】</w:t>
      </w:r>
      <w:r>
        <w:rPr>
          <w:rFonts w:hint="eastAsia" w:ascii="Times New Roman" w:hAnsi="宋体" w:eastAsia="宋体" w:cs="Times New Roman"/>
          <w:color w:val="auto"/>
          <w:szCs w:val="21"/>
          <w:highlight w:val="none"/>
          <w:lang w:eastAsia="zh-Hans"/>
        </w:rPr>
        <w:t>承担违约责任</w:t>
      </w:r>
      <w:r>
        <w:rPr>
          <w:rFonts w:ascii="Times New Roman" w:hAnsi="宋体" w:eastAsia="宋体" w:cs="Times New Roman"/>
          <w:color w:val="auto"/>
          <w:szCs w:val="21"/>
          <w:highlight w:val="none"/>
          <w:lang w:eastAsia="zh-Hans"/>
        </w:rPr>
        <w:t>。</w:t>
      </w:r>
    </w:p>
    <w:p w14:paraId="7B85930C">
      <w:pPr>
        <w:snapToGrid w:val="0"/>
        <w:spacing w:line="360" w:lineRule="auto"/>
        <w:ind w:firstLine="371" w:firstLineChars="177"/>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8、质保期内，如货物发生质量问题导致不能正常使用的，在收到甲方通知后，乙方须在7天内免费为甲方解决货物故障或无偿更换货物，否则，乙方须按出现质量问题货物款项的200%（含</w:t>
      </w:r>
      <w:r>
        <w:rPr>
          <w:rFonts w:hint="eastAsia" w:ascii="Times New Roman" w:hAnsi="宋体" w:eastAsia="宋体" w:cs="Times New Roman"/>
          <w:color w:val="auto"/>
          <w:szCs w:val="21"/>
          <w:highlight w:val="none"/>
        </w:rPr>
        <w:t>销项税额</w:t>
      </w:r>
      <w:r>
        <w:rPr>
          <w:rFonts w:hint="eastAsia" w:ascii="Times New Roman" w:hAnsi="宋体" w:eastAsia="宋体" w:cs="Times New Roman"/>
          <w:color w:val="auto"/>
          <w:szCs w:val="21"/>
          <w:highlight w:val="none"/>
          <w:lang w:val="en-US" w:eastAsia="zh-CN"/>
        </w:rPr>
        <w:t>）进行赔付给甲方。乙方逾期未支付的，每逾期 10 日加收未赔付款项【20%】的违约金，且甲方有权在未支付款项中扣除赔付款项。</w:t>
      </w:r>
    </w:p>
    <w:p w14:paraId="16561D87">
      <w:pPr>
        <w:snapToGrid w:val="0"/>
        <w:spacing w:line="360" w:lineRule="auto"/>
        <w:ind w:firstLine="371" w:firstLineChars="177"/>
        <w:rPr>
          <w:rFonts w:ascii="Times New Roman" w:hAnsi="宋体" w:eastAsia="宋体" w:cs="Times New Roman"/>
          <w:color w:val="auto"/>
          <w:szCs w:val="21"/>
          <w:highlight w:val="none"/>
          <w:lang w:eastAsia="zh-Hans"/>
        </w:rPr>
      </w:pPr>
      <w:r>
        <w:rPr>
          <w:rFonts w:hint="eastAsia" w:ascii="Times New Roman" w:hAnsi="宋体" w:eastAsia="宋体" w:cs="Times New Roman"/>
          <w:color w:val="auto"/>
          <w:szCs w:val="21"/>
          <w:highlight w:val="none"/>
          <w:lang w:val="en-US" w:eastAsia="zh-CN"/>
        </w:rPr>
        <w:t>9</w:t>
      </w:r>
      <w:r>
        <w:rPr>
          <w:rFonts w:hint="eastAsia" w:ascii="Times New Roman" w:hAnsi="宋体" w:eastAsia="宋体" w:cs="Times New Roman"/>
          <w:color w:val="auto"/>
          <w:szCs w:val="21"/>
          <w:highlight w:val="none"/>
        </w:rPr>
        <w:t>、</w:t>
      </w:r>
      <w:r>
        <w:rPr>
          <w:rFonts w:hint="eastAsia" w:ascii="Times New Roman" w:hAnsi="宋体" w:eastAsia="宋体" w:cs="Times New Roman"/>
          <w:color w:val="auto"/>
          <w:szCs w:val="21"/>
          <w:highlight w:val="none"/>
          <w:lang w:eastAsia="zh-Hans"/>
        </w:rPr>
        <w:t>乙方违反本合同任意一项约定</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均视为乙方严重违约</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甲方有权单方解除本合同</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val="en-US" w:eastAsia="zh-CN"/>
        </w:rPr>
        <w:t>不予退还</w:t>
      </w:r>
      <w:r>
        <w:rPr>
          <w:rFonts w:hint="eastAsia" w:ascii="Times New Roman" w:hAnsi="宋体" w:eastAsia="宋体" w:cs="Times New Roman"/>
          <w:color w:val="auto"/>
          <w:szCs w:val="21"/>
          <w:highlight w:val="none"/>
          <w:lang w:eastAsia="zh-Hans"/>
        </w:rPr>
        <w:t>履约</w:t>
      </w:r>
      <w:r>
        <w:rPr>
          <w:rFonts w:hint="eastAsia" w:ascii="Times New Roman" w:hAnsi="宋体" w:eastAsia="宋体" w:cs="Times New Roman"/>
          <w:color w:val="auto"/>
          <w:szCs w:val="21"/>
          <w:highlight w:val="none"/>
        </w:rPr>
        <w:t>担保</w:t>
      </w:r>
      <w:r>
        <w:rPr>
          <w:rFonts w:hint="eastAsia" w:ascii="Times New Roman" w:hAnsi="宋体" w:eastAsia="宋体" w:cs="Times New Roman"/>
          <w:color w:val="auto"/>
          <w:szCs w:val="21"/>
          <w:highlight w:val="none"/>
          <w:lang w:eastAsia="zh-Hans"/>
        </w:rPr>
        <w:t>且要求乙方按合同</w:t>
      </w:r>
      <w:r>
        <w:rPr>
          <w:rFonts w:hint="eastAsia" w:ascii="Times New Roman" w:hAnsi="宋体" w:eastAsia="宋体" w:cs="Times New Roman"/>
          <w:color w:val="auto"/>
          <w:szCs w:val="21"/>
          <w:highlight w:val="none"/>
        </w:rPr>
        <w:t>暂定</w:t>
      </w:r>
      <w:r>
        <w:rPr>
          <w:rFonts w:hint="eastAsia" w:ascii="宋体" w:hAnsi="宋体" w:eastAsia="宋体" w:cs="Times New Roman"/>
          <w:color w:val="auto"/>
          <w:szCs w:val="21"/>
          <w:highlight w:val="none"/>
        </w:rPr>
        <w:t>总</w:t>
      </w:r>
      <w:r>
        <w:rPr>
          <w:rFonts w:hint="eastAsia" w:ascii="Times New Roman" w:hAnsi="宋体" w:eastAsia="宋体" w:cs="Times New Roman"/>
          <w:color w:val="auto"/>
          <w:szCs w:val="21"/>
          <w:highlight w:val="none"/>
        </w:rPr>
        <w:t>价</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lang w:eastAsia="zh-Hans"/>
        </w:rPr>
        <w:t>的</w:t>
      </w:r>
      <w:r>
        <w:rPr>
          <w:rFonts w:ascii="Times New Roman" w:hAnsi="宋体" w:eastAsia="宋体" w:cs="Times New Roman"/>
          <w:color w:val="auto"/>
          <w:szCs w:val="21"/>
          <w:highlight w:val="none"/>
          <w:lang w:eastAsia="zh-Hans"/>
        </w:rPr>
        <w:t>【20%】</w:t>
      </w:r>
      <w:r>
        <w:rPr>
          <w:rFonts w:hint="eastAsia" w:ascii="Times New Roman" w:hAnsi="宋体" w:eastAsia="宋体" w:cs="Times New Roman"/>
          <w:color w:val="auto"/>
          <w:szCs w:val="21"/>
          <w:highlight w:val="none"/>
          <w:lang w:eastAsia="zh-Hans"/>
        </w:rPr>
        <w:t>承担违约责任</w:t>
      </w:r>
      <w:r>
        <w:rPr>
          <w:rFonts w:ascii="Times New Roman" w:hAnsi="宋体" w:eastAsia="宋体" w:cs="Times New Roman"/>
          <w:color w:val="auto"/>
          <w:szCs w:val="21"/>
          <w:highlight w:val="none"/>
          <w:lang w:eastAsia="zh-Hans"/>
        </w:rPr>
        <w:t>。</w:t>
      </w:r>
    </w:p>
    <w:p w14:paraId="3E6EBA53">
      <w:pPr>
        <w:snapToGrid w:val="0"/>
        <w:spacing w:line="360" w:lineRule="auto"/>
        <w:ind w:firstLine="371" w:firstLineChars="177"/>
        <w:rPr>
          <w:rFonts w:ascii="Times New Roman" w:hAnsi="宋体" w:eastAsia="宋体" w:cs="Times New Roman"/>
          <w:color w:val="auto"/>
          <w:szCs w:val="21"/>
          <w:highlight w:val="none"/>
          <w:lang w:eastAsia="zh-Hans"/>
        </w:rPr>
      </w:pPr>
      <w:r>
        <w:rPr>
          <w:rFonts w:hint="eastAsia" w:ascii="Times New Roman" w:hAnsi="宋体" w:eastAsia="宋体" w:cs="Times New Roman"/>
          <w:color w:val="auto"/>
          <w:szCs w:val="21"/>
          <w:highlight w:val="none"/>
          <w:lang w:val="en-US" w:eastAsia="zh-CN"/>
        </w:rPr>
        <w:t>10</w:t>
      </w:r>
      <w:r>
        <w:rPr>
          <w:rFonts w:hint="eastAsia" w:ascii="Times New Roman" w:hAnsi="宋体" w:eastAsia="宋体" w:cs="Times New Roman"/>
          <w:color w:val="auto"/>
          <w:szCs w:val="21"/>
          <w:highlight w:val="none"/>
        </w:rPr>
        <w:t>、</w:t>
      </w:r>
      <w:r>
        <w:rPr>
          <w:rFonts w:hint="eastAsia" w:ascii="Times New Roman" w:hAnsi="宋体" w:eastAsia="宋体" w:cs="Times New Roman"/>
          <w:color w:val="auto"/>
          <w:szCs w:val="21"/>
          <w:highlight w:val="none"/>
          <w:lang w:eastAsia="zh-Hans"/>
        </w:rPr>
        <w:t>因乙方违反本合同约定导致甲方权益受损的</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甲方为维护自身权益所支付的所有费用均由乙方承担</w:t>
      </w:r>
      <w:r>
        <w:rPr>
          <w:rFonts w:ascii="Times New Roman" w:hAnsi="宋体" w:eastAsia="宋体" w:cs="Times New Roman"/>
          <w:color w:val="auto"/>
          <w:szCs w:val="21"/>
          <w:highlight w:val="none"/>
          <w:lang w:eastAsia="zh-Hans"/>
        </w:rPr>
        <w:t>，</w:t>
      </w:r>
      <w:r>
        <w:rPr>
          <w:rFonts w:hint="eastAsia" w:ascii="Times New Roman" w:hAnsi="宋体" w:eastAsia="宋体" w:cs="Times New Roman"/>
          <w:color w:val="auto"/>
          <w:szCs w:val="21"/>
          <w:highlight w:val="none"/>
          <w:lang w:eastAsia="zh-Hans"/>
        </w:rPr>
        <w:t>包括但不限于甲方为此支付的</w:t>
      </w:r>
      <w:r>
        <w:rPr>
          <w:rFonts w:hint="eastAsia" w:ascii="Times New Roman" w:hAnsi="宋体" w:eastAsia="宋体" w:cs="Times New Roman"/>
          <w:color w:val="auto"/>
          <w:szCs w:val="21"/>
          <w:highlight w:val="none"/>
        </w:rPr>
        <w:t>诉讼费、律师费、鉴定费、公证费、交通住宿费</w:t>
      </w:r>
      <w:r>
        <w:rPr>
          <w:rFonts w:hint="eastAsia" w:ascii="宋体" w:hAnsi="宋体" w:eastAsia="宋体" w:cs="Times New Roman"/>
          <w:color w:val="auto"/>
          <w:szCs w:val="21"/>
          <w:highlight w:val="none"/>
        </w:rPr>
        <w:t>、财产保全责任保险费、调查取证费</w:t>
      </w:r>
      <w:r>
        <w:rPr>
          <w:rFonts w:hint="eastAsia" w:ascii="Times New Roman" w:hAnsi="宋体" w:eastAsia="宋体" w:cs="Times New Roman"/>
          <w:color w:val="auto"/>
          <w:szCs w:val="21"/>
          <w:highlight w:val="none"/>
        </w:rPr>
        <w:t>等全部</w:t>
      </w:r>
      <w:r>
        <w:rPr>
          <w:rFonts w:hint="eastAsia" w:ascii="Times New Roman" w:hAnsi="宋体" w:eastAsia="宋体" w:cs="Times New Roman"/>
          <w:color w:val="auto"/>
          <w:szCs w:val="21"/>
          <w:highlight w:val="none"/>
          <w:lang w:eastAsia="zh-Hans"/>
        </w:rPr>
        <w:t>费用</w:t>
      </w:r>
      <w:r>
        <w:rPr>
          <w:rFonts w:ascii="Times New Roman" w:hAnsi="宋体" w:eastAsia="宋体" w:cs="Times New Roman"/>
          <w:color w:val="auto"/>
          <w:szCs w:val="21"/>
          <w:highlight w:val="none"/>
          <w:lang w:eastAsia="zh-Hans"/>
        </w:rPr>
        <w:t>。</w:t>
      </w:r>
    </w:p>
    <w:p w14:paraId="7A28D959">
      <w:pPr>
        <w:adjustRightInd w:val="0"/>
        <w:snapToGrid w:val="0"/>
        <w:spacing w:line="360" w:lineRule="auto"/>
        <w:ind w:firstLine="373" w:firstLineChars="177"/>
        <w:rPr>
          <w:rFonts w:ascii="宋体" w:hAnsi="宋体" w:eastAsia="宋体" w:cs="Times New Roman"/>
          <w:b/>
          <w:color w:val="auto"/>
          <w:szCs w:val="21"/>
          <w:highlight w:val="none"/>
        </w:rPr>
      </w:pPr>
    </w:p>
    <w:p w14:paraId="70D5C70C">
      <w:pPr>
        <w:adjustRightInd w:val="0"/>
        <w:snapToGrid w:val="0"/>
        <w:spacing w:line="360" w:lineRule="auto"/>
        <w:ind w:firstLine="373" w:firstLineChars="177"/>
        <w:outlineLvl w:val="1"/>
        <w:rPr>
          <w:rFonts w:ascii="宋体" w:hAnsi="宋体" w:eastAsia="宋体" w:cs="Times New Roman"/>
          <w:b/>
          <w:color w:val="auto"/>
          <w:szCs w:val="21"/>
          <w:highlight w:val="none"/>
        </w:rPr>
      </w:pPr>
      <w:bookmarkStart w:id="637" w:name="_Toc17128"/>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val="en-US" w:eastAsia="zh-CN"/>
        </w:rPr>
        <w:t>九</w:t>
      </w:r>
      <w:r>
        <w:rPr>
          <w:rFonts w:hint="eastAsia" w:ascii="宋体" w:hAnsi="宋体" w:eastAsia="宋体" w:cs="Times New Roman"/>
          <w:b/>
          <w:color w:val="auto"/>
          <w:szCs w:val="21"/>
          <w:highlight w:val="none"/>
        </w:rPr>
        <w:t>条 争议解决</w:t>
      </w:r>
      <w:bookmarkEnd w:id="637"/>
    </w:p>
    <w:p w14:paraId="72A94320">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双方在履约中发生争执和分歧，双方应通过友好协商解决，如不能通过友好协商解决的，双方同意向</w:t>
      </w:r>
      <w:r>
        <w:rPr>
          <w:rFonts w:hint="eastAsia" w:ascii="宋体" w:hAnsi="宋体" w:eastAsia="宋体" w:cs="Times New Roman"/>
          <w:color w:val="auto"/>
          <w:szCs w:val="21"/>
          <w:highlight w:val="none"/>
          <w:lang w:val="en-US" w:eastAsia="zh-CN"/>
        </w:rPr>
        <w:t>甲方所在地有管辖权的人民</w:t>
      </w:r>
      <w:r>
        <w:rPr>
          <w:rFonts w:hint="eastAsia" w:ascii="宋体" w:hAnsi="宋体" w:eastAsia="宋体" w:cs="Times New Roman"/>
          <w:color w:val="auto"/>
          <w:szCs w:val="21"/>
          <w:highlight w:val="none"/>
        </w:rPr>
        <w:t>法院提起诉讼解决。</w:t>
      </w:r>
    </w:p>
    <w:p w14:paraId="57AA5863">
      <w:pPr>
        <w:adjustRightInd w:val="0"/>
        <w:snapToGrid w:val="0"/>
        <w:spacing w:line="360" w:lineRule="auto"/>
        <w:ind w:firstLine="373" w:firstLineChars="177"/>
        <w:rPr>
          <w:rFonts w:ascii="宋体" w:hAnsi="宋体" w:eastAsia="宋体" w:cs="Times New Roman"/>
          <w:b/>
          <w:color w:val="auto"/>
          <w:szCs w:val="21"/>
          <w:highlight w:val="none"/>
        </w:rPr>
      </w:pPr>
    </w:p>
    <w:p w14:paraId="457452EB">
      <w:pPr>
        <w:adjustRightInd w:val="0"/>
        <w:snapToGrid w:val="0"/>
        <w:spacing w:line="360" w:lineRule="auto"/>
        <w:ind w:firstLine="373" w:firstLineChars="177"/>
        <w:outlineLvl w:val="1"/>
        <w:rPr>
          <w:rFonts w:ascii="宋体" w:hAnsi="宋体" w:eastAsia="宋体" w:cs="Times New Roman"/>
          <w:b/>
          <w:color w:val="auto"/>
          <w:szCs w:val="21"/>
          <w:highlight w:val="none"/>
        </w:rPr>
      </w:pPr>
      <w:bookmarkStart w:id="638" w:name="_Toc18037"/>
      <w:r>
        <w:rPr>
          <w:rFonts w:hint="eastAsia" w:ascii="宋体" w:hAnsi="宋体" w:eastAsia="宋体" w:cs="Times New Roman"/>
          <w:b/>
          <w:color w:val="auto"/>
          <w:szCs w:val="21"/>
          <w:highlight w:val="none"/>
        </w:rPr>
        <w:t>第</w:t>
      </w:r>
      <w:r>
        <w:rPr>
          <w:rFonts w:hint="eastAsia" w:ascii="宋体" w:hAnsi="宋体" w:eastAsia="宋体" w:cs="Times New Roman"/>
          <w:b/>
          <w:color w:val="auto"/>
          <w:szCs w:val="21"/>
          <w:highlight w:val="none"/>
          <w:lang w:val="en-US" w:eastAsia="zh-CN"/>
        </w:rPr>
        <w:t>二十</w:t>
      </w:r>
      <w:r>
        <w:rPr>
          <w:rFonts w:hint="eastAsia" w:ascii="宋体" w:hAnsi="宋体" w:eastAsia="宋体" w:cs="Times New Roman"/>
          <w:b/>
          <w:color w:val="auto"/>
          <w:szCs w:val="21"/>
          <w:highlight w:val="none"/>
        </w:rPr>
        <w:t>条 其他</w:t>
      </w:r>
      <w:bookmarkEnd w:id="638"/>
    </w:p>
    <w:p w14:paraId="76AA0D0E">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1、在本合同履行过程中，乙方不得消极怠工或拒不履行合同义务（包括但不限于交货、指导及配合安装、调试、培训、技术支持、售后、现场配合等等），否则将视为乙方违约，除按本合同第</w:t>
      </w:r>
      <w:r>
        <w:rPr>
          <w:rFonts w:hint="eastAsia" w:ascii="宋体" w:hAnsi="宋体" w:eastAsia="宋体" w:cs="Times New Roman"/>
          <w:color w:val="auto"/>
          <w:szCs w:val="21"/>
          <w:highlight w:val="none"/>
          <w:lang w:val="en-US" w:eastAsia="zh-CN"/>
        </w:rPr>
        <w:t>十八</w:t>
      </w:r>
      <w:r>
        <w:rPr>
          <w:rFonts w:hint="eastAsia" w:ascii="宋体" w:hAnsi="宋体" w:eastAsia="宋体" w:cs="Times New Roman"/>
          <w:color w:val="auto"/>
          <w:szCs w:val="21"/>
          <w:highlight w:val="none"/>
        </w:rPr>
        <w:t>条第</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款追究违约责任外，甲方仍有权就违约事宜向乙方提出改正的通知，如在甲方限期内乙方仍拒不改正的，甲方有权单方解除合同，要求其按合同暂定总价</w:t>
      </w:r>
      <w:r>
        <w:rPr>
          <w:rFonts w:hint="eastAsia" w:ascii="宋体" w:hAnsi="宋体" w:eastAsia="宋体" w:cs="Times New Roman"/>
          <w:color w:val="auto"/>
          <w:szCs w:val="21"/>
          <w:highlight w:val="none"/>
          <w:u w:val="single"/>
        </w:rPr>
        <w:t>（</w:t>
      </w:r>
      <w:r>
        <w:rPr>
          <w:rFonts w:hint="eastAsia" w:ascii="Times New Roman" w:hAnsi="宋体" w:eastAsia="宋体" w:cs="Times New Roman"/>
          <w:color w:val="auto"/>
          <w:szCs w:val="21"/>
          <w:highlight w:val="none"/>
        </w:rPr>
        <w:t>含销项税额</w:t>
      </w:r>
      <w:r>
        <w:rPr>
          <w:rFonts w:hint="eastAsia" w:ascii="宋体" w:hAnsi="宋体" w:eastAsia="宋体" w:cs="Times New Roman"/>
          <w:color w:val="auto"/>
          <w:szCs w:val="21"/>
          <w:highlight w:val="none"/>
          <w:u w:val="single"/>
        </w:rPr>
        <w:t>）</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20%</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支付违约金，并有权依法委托有资质的第三方继续履行本合同义务，由此造成的一切损失（包括但不限于再行采购的费用、委托第三人继续履行时超出本合同费用部分等）由乙方全部承担。</w:t>
      </w:r>
    </w:p>
    <w:p w14:paraId="69B4C321">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、合同履约过程中，若发现</w:t>
      </w:r>
      <w:r>
        <w:rPr>
          <w:rFonts w:hint="eastAsia" w:ascii="宋体" w:hAnsi="宋体" w:eastAsia="宋体" w:cs="Times New Roman"/>
          <w:color w:val="auto"/>
          <w:szCs w:val="21"/>
          <w:highlight w:val="none"/>
          <w:lang w:val="zh-CN"/>
        </w:rPr>
        <w:t>同一种货物存在有选择性的报价或不是固定的报价的，或存在</w:t>
      </w:r>
      <w:r>
        <w:rPr>
          <w:rFonts w:hint="eastAsia" w:ascii="宋体" w:hAnsi="宋体" w:eastAsia="宋体" w:cs="Times New Roman"/>
          <w:color w:val="auto"/>
          <w:szCs w:val="21"/>
          <w:highlight w:val="none"/>
        </w:rPr>
        <w:t>多种理解方式的情况发生时，按最有利甲方的方式解释。</w:t>
      </w:r>
    </w:p>
    <w:p w14:paraId="2E05C59E">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、在合同履行期间，若发现乙方投标文件更改或删除了招标文件用户需求书</w:t>
      </w:r>
      <w:r>
        <w:rPr>
          <w:rFonts w:hint="eastAsia" w:ascii="宋体" w:hAnsi="宋体" w:eastAsia="宋体" w:cs="Times New Roman"/>
          <w:color w:val="auto"/>
          <w:szCs w:val="21"/>
          <w:highlight w:val="none"/>
          <w:lang w:eastAsia="zh-CN"/>
        </w:rPr>
        <w:t>供货</w:t>
      </w:r>
      <w:r>
        <w:rPr>
          <w:rFonts w:hint="eastAsia" w:ascii="宋体" w:hAnsi="宋体" w:eastAsia="宋体" w:cs="Times New Roman"/>
          <w:color w:val="auto"/>
          <w:szCs w:val="21"/>
          <w:highlight w:val="none"/>
        </w:rPr>
        <w:t>清单内的项目或数量等情况时，并不能免除乙方按照图纸、标准与规范实施合同的任何责任，并将视为该项费用已包括在合同价款内，甲方不另行向乙方支付费用。</w:t>
      </w:r>
    </w:p>
    <w:p w14:paraId="1987A6E3">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、本合同壹式</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份，甲方执</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份，乙方执</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份，招标代理机构</w:t>
      </w:r>
      <w:r>
        <w:rPr>
          <w:rFonts w:hint="eastAsia" w:ascii="宋体" w:hAnsi="宋体" w:eastAsia="宋体" w:cs="Times New Roman"/>
          <w:color w:val="auto"/>
          <w:szCs w:val="21"/>
          <w:highlight w:val="none"/>
          <w:u w:val="single"/>
        </w:rPr>
        <w:t xml:space="preserve"> 壹 </w:t>
      </w:r>
      <w:r>
        <w:rPr>
          <w:rFonts w:hint="eastAsia" w:ascii="宋体" w:hAnsi="宋体" w:eastAsia="宋体" w:cs="Times New Roman"/>
          <w:color w:val="auto"/>
          <w:szCs w:val="21"/>
          <w:highlight w:val="none"/>
        </w:rPr>
        <w:t>份均具有同等法律效力。</w:t>
      </w:r>
    </w:p>
    <w:p w14:paraId="2127F917">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、本合同自甲乙双方</w:t>
      </w:r>
      <w:r>
        <w:rPr>
          <w:rFonts w:hint="eastAsia" w:ascii="Times New Roman" w:hAnsi="宋体" w:eastAsia="宋体" w:cs="Times New Roman"/>
          <w:color w:val="auto"/>
          <w:szCs w:val="21"/>
          <w:highlight w:val="none"/>
        </w:rPr>
        <w:t>法定代表人或负责人</w:t>
      </w:r>
      <w:r>
        <w:rPr>
          <w:rFonts w:hint="eastAsia" w:ascii="宋体" w:hAnsi="宋体" w:eastAsia="宋体" w:cs="Times New Roman"/>
          <w:color w:val="auto"/>
          <w:szCs w:val="21"/>
          <w:highlight w:val="none"/>
        </w:rPr>
        <w:t>签字并盖章之日起生效，至全部合同义务履行完毕时终止。</w:t>
      </w:r>
    </w:p>
    <w:p w14:paraId="0A4471D2">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、本合同及相关</w:t>
      </w:r>
      <w:r>
        <w:rPr>
          <w:rFonts w:hint="eastAsia" w:ascii="宋体" w:hAnsi="宋体" w:eastAsia="宋体" w:cs="Times New Roman"/>
          <w:b/>
          <w:color w:val="auto"/>
          <w:szCs w:val="21"/>
          <w:highlight w:val="none"/>
        </w:rPr>
        <w:t>招投标文件</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中标通知书、履约担保</w:t>
      </w:r>
      <w:r>
        <w:rPr>
          <w:rFonts w:hint="eastAsia" w:ascii="宋体" w:hAnsi="宋体" w:eastAsia="宋体" w:cs="Times New Roman"/>
          <w:color w:val="auto"/>
          <w:szCs w:val="21"/>
          <w:highlight w:val="none"/>
        </w:rPr>
        <w:t>等作为本合同附件均为合同的有效组成部分，与本合同同具法律效力。合同条款与附件、招标文件、用户需求书、投标文件等其他文件不一致的，</w:t>
      </w:r>
      <w:r>
        <w:rPr>
          <w:rFonts w:ascii="宋体" w:hAnsi="宋体" w:eastAsia="宋体" w:cs="Times New Roman"/>
          <w:color w:val="auto"/>
          <w:szCs w:val="21"/>
          <w:highlight w:val="none"/>
        </w:rPr>
        <w:t>以有利于甲方的条款为准。</w:t>
      </w:r>
    </w:p>
    <w:p w14:paraId="19AD7300">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7</w:t>
      </w:r>
      <w:r>
        <w:rPr>
          <w:rFonts w:ascii="宋体" w:hAnsi="宋体" w:eastAsia="宋体" w:cs="Times New Roman"/>
          <w:color w:val="auto"/>
          <w:szCs w:val="21"/>
          <w:highlight w:val="none"/>
        </w:rPr>
        <w:t>、本合同未尽事宜，由双方协商处理。</w:t>
      </w:r>
    </w:p>
    <w:p w14:paraId="2FA618D0">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附件：1.用户需求书</w:t>
      </w:r>
    </w:p>
    <w:p w14:paraId="766FE386">
      <w:pPr>
        <w:adjustRightInd w:val="0"/>
        <w:snapToGrid w:val="0"/>
        <w:spacing w:line="360" w:lineRule="auto"/>
        <w:ind w:left="0" w:leftChars="0" w:firstLine="1058" w:firstLineChars="504"/>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2.采购</w:t>
      </w:r>
      <w:r>
        <w:rPr>
          <w:rFonts w:hint="eastAsia" w:ascii="宋体" w:hAnsi="宋体" w:eastAsia="宋体" w:cs="Times New Roman"/>
          <w:color w:val="auto"/>
          <w:szCs w:val="21"/>
          <w:highlight w:val="none"/>
          <w:lang w:eastAsia="zh-CN"/>
        </w:rPr>
        <w:t>清单</w:t>
      </w:r>
    </w:p>
    <w:p w14:paraId="18F8AB11">
      <w:pPr>
        <w:adjustRightInd w:val="0"/>
        <w:snapToGrid w:val="0"/>
        <w:spacing w:line="360" w:lineRule="auto"/>
        <w:ind w:left="0" w:leftChars="0" w:firstLine="1058" w:firstLineChars="504"/>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w:t>
      </w:r>
      <w:r>
        <w:rPr>
          <w:rFonts w:hint="eastAsia" w:ascii="宋体" w:hAnsi="宋体" w:eastAsia="宋体" w:cs="宋体"/>
          <w:color w:val="auto"/>
          <w:sz w:val="21"/>
          <w:szCs w:val="21"/>
          <w:highlight w:val="none"/>
          <w:lang w:eastAsia="zh-CN"/>
        </w:rPr>
        <w:t>东莞市水务集团供水有限公司货物到货验收表</w:t>
      </w:r>
    </w:p>
    <w:p w14:paraId="754C5BE5">
      <w:pPr>
        <w:adjustRightInd w:val="0"/>
        <w:snapToGrid w:val="0"/>
        <w:spacing w:line="360" w:lineRule="auto"/>
        <w:ind w:firstLine="997" w:firstLineChars="47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.中标通知书</w:t>
      </w:r>
    </w:p>
    <w:p w14:paraId="7C8C4402">
      <w:pPr>
        <w:adjustRightInd w:val="0"/>
        <w:snapToGrid w:val="0"/>
        <w:spacing w:line="360" w:lineRule="auto"/>
        <w:ind w:firstLine="997" w:firstLineChars="47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.廉洁协议书</w:t>
      </w:r>
    </w:p>
    <w:p w14:paraId="67B0BB12">
      <w:pPr>
        <w:adjustRightInd w:val="0"/>
        <w:snapToGrid w:val="0"/>
        <w:spacing w:line="360" w:lineRule="auto"/>
        <w:ind w:firstLine="997" w:firstLineChars="47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.履约担保</w:t>
      </w:r>
    </w:p>
    <w:p w14:paraId="4DD18F3E">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7BF5F3F8">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6A5E460D">
      <w:pPr>
        <w:adjustRightInd w:val="0"/>
        <w:snapToGrid w:val="0"/>
        <w:spacing w:line="360" w:lineRule="auto"/>
        <w:ind w:firstLine="373" w:firstLineChars="177"/>
        <w:rPr>
          <w:rFonts w:hint="eastAsia" w:ascii="宋体" w:hAnsi="宋体" w:eastAsia="宋体" w:cs="Times New Roman"/>
          <w:b/>
          <w:color w:val="auto"/>
          <w:szCs w:val="21"/>
          <w:highlight w:val="none"/>
        </w:rPr>
      </w:pPr>
    </w:p>
    <w:p w14:paraId="11AC65A9">
      <w:pPr>
        <w:adjustRightInd w:val="0"/>
        <w:snapToGrid w:val="0"/>
        <w:spacing w:line="360" w:lineRule="auto"/>
        <w:ind w:firstLine="373" w:firstLineChars="177"/>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甲方(买方)：</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 xml:space="preserve"> 乙方(卖方)：</w:t>
      </w:r>
    </w:p>
    <w:p w14:paraId="22AE390B">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w:t>
      </w:r>
      <w:r>
        <w:rPr>
          <w:rFonts w:hint="eastAsia" w:ascii="宋体" w:hAnsi="宋体" w:eastAsia="宋体" w:cs="Times New Roman"/>
          <w:color w:val="auto"/>
          <w:szCs w:val="21"/>
          <w:highlight w:val="none"/>
          <w:lang w:eastAsia="zh-Hans"/>
        </w:rPr>
        <w:t>或负责人</w:t>
      </w:r>
      <w:r>
        <w:rPr>
          <w:rFonts w:hint="eastAsia" w:ascii="宋体" w:hAnsi="宋体" w:eastAsia="宋体" w:cs="Times New Roman"/>
          <w:color w:val="auto"/>
          <w:szCs w:val="21"/>
          <w:highlight w:val="none"/>
        </w:rPr>
        <w:t>：                    法定代表人</w:t>
      </w:r>
      <w:r>
        <w:rPr>
          <w:rFonts w:hint="eastAsia" w:ascii="宋体" w:hAnsi="宋体" w:eastAsia="宋体" w:cs="Times New Roman"/>
          <w:color w:val="auto"/>
          <w:szCs w:val="21"/>
          <w:highlight w:val="none"/>
          <w:lang w:eastAsia="zh-Hans"/>
        </w:rPr>
        <w:t>或负责人</w:t>
      </w:r>
      <w:r>
        <w:rPr>
          <w:rFonts w:hint="eastAsia" w:ascii="宋体" w:hAnsi="宋体" w:eastAsia="宋体" w:cs="Times New Roman"/>
          <w:color w:val="auto"/>
          <w:szCs w:val="21"/>
          <w:highlight w:val="none"/>
        </w:rPr>
        <w:t>：</w:t>
      </w:r>
    </w:p>
    <w:p w14:paraId="7FA78F18">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                                  地址：</w:t>
      </w:r>
    </w:p>
    <w:p w14:paraId="4284C21B">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电话：                                  电话：</w:t>
      </w:r>
    </w:p>
    <w:p w14:paraId="742C7164">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传真：                                  传真：</w:t>
      </w:r>
    </w:p>
    <w:p w14:paraId="097C51B2">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                              开户银行：</w:t>
      </w:r>
    </w:p>
    <w:p w14:paraId="0822024E">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银行账户：                              银行账户：</w:t>
      </w:r>
    </w:p>
    <w:p w14:paraId="59CE061A">
      <w:pPr>
        <w:adjustRightInd w:val="0"/>
        <w:snapToGrid w:val="0"/>
        <w:spacing w:line="360" w:lineRule="auto"/>
        <w:ind w:firstLine="371" w:firstLineChars="177"/>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银行账号：                              银行账号：</w:t>
      </w:r>
    </w:p>
    <w:p w14:paraId="79C6CBD8">
      <w:pPr>
        <w:adjustRightInd w:val="0"/>
        <w:snapToGrid w:val="0"/>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签约日期：     年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月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日</w:t>
      </w:r>
    </w:p>
    <w:p w14:paraId="0A43B44D">
      <w:pPr>
        <w:widowControl w:val="0"/>
        <w:autoSpaceDE/>
        <w:autoSpaceDN/>
        <w:adjustRightInd/>
        <w:spacing w:after="120"/>
        <w:ind w:left="0" w:leftChars="0" w:right="0" w:firstLine="0" w:firstLineChars="0"/>
        <w:jc w:val="both"/>
        <w:rPr>
          <w:rFonts w:hint="eastAsia" w:ascii="宋体" w:hAnsi="宋体" w:eastAsia="宋体" w:cs="宋体"/>
          <w:b w:val="0"/>
          <w:bCs w:val="0"/>
          <w:color w:val="auto"/>
          <w:kern w:val="2"/>
          <w:sz w:val="21"/>
          <w:szCs w:val="21"/>
          <w:highlight w:val="none"/>
          <w:lang w:val="en-US" w:eastAsia="zh-CN" w:bidi="ar-SA"/>
        </w:rPr>
      </w:pPr>
    </w:p>
    <w:p w14:paraId="03CF0F4E">
      <w:pPr>
        <w:rPr>
          <w:rFonts w:hint="eastAsia" w:ascii="宋体" w:hAnsi="宋体" w:eastAsia="宋体" w:cs="宋体"/>
          <w:color w:val="auto"/>
          <w:sz w:val="21"/>
          <w:szCs w:val="21"/>
          <w:highlight w:val="none"/>
          <w:lang w:val="en-US" w:eastAsia="zh-CN"/>
        </w:rPr>
      </w:pPr>
    </w:p>
    <w:p w14:paraId="56EC19FF">
      <w:pPr>
        <w:widowControl w:val="0"/>
        <w:spacing w:after="0" w:line="360" w:lineRule="auto"/>
        <w:jc w:val="left"/>
        <w:outlineLvl w:val="1"/>
        <w:rPr>
          <w:rFonts w:hint="eastAsia" w:ascii="宋体" w:hAnsi="宋体" w:eastAsia="宋体" w:cs="宋体"/>
          <w:b/>
          <w:color w:val="auto"/>
          <w:sz w:val="21"/>
          <w:szCs w:val="21"/>
          <w:highlight w:val="none"/>
          <w:lang w:val="en-US" w:eastAsia="zh-CN"/>
        </w:rPr>
      </w:pPr>
    </w:p>
    <w:p w14:paraId="6DC7A7D1">
      <w:pPr>
        <w:widowControl w:val="0"/>
        <w:spacing w:after="0" w:line="360" w:lineRule="auto"/>
        <w:jc w:val="left"/>
        <w:outlineLvl w:val="1"/>
        <w:rPr>
          <w:rFonts w:hint="eastAsia" w:ascii="宋体" w:hAnsi="宋体" w:eastAsia="宋体" w:cs="宋体"/>
          <w:b/>
          <w:color w:val="auto"/>
          <w:sz w:val="21"/>
          <w:szCs w:val="21"/>
          <w:highlight w:val="none"/>
          <w:lang w:val="en-US" w:eastAsia="zh-CN"/>
        </w:rPr>
      </w:pPr>
    </w:p>
    <w:p w14:paraId="7B877292">
      <w:pPr>
        <w:widowControl w:val="0"/>
        <w:spacing w:after="0" w:line="360" w:lineRule="auto"/>
        <w:jc w:val="left"/>
        <w:outlineLvl w:val="1"/>
        <w:rPr>
          <w:rFonts w:hint="eastAsia" w:ascii="宋体" w:hAnsi="宋体" w:eastAsia="宋体" w:cs="宋体"/>
          <w:b/>
          <w:color w:val="auto"/>
          <w:sz w:val="21"/>
          <w:szCs w:val="21"/>
          <w:highlight w:val="none"/>
          <w:lang w:val="en-US" w:eastAsia="zh-CN"/>
        </w:rPr>
      </w:pPr>
    </w:p>
    <w:p w14:paraId="693546A5">
      <w:pPr>
        <w:widowControl w:val="0"/>
        <w:spacing w:after="0" w:line="360" w:lineRule="auto"/>
        <w:jc w:val="left"/>
        <w:outlineLvl w:val="1"/>
        <w:rPr>
          <w:rFonts w:hint="eastAsia" w:ascii="宋体" w:hAnsi="宋体" w:eastAsia="宋体" w:cs="宋体"/>
          <w:b/>
          <w:color w:val="auto"/>
          <w:sz w:val="21"/>
          <w:szCs w:val="21"/>
          <w:highlight w:val="none"/>
          <w:lang w:val="en-US" w:eastAsia="zh-CN"/>
        </w:rPr>
      </w:pPr>
    </w:p>
    <w:p w14:paraId="0A4F2125">
      <w:pPr>
        <w:widowControl w:val="0"/>
        <w:spacing w:after="0" w:line="360" w:lineRule="auto"/>
        <w:jc w:val="left"/>
        <w:outlineLvl w:val="1"/>
        <w:rPr>
          <w:rFonts w:hint="eastAsia" w:ascii="宋体" w:hAnsi="宋体" w:eastAsia="宋体" w:cs="宋体"/>
          <w:b/>
          <w:color w:val="auto"/>
          <w:sz w:val="21"/>
          <w:szCs w:val="21"/>
          <w:highlight w:val="none"/>
          <w:lang w:val="en-US" w:eastAsia="zh-CN"/>
        </w:rPr>
      </w:pPr>
    </w:p>
    <w:p w14:paraId="4392AACE">
      <w:pPr>
        <w:widowControl w:val="0"/>
        <w:spacing w:after="0" w:line="360" w:lineRule="auto"/>
        <w:jc w:val="left"/>
        <w:outlineLvl w:val="1"/>
        <w:rPr>
          <w:rFonts w:hint="eastAsia" w:ascii="宋体" w:hAnsi="宋体" w:eastAsia="宋体" w:cs="宋体"/>
          <w:b/>
          <w:color w:val="auto"/>
          <w:sz w:val="21"/>
          <w:szCs w:val="21"/>
          <w:highlight w:val="none"/>
          <w:lang w:val="en-US" w:eastAsia="zh-CN"/>
        </w:rPr>
      </w:pPr>
    </w:p>
    <w:p w14:paraId="7A45B768">
      <w:pPr>
        <w:widowControl w:val="0"/>
        <w:spacing w:after="0" w:line="360" w:lineRule="auto"/>
        <w:jc w:val="left"/>
        <w:outlineLvl w:val="1"/>
        <w:rPr>
          <w:rFonts w:hint="eastAsia" w:ascii="宋体" w:hAnsi="宋体" w:eastAsia="宋体" w:cs="宋体"/>
          <w:b/>
          <w:color w:val="auto"/>
          <w:sz w:val="21"/>
          <w:szCs w:val="21"/>
          <w:highlight w:val="none"/>
          <w:lang w:val="en-US" w:eastAsia="zh-CN"/>
        </w:rPr>
      </w:pPr>
    </w:p>
    <w:p w14:paraId="2FB33834">
      <w:pPr>
        <w:widowControl w:val="0"/>
        <w:spacing w:after="0" w:line="360" w:lineRule="auto"/>
        <w:jc w:val="left"/>
        <w:outlineLvl w:val="1"/>
        <w:rPr>
          <w:rFonts w:hint="eastAsia" w:ascii="宋体" w:hAnsi="宋体" w:eastAsia="宋体" w:cs="宋体"/>
          <w:b/>
          <w:color w:val="auto"/>
          <w:sz w:val="21"/>
          <w:szCs w:val="21"/>
          <w:highlight w:val="none"/>
          <w:lang w:val="en-US" w:eastAsia="zh-CN"/>
        </w:rPr>
      </w:pPr>
    </w:p>
    <w:p w14:paraId="3F619B67">
      <w:pPr>
        <w:widowControl w:val="0"/>
        <w:spacing w:after="0" w:line="360" w:lineRule="auto"/>
        <w:jc w:val="left"/>
        <w:outlineLvl w:val="1"/>
        <w:rPr>
          <w:rFonts w:hint="eastAsia" w:ascii="宋体" w:hAnsi="宋体" w:eastAsia="宋体" w:cs="宋体"/>
          <w:b/>
          <w:color w:val="auto"/>
          <w:sz w:val="21"/>
          <w:szCs w:val="21"/>
          <w:highlight w:val="none"/>
          <w:lang w:val="en-US" w:eastAsia="zh-CN"/>
        </w:rPr>
      </w:pPr>
    </w:p>
    <w:p w14:paraId="0DD0844E">
      <w:pPr>
        <w:widowControl w:val="0"/>
        <w:spacing w:after="0" w:line="360" w:lineRule="auto"/>
        <w:jc w:val="left"/>
        <w:outlineLvl w:val="1"/>
        <w:rPr>
          <w:rFonts w:hint="eastAsia" w:ascii="宋体" w:hAnsi="宋体" w:eastAsia="宋体" w:cs="宋体"/>
          <w:b/>
          <w:color w:val="auto"/>
          <w:sz w:val="21"/>
          <w:szCs w:val="21"/>
          <w:highlight w:val="none"/>
          <w:lang w:val="en-US" w:eastAsia="zh-CN"/>
        </w:rPr>
      </w:pPr>
    </w:p>
    <w:p w14:paraId="384A544E">
      <w:pPr>
        <w:widowControl w:val="0"/>
        <w:spacing w:after="0" w:line="360" w:lineRule="auto"/>
        <w:jc w:val="left"/>
        <w:outlineLvl w:val="1"/>
        <w:rPr>
          <w:rFonts w:hint="eastAsia" w:ascii="宋体" w:hAnsi="宋体" w:eastAsia="宋体" w:cs="宋体"/>
          <w:b/>
          <w:color w:val="auto"/>
          <w:sz w:val="21"/>
          <w:szCs w:val="21"/>
          <w:highlight w:val="none"/>
          <w:lang w:val="en-US" w:eastAsia="zh-CN"/>
        </w:rPr>
      </w:pPr>
    </w:p>
    <w:p w14:paraId="08F5C915">
      <w:pPr>
        <w:spacing w:line="24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492396FF">
      <w:pPr>
        <w:spacing w:line="360" w:lineRule="auto"/>
        <w:outlineLvl w:val="3"/>
        <w:rPr>
          <w:rFonts w:hint="eastAsia" w:ascii="宋体" w:hAnsi="宋体" w:eastAsia="宋体"/>
          <w:b/>
          <w:color w:val="auto"/>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采购</w:t>
      </w:r>
      <w:r>
        <w:rPr>
          <w:rFonts w:hint="eastAsia" w:ascii="宋体" w:hAnsi="宋体" w:eastAsia="宋体" w:cs="宋体"/>
          <w:b/>
          <w:color w:val="auto"/>
          <w:szCs w:val="21"/>
          <w:highlight w:val="none"/>
          <w:lang w:eastAsia="zh-CN"/>
        </w:rPr>
        <w:t>清单》</w:t>
      </w:r>
      <w:r>
        <w:rPr>
          <w:rFonts w:hint="eastAsia" w:ascii="宋体" w:hAnsi="宋体" w:eastAsia="宋体"/>
          <w:b/>
          <w:color w:val="auto"/>
          <w:highlight w:val="none"/>
        </w:rPr>
        <w:t>（模版）</w:t>
      </w:r>
    </w:p>
    <w:p w14:paraId="38D5D3A9">
      <w:pPr>
        <w:spacing w:line="360" w:lineRule="auto"/>
        <w:outlineLvl w:val="3"/>
        <w:rPr>
          <w:rFonts w:hint="eastAsia" w:ascii="宋体" w:hAnsi="宋体" w:eastAsia="宋体" w:cs="宋体"/>
          <w:b/>
          <w:color w:val="auto"/>
          <w:szCs w:val="21"/>
          <w:highlight w:val="none"/>
          <w:lang w:eastAsia="zh-CN"/>
        </w:rPr>
      </w:pPr>
      <w:r>
        <w:rPr>
          <w:rFonts w:hint="eastAsia" w:ascii="宋体" w:hAnsi="宋体" w:eastAsia="宋体"/>
          <w:b/>
          <w:color w:val="auto"/>
          <w:highlight w:val="none"/>
        </w:rPr>
        <w:t>（注：该模版内容届时以合同签订为准）</w:t>
      </w:r>
    </w:p>
    <w:p w14:paraId="7FC5BAC0">
      <w:pPr>
        <w:autoSpaceDE w:val="0"/>
        <w:autoSpaceDN w:val="0"/>
        <w:adjustRightInd w:val="0"/>
        <w:snapToGri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lang w:eastAsia="zh-CN"/>
        </w:rPr>
        <w:t>清单</w:t>
      </w:r>
    </w:p>
    <w:tbl>
      <w:tblPr>
        <w:tblStyle w:val="44"/>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21"/>
        <w:gridCol w:w="792"/>
        <w:gridCol w:w="958"/>
        <w:gridCol w:w="847"/>
        <w:gridCol w:w="888"/>
        <w:gridCol w:w="751"/>
        <w:gridCol w:w="1219"/>
        <w:gridCol w:w="1054"/>
        <w:gridCol w:w="1590"/>
      </w:tblGrid>
      <w:tr w14:paraId="1304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1F62CC">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序号</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07763C7F">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货物名称</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7559626A">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品牌</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4B61BA49">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产地</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38DEE385">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lang w:eastAsia="zh-CN"/>
              </w:rPr>
            </w:pPr>
            <w:r>
              <w:rPr>
                <w:rFonts w:hint="eastAsia" w:ascii="宋体" w:hAnsi="宋体" w:eastAsia="宋体"/>
                <w:b/>
                <w:bCs/>
                <w:color w:val="auto"/>
                <w:highlight w:val="none"/>
              </w:rPr>
              <w:t>规格</w:t>
            </w:r>
            <w:r>
              <w:rPr>
                <w:rFonts w:hint="eastAsia" w:ascii="宋体" w:hAnsi="宋体" w:eastAsia="宋体"/>
                <w:b/>
                <w:bCs/>
                <w:color w:val="auto"/>
                <w:highlight w:val="none"/>
                <w:lang w:val="en-US" w:eastAsia="zh-CN"/>
              </w:rPr>
              <w:t>参数</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0C297571">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单位</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01A7B80F">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暂定数量</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517B693C">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生产厂家</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85A9E7B">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不含税预算综合单价（元）</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6042B74">
            <w:pPr>
              <w:keepNext w:val="0"/>
              <w:keepLines w:val="0"/>
              <w:widowControl/>
              <w:suppressLineNumbers w:val="0"/>
              <w:spacing w:before="0" w:beforeAutospacing="0" w:after="0" w:afterAutospacing="0" w:line="360" w:lineRule="auto"/>
              <w:ind w:left="0" w:right="0"/>
              <w:jc w:val="center"/>
              <w:rPr>
                <w:rFonts w:hint="eastAsia" w:ascii="宋体" w:hAnsi="宋体" w:eastAsia="宋体"/>
                <w:b/>
                <w:bCs/>
                <w:color w:val="auto"/>
                <w:highlight w:val="none"/>
              </w:rPr>
            </w:pPr>
            <w:r>
              <w:rPr>
                <w:rFonts w:hint="eastAsia" w:ascii="宋体" w:hAnsi="宋体" w:eastAsia="宋体"/>
                <w:b/>
                <w:bCs/>
                <w:color w:val="auto"/>
                <w:highlight w:val="none"/>
              </w:rPr>
              <w:t>不含税</w:t>
            </w:r>
            <w:r>
              <w:rPr>
                <w:rFonts w:hint="eastAsia" w:ascii="宋体" w:hAnsi="宋体" w:eastAsia="宋体"/>
                <w:b/>
                <w:bCs/>
                <w:color w:val="auto"/>
                <w:highlight w:val="none"/>
                <w:lang w:val="en-US" w:eastAsia="zh-CN"/>
              </w:rPr>
              <w:t>中标</w:t>
            </w:r>
            <w:r>
              <w:rPr>
                <w:rFonts w:hint="eastAsia" w:ascii="宋体" w:hAnsi="宋体" w:eastAsia="宋体"/>
                <w:b/>
                <w:bCs/>
                <w:color w:val="auto"/>
                <w:highlight w:val="none"/>
              </w:rPr>
              <w:t>综合单价（元）</w:t>
            </w:r>
          </w:p>
        </w:tc>
      </w:tr>
      <w:tr w14:paraId="48D2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CAEE08">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1</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57BDBEE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CC7A52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4331B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7F3E8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03ED4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54776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97AC10D">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83A501C">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84DD718">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5340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18C4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2</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60589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8D88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124C3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24032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7ED37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2280CCDA">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37563BCD">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F5BB908">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AFFAF99">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63B1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E06DEE">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3</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F559757">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96F2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357D1A4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5FCED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3E7F9D9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2F74D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8F898F2">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13F9A7C">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E882A47">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2182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254C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4</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62F65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2D4E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24F61743">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2FD5A44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01E33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749BB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0593C05F">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1D5217A">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70E522F">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6AE7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960DB3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18"/>
                <w:szCs w:val="18"/>
                <w:highlight w:val="none"/>
              </w:rPr>
              <w:t>5</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18DF1F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FEF2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0904C09B">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578D47A9">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00A85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7AF88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7E2525FC">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7399E6A">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D3B92F4">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50A2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59E35F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r>
              <w:rPr>
                <w:rFonts w:hint="eastAsia" w:ascii="宋体" w:hAnsi="宋体" w:eastAsia="宋体"/>
                <w:color w:val="auto"/>
                <w:kern w:val="0"/>
                <w:sz w:val="20"/>
                <w:szCs w:val="20"/>
                <w:highlight w:val="none"/>
              </w:rPr>
              <w:t>...</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1B3459C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0A4C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2E653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508E0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3390E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13100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5FDF7E14">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4A611EDE">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D316EC8">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r w14:paraId="429A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40EFFB">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160E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68312D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565EC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29E3E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180A5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sz w:val="20"/>
                <w:szCs w:val="20"/>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05A2EB84">
            <w:pPr>
              <w:keepNext w:val="0"/>
              <w:keepLines w:val="0"/>
              <w:widowControl/>
              <w:suppressLineNumbers w:val="0"/>
              <w:spacing w:before="0" w:beforeAutospacing="0" w:after="0" w:afterAutospacing="0"/>
              <w:ind w:left="0" w:right="0"/>
              <w:jc w:val="center"/>
              <w:textAlignment w:val="center"/>
              <w:rPr>
                <w:rFonts w:hint="eastAsia" w:ascii="宋体" w:hAnsi="宋体" w:eastAsia="宋体"/>
                <w:color w:val="auto"/>
                <w:kern w:val="0"/>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334EC416">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007482C4">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275C3C1">
            <w:pPr>
              <w:keepNext w:val="0"/>
              <w:keepLines w:val="0"/>
              <w:widowControl/>
              <w:suppressLineNumbers w:val="0"/>
              <w:spacing w:before="0" w:beforeAutospacing="0" w:after="0" w:afterAutospacing="0" w:line="360" w:lineRule="auto"/>
              <w:ind w:left="0" w:right="0"/>
              <w:jc w:val="center"/>
              <w:rPr>
                <w:rFonts w:hint="eastAsia" w:ascii="宋体" w:hAnsi="宋体" w:eastAsia="宋体"/>
                <w:color w:val="auto"/>
                <w:kern w:val="0"/>
                <w:highlight w:val="none"/>
              </w:rPr>
            </w:pPr>
          </w:p>
        </w:tc>
      </w:tr>
    </w:tbl>
    <w:p w14:paraId="1658B3C5">
      <w:pPr>
        <w:rPr>
          <w:rFonts w:hint="eastAsia" w:ascii="宋体" w:hAnsi="宋体" w:eastAsia="宋体" w:cs="宋体"/>
          <w:b/>
          <w:bCs/>
          <w:color w:val="auto"/>
          <w:sz w:val="21"/>
          <w:szCs w:val="21"/>
          <w:highlight w:val="none"/>
          <w:lang w:val="en-US" w:eastAsia="zh-CN"/>
        </w:rPr>
      </w:pPr>
    </w:p>
    <w:p w14:paraId="6D40806C">
      <w:pPr>
        <w:spacing w:line="360" w:lineRule="auto"/>
        <w:outlineLvl w:val="3"/>
        <w:rPr>
          <w:rFonts w:hint="eastAsia" w:ascii="宋体" w:hAnsi="宋体" w:eastAsia="宋体" w:cs="宋体"/>
          <w:b/>
          <w:color w:val="auto"/>
          <w:sz w:val="21"/>
          <w:szCs w:val="21"/>
          <w:highlight w:val="none"/>
        </w:rPr>
      </w:pPr>
    </w:p>
    <w:p w14:paraId="14BCD72D">
      <w:pPr>
        <w:spacing w:line="360" w:lineRule="auto"/>
        <w:outlineLvl w:val="3"/>
        <w:rPr>
          <w:rFonts w:hint="eastAsia" w:ascii="宋体" w:hAnsi="宋体" w:eastAsia="宋体" w:cs="宋体"/>
          <w:b/>
          <w:color w:val="auto"/>
          <w:sz w:val="21"/>
          <w:szCs w:val="21"/>
          <w:highlight w:val="none"/>
        </w:rPr>
      </w:pPr>
    </w:p>
    <w:p w14:paraId="68FBF999">
      <w:pPr>
        <w:spacing w:line="360" w:lineRule="auto"/>
        <w:outlineLvl w:val="3"/>
        <w:rPr>
          <w:rFonts w:hint="eastAsia" w:ascii="宋体" w:hAnsi="宋体" w:eastAsia="宋体" w:cs="宋体"/>
          <w:b/>
          <w:color w:val="auto"/>
          <w:sz w:val="21"/>
          <w:szCs w:val="21"/>
          <w:highlight w:val="none"/>
        </w:rPr>
      </w:pPr>
    </w:p>
    <w:p w14:paraId="1F8AF565">
      <w:pPr>
        <w:spacing w:line="360" w:lineRule="auto"/>
        <w:outlineLvl w:val="3"/>
        <w:rPr>
          <w:rFonts w:hint="eastAsia" w:ascii="宋体" w:hAnsi="宋体" w:eastAsia="宋体" w:cs="宋体"/>
          <w:b/>
          <w:color w:val="auto"/>
          <w:sz w:val="21"/>
          <w:szCs w:val="21"/>
          <w:highlight w:val="none"/>
        </w:rPr>
      </w:pPr>
    </w:p>
    <w:p w14:paraId="07B7AD5C">
      <w:pPr>
        <w:spacing w:line="360" w:lineRule="auto"/>
        <w:outlineLvl w:val="3"/>
        <w:rPr>
          <w:rFonts w:hint="eastAsia" w:ascii="宋体" w:hAnsi="宋体" w:eastAsia="宋体" w:cs="宋体"/>
          <w:b/>
          <w:color w:val="auto"/>
          <w:sz w:val="21"/>
          <w:szCs w:val="21"/>
          <w:highlight w:val="none"/>
        </w:rPr>
      </w:pPr>
    </w:p>
    <w:p w14:paraId="06B9B8DF">
      <w:pPr>
        <w:spacing w:line="360" w:lineRule="auto"/>
        <w:outlineLvl w:val="3"/>
        <w:rPr>
          <w:rFonts w:hint="eastAsia" w:ascii="宋体" w:hAnsi="宋体" w:eastAsia="宋体" w:cs="宋体"/>
          <w:b/>
          <w:color w:val="auto"/>
          <w:sz w:val="21"/>
          <w:szCs w:val="21"/>
          <w:highlight w:val="none"/>
        </w:rPr>
      </w:pPr>
    </w:p>
    <w:p w14:paraId="4E7E980E">
      <w:pPr>
        <w:spacing w:line="360" w:lineRule="auto"/>
        <w:outlineLvl w:val="3"/>
        <w:rPr>
          <w:rFonts w:hint="eastAsia" w:ascii="宋体" w:hAnsi="宋体" w:eastAsia="宋体" w:cs="宋体"/>
          <w:b/>
          <w:color w:val="auto"/>
          <w:sz w:val="21"/>
          <w:szCs w:val="21"/>
          <w:highlight w:val="none"/>
        </w:rPr>
      </w:pPr>
    </w:p>
    <w:p w14:paraId="59226D07">
      <w:pPr>
        <w:spacing w:line="360" w:lineRule="auto"/>
        <w:outlineLvl w:val="3"/>
        <w:rPr>
          <w:rFonts w:hint="eastAsia" w:ascii="宋体" w:hAnsi="宋体" w:eastAsia="宋体" w:cs="宋体"/>
          <w:b/>
          <w:color w:val="auto"/>
          <w:sz w:val="21"/>
          <w:szCs w:val="21"/>
          <w:highlight w:val="none"/>
        </w:rPr>
      </w:pPr>
    </w:p>
    <w:p w14:paraId="71886DC9">
      <w:pPr>
        <w:spacing w:line="360" w:lineRule="auto"/>
        <w:outlineLvl w:val="3"/>
        <w:rPr>
          <w:rFonts w:hint="eastAsia" w:ascii="宋体" w:hAnsi="宋体" w:eastAsia="宋体" w:cs="宋体"/>
          <w:b/>
          <w:color w:val="auto"/>
          <w:sz w:val="21"/>
          <w:szCs w:val="21"/>
          <w:highlight w:val="none"/>
        </w:rPr>
      </w:pPr>
    </w:p>
    <w:p w14:paraId="4723ADC7">
      <w:pPr>
        <w:spacing w:line="360" w:lineRule="auto"/>
        <w:outlineLvl w:val="3"/>
        <w:rPr>
          <w:rFonts w:hint="eastAsia" w:ascii="宋体" w:hAnsi="宋体" w:eastAsia="宋体" w:cs="宋体"/>
          <w:b/>
          <w:color w:val="auto"/>
          <w:sz w:val="21"/>
          <w:szCs w:val="21"/>
          <w:highlight w:val="none"/>
        </w:rPr>
      </w:pPr>
    </w:p>
    <w:p w14:paraId="3B6F7A5B">
      <w:pPr>
        <w:spacing w:line="360" w:lineRule="auto"/>
        <w:outlineLvl w:val="3"/>
        <w:rPr>
          <w:rFonts w:hint="eastAsia" w:ascii="宋体" w:hAnsi="宋体" w:eastAsia="宋体" w:cs="宋体"/>
          <w:b/>
          <w:color w:val="auto"/>
          <w:sz w:val="21"/>
          <w:szCs w:val="21"/>
          <w:highlight w:val="none"/>
        </w:rPr>
      </w:pPr>
    </w:p>
    <w:p w14:paraId="1C0AB4EC">
      <w:pPr>
        <w:widowControl w:val="0"/>
        <w:spacing w:after="0" w:line="360" w:lineRule="auto"/>
        <w:jc w:val="left"/>
        <w:outlineLvl w:val="1"/>
        <w:rPr>
          <w:rFonts w:hint="eastAsia" w:ascii="宋体" w:hAnsi="宋体" w:eastAsia="宋体" w:cs="宋体"/>
          <w:b/>
          <w:color w:val="auto"/>
          <w:sz w:val="21"/>
          <w:szCs w:val="21"/>
          <w:highlight w:val="none"/>
          <w:lang w:val="en-US" w:eastAsia="zh-CN"/>
        </w:rPr>
      </w:pPr>
      <w:bookmarkStart w:id="639" w:name="_Toc25926"/>
      <w:r>
        <w:rPr>
          <w:rFonts w:hint="eastAsia" w:ascii="宋体" w:hAnsi="宋体" w:eastAsia="宋体" w:cs="宋体"/>
          <w:b/>
          <w:color w:val="auto"/>
          <w:sz w:val="21"/>
          <w:szCs w:val="21"/>
          <w:highlight w:val="none"/>
          <w:lang w:val="en-US" w:eastAsia="zh-CN"/>
        </w:rPr>
        <w:t>附件3：东莞市水务集团供水有限公司货物到货验收表</w:t>
      </w:r>
      <w:bookmarkEnd w:id="639"/>
    </w:p>
    <w:p w14:paraId="3F14D89E">
      <w:pPr>
        <w:widowControl w:val="0"/>
        <w:spacing w:after="0" w:line="600" w:lineRule="exact"/>
        <w:jc w:val="center"/>
        <w:rPr>
          <w:rFonts w:hint="eastAsia" w:ascii="Times New Roman" w:hAnsi="Times New Roman" w:eastAsia="方正小标宋简体" w:cs="Times New Roman"/>
          <w:b w:val="0"/>
          <w:bCs/>
          <w:color w:val="auto"/>
          <w:spacing w:val="-10"/>
          <w:kern w:val="2"/>
          <w:sz w:val="44"/>
          <w:szCs w:val="44"/>
          <w:highlight w:val="none"/>
          <w:lang w:val="en-US" w:eastAsia="zh-CN" w:bidi="ar-SA"/>
        </w:rPr>
      </w:pPr>
      <w:r>
        <w:rPr>
          <w:rFonts w:hint="default" w:ascii="Times New Roman" w:hAnsi="Times New Roman" w:eastAsia="方正小标宋简体" w:cs="Times New Roman"/>
          <w:b w:val="0"/>
          <w:bCs/>
          <w:color w:val="auto"/>
          <w:spacing w:val="-10"/>
          <w:kern w:val="2"/>
          <w:sz w:val="44"/>
          <w:szCs w:val="44"/>
          <w:highlight w:val="none"/>
          <w:lang w:val="en-US" w:eastAsia="zh-CN" w:bidi="ar-SA"/>
        </w:rPr>
        <w:t>东莞市水务集团</w:t>
      </w:r>
      <w:r>
        <w:rPr>
          <w:rFonts w:hint="eastAsia" w:ascii="Times New Roman" w:hAnsi="Times New Roman" w:eastAsia="方正小标宋简体" w:cs="Times New Roman"/>
          <w:b w:val="0"/>
          <w:bCs/>
          <w:color w:val="auto"/>
          <w:spacing w:val="-10"/>
          <w:kern w:val="2"/>
          <w:sz w:val="44"/>
          <w:szCs w:val="44"/>
          <w:highlight w:val="none"/>
          <w:lang w:val="en-US" w:eastAsia="zh-CN" w:bidi="ar-SA"/>
        </w:rPr>
        <w:t>供水有限公司</w:t>
      </w:r>
      <w:r>
        <w:rPr>
          <w:rFonts w:hint="default" w:ascii="Times New Roman" w:hAnsi="Times New Roman" w:eastAsia="方正小标宋简体" w:cs="Times New Roman"/>
          <w:b w:val="0"/>
          <w:bCs/>
          <w:color w:val="auto"/>
          <w:spacing w:val="-10"/>
          <w:kern w:val="2"/>
          <w:sz w:val="44"/>
          <w:szCs w:val="44"/>
          <w:highlight w:val="none"/>
          <w:lang w:val="en-US" w:eastAsia="zh-CN" w:bidi="ar-SA"/>
        </w:rPr>
        <w:t>货物</w:t>
      </w:r>
      <w:r>
        <w:rPr>
          <w:rFonts w:hint="eastAsia" w:ascii="Times New Roman" w:hAnsi="Times New Roman" w:eastAsia="方正小标宋简体" w:cs="Times New Roman"/>
          <w:b w:val="0"/>
          <w:bCs/>
          <w:color w:val="auto"/>
          <w:spacing w:val="-10"/>
          <w:kern w:val="2"/>
          <w:sz w:val="44"/>
          <w:szCs w:val="44"/>
          <w:highlight w:val="none"/>
          <w:lang w:val="en-US" w:eastAsia="zh-CN" w:bidi="ar-SA"/>
        </w:rPr>
        <w:t>到货验收表</w:t>
      </w:r>
    </w:p>
    <w:p w14:paraId="0DB64172">
      <w:pPr>
        <w:pStyle w:val="19"/>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编号：                                     </w:t>
      </w:r>
    </w:p>
    <w:tbl>
      <w:tblPr>
        <w:tblStyle w:val="44"/>
        <w:tblpPr w:leftFromText="180" w:rightFromText="180" w:vertAnchor="text" w:horzAnchor="page" w:tblpX="1088" w:tblpY="94"/>
        <w:tblOverlap w:val="never"/>
        <w:tblW w:w="5000" w:type="pct"/>
        <w:tblInd w:w="0" w:type="dxa"/>
        <w:tblLayout w:type="autofit"/>
        <w:tblCellMar>
          <w:top w:w="0" w:type="dxa"/>
          <w:left w:w="108" w:type="dxa"/>
          <w:bottom w:w="0" w:type="dxa"/>
          <w:right w:w="108" w:type="dxa"/>
        </w:tblCellMar>
      </w:tblPr>
      <w:tblGrid>
        <w:gridCol w:w="1306"/>
        <w:gridCol w:w="3371"/>
        <w:gridCol w:w="206"/>
        <w:gridCol w:w="698"/>
        <w:gridCol w:w="1108"/>
        <w:gridCol w:w="3681"/>
      </w:tblGrid>
      <w:tr w14:paraId="13C4604C">
        <w:tblPrEx>
          <w:tblCellMar>
            <w:top w:w="0" w:type="dxa"/>
            <w:left w:w="108" w:type="dxa"/>
            <w:bottom w:w="0" w:type="dxa"/>
            <w:right w:w="108" w:type="dxa"/>
          </w:tblCellMar>
        </w:tblPrEx>
        <w:trPr>
          <w:trHeight w:val="437"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077EBD1A">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合同名称</w:t>
            </w:r>
          </w:p>
        </w:tc>
        <w:tc>
          <w:tcPr>
            <w:tcW w:w="4378" w:type="pct"/>
            <w:gridSpan w:val="5"/>
            <w:tcBorders>
              <w:top w:val="single" w:color="auto" w:sz="4" w:space="0"/>
              <w:left w:val="single" w:color="auto" w:sz="4" w:space="0"/>
              <w:bottom w:val="single" w:color="auto" w:sz="4" w:space="0"/>
              <w:right w:val="single" w:color="auto" w:sz="4" w:space="0"/>
            </w:tcBorders>
            <w:noWrap/>
            <w:vAlign w:val="center"/>
          </w:tcPr>
          <w:p w14:paraId="2A34198A">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东莞市供水计量设施更新项目(2025年计量仪表采购)－</w:t>
            </w:r>
            <w:r>
              <w:rPr>
                <w:rFonts w:hint="default" w:ascii="Times New Roman" w:hAnsi="Times New Roman" w:eastAsia="仿宋_GB2312" w:cs="Times New Roman"/>
                <w:b w:val="0"/>
                <w:bCs/>
                <w:snapToGrid/>
                <w:color w:val="auto"/>
                <w:kern w:val="0"/>
                <w:sz w:val="22"/>
                <w:szCs w:val="22"/>
                <w:highlight w:val="none"/>
                <w:lang w:val="en-US" w:eastAsia="zh-CN"/>
              </w:rPr>
              <w:t>旋翼式远传水表</w:t>
            </w:r>
          </w:p>
        </w:tc>
      </w:tr>
      <w:tr w14:paraId="7C827688">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00FE9C10">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供货单位</w:t>
            </w:r>
          </w:p>
        </w:tc>
        <w:tc>
          <w:tcPr>
            <w:tcW w:w="1631" w:type="pct"/>
            <w:tcBorders>
              <w:top w:val="single" w:color="auto" w:sz="4" w:space="0"/>
              <w:left w:val="single" w:color="auto" w:sz="4" w:space="0"/>
              <w:bottom w:val="single" w:color="auto" w:sz="4" w:space="0"/>
              <w:right w:val="single" w:color="auto" w:sz="4" w:space="0"/>
            </w:tcBorders>
            <w:noWrap/>
            <w:vAlign w:val="center"/>
          </w:tcPr>
          <w:p w14:paraId="05161F39">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val="en-US" w:eastAsia="zh-CN"/>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14:paraId="7916D19E">
            <w:pPr>
              <w:keepNext w:val="0"/>
              <w:keepLines w:val="0"/>
              <w:widowControl/>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到货时间</w:t>
            </w:r>
          </w:p>
        </w:tc>
        <w:tc>
          <w:tcPr>
            <w:tcW w:w="1780" w:type="pct"/>
            <w:tcBorders>
              <w:top w:val="single" w:color="auto" w:sz="4" w:space="0"/>
              <w:left w:val="single" w:color="auto" w:sz="4" w:space="0"/>
              <w:bottom w:val="single" w:color="auto" w:sz="4" w:space="0"/>
              <w:right w:val="single" w:color="auto" w:sz="4" w:space="0"/>
            </w:tcBorders>
            <w:noWrap/>
            <w:vAlign w:val="center"/>
          </w:tcPr>
          <w:p w14:paraId="0DA59AEC">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0845442A">
        <w:tblPrEx>
          <w:tblCellMar>
            <w:top w:w="0" w:type="dxa"/>
            <w:left w:w="108" w:type="dxa"/>
            <w:bottom w:w="0" w:type="dxa"/>
            <w:right w:w="108" w:type="dxa"/>
          </w:tblCellMar>
        </w:tblPrEx>
        <w:trPr>
          <w:trHeight w:val="460" w:hRule="atLeast"/>
        </w:trPr>
        <w:tc>
          <w:tcPr>
            <w:tcW w:w="621" w:type="pct"/>
            <w:tcBorders>
              <w:top w:val="single" w:color="auto" w:sz="4" w:space="0"/>
              <w:left w:val="single" w:color="auto" w:sz="4" w:space="0"/>
              <w:bottom w:val="single" w:color="auto" w:sz="4" w:space="0"/>
              <w:right w:val="single" w:color="auto" w:sz="4" w:space="0"/>
            </w:tcBorders>
            <w:noWrap/>
            <w:vAlign w:val="center"/>
          </w:tcPr>
          <w:p w14:paraId="2CF4CD7C">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采购</w:t>
            </w:r>
            <w:r>
              <w:rPr>
                <w:rFonts w:hint="default" w:ascii="Times New Roman" w:hAnsi="Times New Roman" w:eastAsia="仿宋_GB2312" w:cs="Times New Roman"/>
                <w:b w:val="0"/>
                <w:bCs/>
                <w:snapToGrid/>
                <w:color w:val="auto"/>
                <w:kern w:val="0"/>
                <w:sz w:val="22"/>
                <w:szCs w:val="22"/>
                <w:highlight w:val="none"/>
                <w:lang w:eastAsia="zh-CN"/>
              </w:rPr>
              <w:t>单位</w:t>
            </w:r>
          </w:p>
        </w:tc>
        <w:tc>
          <w:tcPr>
            <w:tcW w:w="1631" w:type="pct"/>
            <w:tcBorders>
              <w:top w:val="single" w:color="auto" w:sz="4" w:space="0"/>
              <w:left w:val="single" w:color="auto" w:sz="4" w:space="0"/>
              <w:bottom w:val="single" w:color="auto" w:sz="4" w:space="0"/>
              <w:right w:val="single" w:color="auto" w:sz="4" w:space="0"/>
            </w:tcBorders>
            <w:noWrap/>
            <w:vAlign w:val="center"/>
          </w:tcPr>
          <w:p w14:paraId="7337978C">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966" w:type="pct"/>
            <w:gridSpan w:val="3"/>
            <w:tcBorders>
              <w:top w:val="single" w:color="auto" w:sz="4" w:space="0"/>
              <w:left w:val="single" w:color="auto" w:sz="4" w:space="0"/>
              <w:bottom w:val="single" w:color="auto" w:sz="4" w:space="0"/>
              <w:right w:val="single" w:color="auto" w:sz="4" w:space="0"/>
            </w:tcBorders>
            <w:noWrap/>
            <w:vAlign w:val="center"/>
          </w:tcPr>
          <w:p w14:paraId="431DA58A">
            <w:pPr>
              <w:keepNext w:val="0"/>
              <w:keepLines w:val="0"/>
              <w:widowControl/>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验收时间</w:t>
            </w:r>
          </w:p>
        </w:tc>
        <w:tc>
          <w:tcPr>
            <w:tcW w:w="1780" w:type="pct"/>
            <w:tcBorders>
              <w:top w:val="single" w:color="auto" w:sz="4" w:space="0"/>
              <w:left w:val="single" w:color="auto" w:sz="4" w:space="0"/>
              <w:bottom w:val="single" w:color="auto" w:sz="4" w:space="0"/>
              <w:right w:val="single" w:color="auto" w:sz="4" w:space="0"/>
            </w:tcBorders>
            <w:noWrap/>
            <w:vAlign w:val="center"/>
          </w:tcPr>
          <w:p w14:paraId="50D6A425">
            <w:pPr>
              <w:keepNext w:val="0"/>
              <w:keepLines w:val="0"/>
              <w:widowControl/>
              <w:suppressLineNumbers w:val="0"/>
              <w:kinsoku/>
              <w:autoSpaceDE/>
              <w:autoSpaceDN/>
              <w:adjustRightInd/>
              <w:snapToGrid w:val="0"/>
              <w:spacing w:before="0" w:beforeAutospacing="0" w:after="0" w:afterAutospacing="0" w:line="300" w:lineRule="exact"/>
              <w:ind w:left="0" w:right="0"/>
              <w:jc w:val="left"/>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 xml:space="preserve">         年    月    日</w:t>
            </w:r>
          </w:p>
        </w:tc>
      </w:tr>
      <w:tr w14:paraId="0FCD4F3F">
        <w:tblPrEx>
          <w:tblCellMar>
            <w:top w:w="0" w:type="dxa"/>
            <w:left w:w="108" w:type="dxa"/>
            <w:bottom w:w="0" w:type="dxa"/>
            <w:right w:w="108" w:type="dxa"/>
          </w:tblCellMar>
        </w:tblPrEx>
        <w:trPr>
          <w:trHeight w:val="1356" w:hRule="atLeast"/>
        </w:trPr>
        <w:tc>
          <w:tcPr>
            <w:tcW w:w="621" w:type="pct"/>
            <w:tcBorders>
              <w:top w:val="single" w:color="auto" w:sz="4" w:space="0"/>
              <w:left w:val="single" w:color="auto" w:sz="4" w:space="0"/>
              <w:right w:val="single" w:color="auto" w:sz="4" w:space="0"/>
            </w:tcBorders>
            <w:noWrap/>
            <w:vAlign w:val="center"/>
          </w:tcPr>
          <w:p w14:paraId="73139B6D">
            <w:pPr>
              <w:keepNext w:val="0"/>
              <w:keepLines w:val="0"/>
              <w:widowControl/>
              <w:suppressLineNumbers w:val="0"/>
              <w:kinsoku/>
              <w:autoSpaceDE/>
              <w:autoSpaceDN/>
              <w:adjustRightInd/>
              <w:snapToGrid w:val="0"/>
              <w:spacing w:before="0" w:beforeAutospacing="0" w:after="0" w:afterAutospacing="0"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w:t>
            </w:r>
          </w:p>
          <w:p w14:paraId="487EFADB">
            <w:pPr>
              <w:keepNext w:val="0"/>
              <w:keepLines w:val="0"/>
              <w:widowControl/>
              <w:suppressLineNumbers w:val="0"/>
              <w:kinsoku/>
              <w:autoSpaceDE/>
              <w:autoSpaceDN/>
              <w:adjustRightInd/>
              <w:snapToGrid w:val="0"/>
              <w:spacing w:before="0" w:beforeAutospacing="0" w:after="0" w:afterAutospacing="0" w:line="300" w:lineRule="exact"/>
              <w:ind w:left="-105" w:leftChars="-50" w:right="-105" w:rightChars="-5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清单</w:t>
            </w:r>
          </w:p>
        </w:tc>
        <w:tc>
          <w:tcPr>
            <w:tcW w:w="4378" w:type="pct"/>
            <w:gridSpan w:val="5"/>
            <w:tcBorders>
              <w:top w:val="single" w:color="auto" w:sz="4" w:space="0"/>
              <w:left w:val="single" w:color="auto" w:sz="4" w:space="0"/>
              <w:bottom w:val="single" w:color="auto" w:sz="4" w:space="0"/>
              <w:right w:val="single" w:color="auto" w:sz="4" w:space="0"/>
            </w:tcBorders>
            <w:noWrap w:val="0"/>
            <w:vAlign w:val="center"/>
          </w:tcPr>
          <w:p w14:paraId="3DED3ECF">
            <w:pPr>
              <w:keepNext w:val="0"/>
              <w:keepLines w:val="0"/>
              <w:widowControl/>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eastAsia" w:ascii="仿宋" w:hAnsi="仿宋" w:eastAsia="仿宋" w:cs="仿宋"/>
                <w:b w:val="0"/>
                <w:bCs w:val="0"/>
                <w:color w:val="auto"/>
                <w:sz w:val="24"/>
                <w:szCs w:val="24"/>
                <w:highlight w:val="none"/>
                <w:lang w:val="en-US" w:eastAsia="zh-CN"/>
              </w:rPr>
              <w:t>已供货物详见附件清单</w:t>
            </w:r>
          </w:p>
        </w:tc>
      </w:tr>
      <w:tr w14:paraId="2031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restart"/>
            <w:tcBorders>
              <w:top w:val="single" w:color="auto" w:sz="4" w:space="0"/>
              <w:left w:val="single" w:color="auto" w:sz="4" w:space="0"/>
              <w:right w:val="single" w:color="auto" w:sz="4" w:space="0"/>
            </w:tcBorders>
            <w:noWrap w:val="0"/>
            <w:vAlign w:val="center"/>
          </w:tcPr>
          <w:p w14:paraId="714978BB">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进场</w:t>
            </w:r>
          </w:p>
          <w:p w14:paraId="675C0838">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检查</w:t>
            </w:r>
          </w:p>
          <w:p w14:paraId="0023C385">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情况</w:t>
            </w:r>
          </w:p>
        </w:tc>
        <w:tc>
          <w:tcPr>
            <w:tcW w:w="1631" w:type="pct"/>
            <w:tcBorders>
              <w:top w:val="single" w:color="auto" w:sz="4" w:space="0"/>
              <w:left w:val="single" w:color="auto" w:sz="4" w:space="0"/>
              <w:right w:val="single" w:color="auto" w:sz="4" w:space="0"/>
            </w:tcBorders>
            <w:noWrap w:val="0"/>
            <w:vAlign w:val="center"/>
          </w:tcPr>
          <w:p w14:paraId="18498D66">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货物数量是否齐全，如否请备注缺货或错货情况</w:t>
            </w:r>
          </w:p>
        </w:tc>
        <w:tc>
          <w:tcPr>
            <w:tcW w:w="2746" w:type="pct"/>
            <w:gridSpan w:val="4"/>
            <w:tcBorders>
              <w:top w:val="single" w:color="auto" w:sz="4" w:space="0"/>
              <w:left w:val="single" w:color="auto" w:sz="4" w:space="0"/>
              <w:right w:val="single" w:color="auto" w:sz="4" w:space="0"/>
            </w:tcBorders>
            <w:noWrap w:val="0"/>
            <w:vAlign w:val="center"/>
          </w:tcPr>
          <w:p w14:paraId="04B1C6B5">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0D5C7E4B">
            <w:pPr>
              <w:keepNext w:val="0"/>
              <w:keepLines w:val="0"/>
              <w:widowControl w:val="0"/>
              <w:suppressLineNumbers w:val="0"/>
              <w:spacing w:before="0" w:beforeAutospacing="0" w:after="0" w:afterAutospacing="0" w:line="300" w:lineRule="exact"/>
              <w:ind w:left="0" w:right="0" w:firstLine="0" w:firstLineChars="0"/>
              <w:jc w:val="both"/>
              <w:rPr>
                <w:rFonts w:hint="default" w:ascii="Times New Roman" w:hAnsi="Times New Roman" w:eastAsia="仿宋_GB2312" w:cs="Times New Roman"/>
                <w:bCs/>
                <w:color w:val="auto"/>
                <w:kern w:val="2"/>
                <w:sz w:val="21"/>
                <w:szCs w:val="2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7FB5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021FBAE2">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4FD6414D">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货物是否完好无损，如否请备注货损情况</w:t>
            </w:r>
          </w:p>
        </w:tc>
        <w:tc>
          <w:tcPr>
            <w:tcW w:w="2746" w:type="pct"/>
            <w:gridSpan w:val="4"/>
            <w:tcBorders>
              <w:top w:val="single" w:color="auto" w:sz="4" w:space="0"/>
              <w:left w:val="single" w:color="auto" w:sz="4" w:space="0"/>
              <w:right w:val="single" w:color="auto" w:sz="4" w:space="0"/>
            </w:tcBorders>
            <w:noWrap w:val="0"/>
            <w:vAlign w:val="center"/>
          </w:tcPr>
          <w:p w14:paraId="08E20784">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2E4AA068">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2099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1F5AA270">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1252DFB7">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随货物备品备件和专用工具情况，如有缺请备注</w:t>
            </w:r>
          </w:p>
        </w:tc>
        <w:tc>
          <w:tcPr>
            <w:tcW w:w="2746" w:type="pct"/>
            <w:gridSpan w:val="4"/>
            <w:tcBorders>
              <w:top w:val="single" w:color="auto" w:sz="4" w:space="0"/>
              <w:left w:val="single" w:color="auto" w:sz="4" w:space="0"/>
              <w:right w:val="single" w:color="auto" w:sz="4" w:space="0"/>
            </w:tcBorders>
            <w:noWrap w:val="0"/>
            <w:vAlign w:val="center"/>
          </w:tcPr>
          <w:p w14:paraId="662D7229">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6D8B4547">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4F4C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1DAEE37F">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458A2D2D">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货物和配件材质是否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6" w:type="pct"/>
            <w:gridSpan w:val="4"/>
            <w:tcBorders>
              <w:top w:val="single" w:color="auto" w:sz="4" w:space="0"/>
              <w:left w:val="single" w:color="auto" w:sz="4" w:space="0"/>
              <w:right w:val="single" w:color="auto" w:sz="4" w:space="0"/>
            </w:tcBorders>
            <w:noWrap w:val="0"/>
            <w:vAlign w:val="center"/>
          </w:tcPr>
          <w:p w14:paraId="2075DAC2">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05C71665">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234F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right w:val="single" w:color="auto" w:sz="4" w:space="0"/>
            </w:tcBorders>
            <w:noWrap w:val="0"/>
            <w:vAlign w:val="center"/>
          </w:tcPr>
          <w:p w14:paraId="118A16E7">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068A01F0">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货物和配件性能参数是否</w:t>
            </w:r>
            <w:r>
              <w:rPr>
                <w:rFonts w:hint="eastAsia" w:ascii="Times New Roman" w:hAnsi="Times New Roman" w:eastAsia="仿宋_GB2312" w:cs="Times New Roman"/>
                <w:b w:val="0"/>
                <w:bCs/>
                <w:snapToGrid/>
                <w:color w:val="auto"/>
                <w:kern w:val="0"/>
                <w:sz w:val="22"/>
                <w:szCs w:val="22"/>
                <w:highlight w:val="none"/>
                <w:lang w:val="en-US" w:eastAsia="zh-CN"/>
              </w:rPr>
              <w:t>符合需求</w:t>
            </w:r>
            <w:r>
              <w:rPr>
                <w:rFonts w:hint="default" w:ascii="Times New Roman" w:hAnsi="Times New Roman" w:eastAsia="仿宋_GB2312" w:cs="Times New Roman"/>
                <w:b w:val="0"/>
                <w:bCs/>
                <w:snapToGrid/>
                <w:color w:val="auto"/>
                <w:kern w:val="0"/>
                <w:sz w:val="22"/>
                <w:szCs w:val="22"/>
                <w:highlight w:val="none"/>
                <w:lang w:eastAsia="zh-CN"/>
              </w:rPr>
              <w:t>，如否请备注情况</w:t>
            </w:r>
          </w:p>
        </w:tc>
        <w:tc>
          <w:tcPr>
            <w:tcW w:w="2746" w:type="pct"/>
            <w:gridSpan w:val="4"/>
            <w:tcBorders>
              <w:top w:val="single" w:color="auto" w:sz="4" w:space="0"/>
              <w:left w:val="single" w:color="auto" w:sz="4" w:space="0"/>
              <w:right w:val="single" w:color="auto" w:sz="4" w:space="0"/>
            </w:tcBorders>
            <w:noWrap w:val="0"/>
            <w:vAlign w:val="center"/>
          </w:tcPr>
          <w:p w14:paraId="5CA95B26">
            <w:pPr>
              <w:keepNext w:val="0"/>
              <w:keepLines w:val="0"/>
              <w:widowControl w:val="0"/>
              <w:suppressLineNumbers w:val="0"/>
              <w:kinsoku/>
              <w:autoSpaceDE/>
              <w:autoSpaceDN/>
              <w:adjustRightInd/>
              <w:snapToGrid w:val="0"/>
              <w:spacing w:before="0" w:beforeAutospacing="0" w:after="0" w:afterAutospacing="0" w:line="300" w:lineRule="exact"/>
              <w:ind w:left="0" w:right="0" w:firstLine="0" w:firstLineChars="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p w14:paraId="0E3B034C">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val="en-US" w:eastAsia="zh-CN"/>
              </w:rPr>
              <w:t>备注：</w:t>
            </w:r>
          </w:p>
        </w:tc>
      </w:tr>
      <w:tr w14:paraId="127D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314DADC6">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18E53C22">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到货资料检查</w:t>
            </w:r>
          </w:p>
        </w:tc>
        <w:tc>
          <w:tcPr>
            <w:tcW w:w="2746" w:type="pct"/>
            <w:gridSpan w:val="4"/>
            <w:tcBorders>
              <w:top w:val="single" w:color="auto" w:sz="4" w:space="0"/>
              <w:left w:val="single" w:color="auto" w:sz="4" w:space="0"/>
              <w:right w:val="single" w:color="auto" w:sz="4" w:space="0"/>
            </w:tcBorders>
            <w:noWrap w:val="0"/>
            <w:vAlign w:val="center"/>
          </w:tcPr>
          <w:p w14:paraId="541ECA9B">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产品说明书</w:t>
            </w:r>
            <w:r>
              <w:rPr>
                <w:rFonts w:hint="default" w:ascii="Times New Roman" w:hAnsi="Times New Roman" w:eastAsia="仿宋_GB2312" w:cs="Times New Roman"/>
                <w:b w:val="0"/>
                <w:bCs/>
                <w:snapToGrid/>
                <w:color w:val="auto"/>
                <w:kern w:val="0"/>
                <w:sz w:val="22"/>
                <w:szCs w:val="22"/>
                <w:highlight w:val="none"/>
                <w:lang w:eastAsia="zh-CN"/>
              </w:rPr>
              <w:t>、</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产品合格证、</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保修单、</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val="en-US" w:eastAsia="zh-CN"/>
              </w:rPr>
              <w:t>出厂检测</w:t>
            </w:r>
            <w:r>
              <w:rPr>
                <w:rFonts w:hint="default" w:ascii="Times New Roman" w:hAnsi="Times New Roman" w:eastAsia="仿宋_GB2312" w:cs="Times New Roman"/>
                <w:b w:val="0"/>
                <w:bCs/>
                <w:snapToGrid/>
                <w:color w:val="auto"/>
                <w:kern w:val="0"/>
                <w:sz w:val="22"/>
                <w:szCs w:val="22"/>
                <w:highlight w:val="none"/>
                <w:lang w:eastAsia="zh-CN"/>
              </w:rPr>
              <w:t>报告、</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技术图纸、</w:t>
            </w:r>
            <w:r>
              <w:rPr>
                <w:rFonts w:hint="eastAsia" w:ascii="Times New Roman" w:hAnsi="Times New Roman" w:eastAsia="仿宋_GB2312" w:cs="Times New Roman"/>
                <w:b w:val="0"/>
                <w:bCs/>
                <w:snapToGrid/>
                <w:color w:val="auto"/>
                <w:kern w:val="0"/>
                <w:sz w:val="22"/>
                <w:szCs w:val="22"/>
                <w:highlight w:val="none"/>
                <w:lang w:eastAsia="zh-CN"/>
              </w:rPr>
              <w:t>其他</w:t>
            </w:r>
            <w:r>
              <w:rPr>
                <w:rFonts w:hint="default" w:ascii="Times New Roman" w:hAnsi="Times New Roman" w:eastAsia="仿宋_GB2312" w:cs="Times New Roman"/>
                <w:b w:val="0"/>
                <w:bCs/>
                <w:snapToGrid/>
                <w:color w:val="auto"/>
                <w:kern w:val="0"/>
                <w:sz w:val="22"/>
                <w:szCs w:val="22"/>
                <w:highlight w:val="none"/>
                <w:lang w:eastAsia="zh-CN"/>
              </w:rPr>
              <w:t xml:space="preserve">      </w:t>
            </w:r>
          </w:p>
        </w:tc>
      </w:tr>
      <w:tr w14:paraId="6381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05EF42FB">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4DD5550D">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是否需要送检</w:t>
            </w:r>
          </w:p>
        </w:tc>
        <w:tc>
          <w:tcPr>
            <w:tcW w:w="2746" w:type="pct"/>
            <w:gridSpan w:val="4"/>
            <w:tcBorders>
              <w:top w:val="single" w:color="auto" w:sz="4" w:space="0"/>
              <w:left w:val="single" w:color="auto" w:sz="4" w:space="0"/>
              <w:right w:val="single" w:color="auto" w:sz="4" w:space="0"/>
            </w:tcBorders>
            <w:noWrap w:val="0"/>
            <w:vAlign w:val="center"/>
          </w:tcPr>
          <w:p w14:paraId="53FDB1E4">
            <w:pPr>
              <w:keepNext w:val="0"/>
              <w:keepLines w:val="0"/>
              <w:widowControl w:val="0"/>
              <w:suppressLineNumbers w:val="0"/>
              <w:kinsoku/>
              <w:autoSpaceDE/>
              <w:autoSpaceDN/>
              <w:adjustRightInd/>
              <w:snapToGrid w:val="0"/>
              <w:spacing w:before="0" w:beforeAutospacing="0" w:after="0" w:afterAutospacing="0" w:line="300" w:lineRule="exact"/>
              <w:ind w:left="0" w:right="0" w:firstLine="880" w:firstLineChars="40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是</w:t>
            </w:r>
            <w:r>
              <w:rPr>
                <w:rFonts w:hint="default" w:ascii="Times New Roman" w:hAnsi="Times New Roman" w:eastAsia="仿宋_GB2312" w:cs="Times New Roman"/>
                <w:b w:val="0"/>
                <w:bCs/>
                <w:snapToGrid/>
                <w:color w:val="auto"/>
                <w:kern w:val="0"/>
                <w:sz w:val="22"/>
                <w:szCs w:val="22"/>
                <w:highlight w:val="none"/>
                <w:lang w:val="en-US" w:eastAsia="zh-CN"/>
              </w:rPr>
              <w:t xml:space="preserve">            </w:t>
            </w:r>
            <w:r>
              <w:rPr>
                <w:rFonts w:hint="default" w:ascii="Times New Roman" w:hAnsi="Times New Roman" w:eastAsia="仿宋_GB2312" w:cs="Times New Roman"/>
                <w:b w:val="0"/>
                <w:bCs/>
                <w:snapToGrid/>
                <w:color w:val="auto"/>
                <w:kern w:val="0"/>
                <w:sz w:val="22"/>
                <w:szCs w:val="22"/>
                <w:highlight w:val="none"/>
                <w:lang w:eastAsia="zh-CN"/>
              </w:rPr>
              <w:sym w:font="Wingdings 2" w:char="00A3"/>
            </w:r>
            <w:r>
              <w:rPr>
                <w:rFonts w:hint="default" w:ascii="Times New Roman" w:hAnsi="Times New Roman" w:eastAsia="仿宋_GB2312" w:cs="Times New Roman"/>
                <w:b w:val="0"/>
                <w:bCs/>
                <w:snapToGrid/>
                <w:color w:val="auto"/>
                <w:kern w:val="0"/>
                <w:sz w:val="22"/>
                <w:szCs w:val="22"/>
                <w:highlight w:val="none"/>
                <w:lang w:eastAsia="zh-CN"/>
              </w:rPr>
              <w:t>否</w:t>
            </w:r>
          </w:p>
        </w:tc>
      </w:tr>
      <w:tr w14:paraId="3ED2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1" w:type="pct"/>
            <w:vMerge w:val="continue"/>
            <w:tcBorders>
              <w:left w:val="single" w:color="auto" w:sz="4" w:space="0"/>
              <w:bottom w:val="single" w:color="auto" w:sz="4" w:space="0"/>
              <w:right w:val="single" w:color="auto" w:sz="4" w:space="0"/>
            </w:tcBorders>
            <w:noWrap w:val="0"/>
            <w:vAlign w:val="center"/>
          </w:tcPr>
          <w:p w14:paraId="533EABF0">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p>
        </w:tc>
        <w:tc>
          <w:tcPr>
            <w:tcW w:w="1631" w:type="pct"/>
            <w:tcBorders>
              <w:top w:val="single" w:color="auto" w:sz="4" w:space="0"/>
              <w:left w:val="single" w:color="auto" w:sz="4" w:space="0"/>
              <w:right w:val="single" w:color="auto" w:sz="4" w:space="0"/>
            </w:tcBorders>
            <w:noWrap w:val="0"/>
            <w:vAlign w:val="center"/>
          </w:tcPr>
          <w:p w14:paraId="411F2A85">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其他问题</w:t>
            </w:r>
          </w:p>
        </w:tc>
        <w:tc>
          <w:tcPr>
            <w:tcW w:w="2746" w:type="pct"/>
            <w:gridSpan w:val="4"/>
            <w:tcBorders>
              <w:top w:val="single" w:color="auto" w:sz="4" w:space="0"/>
              <w:left w:val="single" w:color="auto" w:sz="4" w:space="0"/>
              <w:right w:val="single" w:color="auto" w:sz="4" w:space="0"/>
            </w:tcBorders>
            <w:noWrap w:val="0"/>
            <w:vAlign w:val="center"/>
          </w:tcPr>
          <w:p w14:paraId="34B0DD10">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eastAsia="zh-CN"/>
              </w:rPr>
            </w:pPr>
          </w:p>
        </w:tc>
      </w:tr>
      <w:tr w14:paraId="1575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51" w:type="pct"/>
            <w:gridSpan w:val="3"/>
            <w:tcBorders>
              <w:left w:val="single" w:color="auto" w:sz="4" w:space="0"/>
              <w:bottom w:val="single" w:color="auto" w:sz="4" w:space="0"/>
              <w:right w:val="single" w:color="auto" w:sz="4" w:space="0"/>
            </w:tcBorders>
            <w:noWrap w:val="0"/>
            <w:vAlign w:val="center"/>
          </w:tcPr>
          <w:p w14:paraId="2AB420B3">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 w:val="0"/>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0"/>
                <w:sz w:val="22"/>
                <w:szCs w:val="22"/>
                <w:highlight w:val="none"/>
                <w:lang w:eastAsia="zh-CN"/>
              </w:rPr>
              <w:t>现场到货验收意见</w:t>
            </w:r>
          </w:p>
        </w:tc>
        <w:tc>
          <w:tcPr>
            <w:tcW w:w="2648" w:type="pct"/>
            <w:gridSpan w:val="3"/>
            <w:tcBorders>
              <w:top w:val="single" w:color="auto" w:sz="4" w:space="0"/>
              <w:left w:val="single" w:color="auto" w:sz="4" w:space="0"/>
              <w:right w:val="single" w:color="auto" w:sz="4" w:space="0"/>
            </w:tcBorders>
            <w:noWrap w:val="0"/>
            <w:vAlign w:val="center"/>
          </w:tcPr>
          <w:p w14:paraId="050621F5">
            <w:pPr>
              <w:pStyle w:val="1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20" w:firstLineChars="200"/>
              <w:textAlignment w:val="auto"/>
              <w:rPr>
                <w:rFonts w:hint="default" w:ascii="Times New Roman" w:hAnsi="Times New Roman" w:eastAsia="仿宋_GB2312" w:cs="Times New Roman"/>
                <w:b w:val="0"/>
                <w:bCs/>
                <w:snapToGrid/>
                <w:color w:val="auto"/>
                <w:kern w:val="2"/>
                <w:sz w:val="31"/>
                <w:szCs w:val="24"/>
                <w:highlight w:val="none"/>
                <w:lang w:eastAsia="zh-CN"/>
              </w:rPr>
            </w:pPr>
          </w:p>
          <w:p w14:paraId="0B3A59F8">
            <w:pPr>
              <w:pStyle w:val="19"/>
              <w:keepNext w:val="0"/>
              <w:keepLines w:val="0"/>
              <w:suppressLineNumbers w:val="0"/>
              <w:spacing w:before="0" w:beforeAutospacing="0" w:after="0" w:afterAutospacing="0"/>
              <w:ind w:left="0"/>
              <w:rPr>
                <w:rFonts w:hint="default"/>
                <w:color w:val="auto"/>
                <w:highlight w:val="none"/>
                <w:lang w:eastAsia="zh-CN"/>
              </w:rPr>
            </w:pPr>
          </w:p>
          <w:p w14:paraId="2D4CE02C">
            <w:pPr>
              <w:keepNext w:val="0"/>
              <w:keepLines w:val="0"/>
              <w:suppressLineNumbers w:val="0"/>
              <w:spacing w:before="0" w:beforeAutospacing="0" w:after="0" w:afterAutospacing="0"/>
              <w:ind w:left="0" w:right="0"/>
              <w:rPr>
                <w:rFonts w:hint="default"/>
                <w:color w:val="auto"/>
                <w:highlight w:val="none"/>
                <w:lang w:eastAsia="zh-CN"/>
              </w:rPr>
            </w:pPr>
          </w:p>
        </w:tc>
      </w:tr>
      <w:tr w14:paraId="35C667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5000" w:type="pct"/>
            <w:gridSpan w:val="6"/>
            <w:tcBorders>
              <w:top w:val="single" w:color="auto" w:sz="6" w:space="0"/>
              <w:left w:val="single" w:color="auto" w:sz="6" w:space="0"/>
              <w:bottom w:val="single" w:color="auto" w:sz="6" w:space="0"/>
              <w:right w:val="single" w:color="auto" w:sz="6" w:space="0"/>
            </w:tcBorders>
            <w:noWrap/>
            <w:vAlign w:val="center"/>
          </w:tcPr>
          <w:p w14:paraId="0287538F">
            <w:pPr>
              <w:keepNext w:val="0"/>
              <w:keepLines w:val="0"/>
              <w:widowControl w:val="0"/>
              <w:suppressLineNumbers w:val="0"/>
              <w:kinsoku/>
              <w:autoSpaceDE/>
              <w:autoSpaceDN/>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bCs/>
                <w:snapToGrid/>
                <w:color w:val="auto"/>
                <w:kern w:val="0"/>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 xml:space="preserve">参 加  验 收 的 单 位 和 代 表 （签 </w:t>
            </w:r>
            <w:r>
              <w:rPr>
                <w:rFonts w:hint="default" w:ascii="Times New Roman" w:hAnsi="Times New Roman" w:eastAsia="仿宋_GB2312" w:cs="Times New Roman"/>
                <w:b w:val="0"/>
                <w:bCs/>
                <w:snapToGrid/>
                <w:color w:val="auto"/>
                <w:kern w:val="2"/>
                <w:sz w:val="22"/>
                <w:szCs w:val="22"/>
                <w:highlight w:val="none"/>
                <w:lang w:val="en-US" w:eastAsia="zh-CN"/>
              </w:rPr>
              <w:t>字</w:t>
            </w:r>
            <w:r>
              <w:rPr>
                <w:rFonts w:hint="default" w:ascii="Times New Roman" w:hAnsi="Times New Roman" w:eastAsia="仿宋_GB2312" w:cs="Times New Roman"/>
                <w:b w:val="0"/>
                <w:bCs/>
                <w:snapToGrid/>
                <w:color w:val="auto"/>
                <w:kern w:val="2"/>
                <w:sz w:val="22"/>
                <w:szCs w:val="22"/>
                <w:highlight w:val="none"/>
                <w:lang w:eastAsia="zh-CN"/>
              </w:rPr>
              <w:t>）</w:t>
            </w:r>
          </w:p>
        </w:tc>
      </w:tr>
      <w:tr w14:paraId="10B0DE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trPr>
        <w:tc>
          <w:tcPr>
            <w:tcW w:w="2686" w:type="pct"/>
            <w:gridSpan w:val="4"/>
            <w:tcBorders>
              <w:top w:val="single" w:color="auto" w:sz="6" w:space="0"/>
              <w:left w:val="single" w:color="auto" w:sz="6" w:space="0"/>
              <w:bottom w:val="single" w:color="auto" w:sz="6" w:space="0"/>
              <w:right w:val="single" w:color="auto" w:sz="6" w:space="0"/>
            </w:tcBorders>
            <w:noWrap/>
            <w:vAlign w:val="top"/>
          </w:tcPr>
          <w:p w14:paraId="7989EFC8">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c>
          <w:tcPr>
            <w:tcW w:w="2313" w:type="pct"/>
            <w:gridSpan w:val="2"/>
            <w:tcBorders>
              <w:top w:val="single" w:color="auto" w:sz="6" w:space="0"/>
              <w:left w:val="single" w:color="auto" w:sz="6" w:space="0"/>
              <w:bottom w:val="single" w:color="auto" w:sz="6" w:space="0"/>
              <w:right w:val="single" w:color="auto" w:sz="6" w:space="0"/>
            </w:tcBorders>
            <w:noWrap w:val="0"/>
            <w:vAlign w:val="top"/>
          </w:tcPr>
          <w:p w14:paraId="0EBBED80">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0"/>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w:t>
            </w:r>
            <w:r>
              <w:rPr>
                <w:rFonts w:hint="eastAsia" w:ascii="Times New Roman" w:hAnsi="Times New Roman" w:eastAsia="仿宋_GB2312" w:cs="Times New Roman"/>
                <w:b w:val="0"/>
                <w:bCs/>
                <w:snapToGrid/>
                <w:color w:val="auto"/>
                <w:kern w:val="2"/>
                <w:sz w:val="22"/>
                <w:szCs w:val="22"/>
                <w:highlight w:val="none"/>
                <w:lang w:val="en-US" w:eastAsia="zh-CN"/>
              </w:rPr>
              <w:t xml:space="preserve">  </w:t>
            </w:r>
          </w:p>
        </w:tc>
      </w:tr>
      <w:tr w14:paraId="138572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trPr>
        <w:tc>
          <w:tcPr>
            <w:tcW w:w="5000" w:type="pct"/>
            <w:gridSpan w:val="6"/>
            <w:tcBorders>
              <w:top w:val="single" w:color="auto" w:sz="6" w:space="0"/>
              <w:left w:val="single" w:color="auto" w:sz="6" w:space="0"/>
              <w:bottom w:val="single" w:color="auto" w:sz="6" w:space="0"/>
              <w:right w:val="single" w:color="auto" w:sz="6" w:space="0"/>
            </w:tcBorders>
            <w:noWrap/>
            <w:vAlign w:val="top"/>
          </w:tcPr>
          <w:p w14:paraId="20FD9BAB">
            <w:pPr>
              <w:keepNext w:val="0"/>
              <w:keepLines w:val="0"/>
              <w:widowControl w:val="0"/>
              <w:suppressLineNumbers w:val="0"/>
              <w:kinsoku/>
              <w:autoSpaceDE/>
              <w:autoSpaceDN/>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b w:val="0"/>
                <w:bCs/>
                <w:snapToGrid/>
                <w:color w:val="auto"/>
                <w:kern w:val="2"/>
                <w:sz w:val="22"/>
                <w:szCs w:val="22"/>
                <w:highlight w:val="none"/>
                <w:lang w:val="en-US" w:eastAsia="zh-CN"/>
              </w:rPr>
            </w:pPr>
            <w:r>
              <w:rPr>
                <w:rFonts w:hint="default" w:ascii="Times New Roman" w:hAnsi="Times New Roman" w:eastAsia="仿宋_GB2312" w:cs="Times New Roman"/>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240C6C3E">
      <w:pPr>
        <w:pStyle w:val="19"/>
        <w:rPr>
          <w:rFonts w:hint="default" w:ascii="Times New Roman" w:hAnsi="Times New Roman" w:eastAsia="仿宋_GB2312" w:cs="Times New Roman"/>
          <w:b w:val="0"/>
          <w:bCs/>
          <w:snapToGrid/>
          <w:color w:val="auto"/>
          <w:kern w:val="2"/>
          <w:sz w:val="22"/>
          <w:szCs w:val="22"/>
          <w:highlight w:val="none"/>
          <w:lang w:eastAsia="zh-CN"/>
        </w:rPr>
      </w:pPr>
      <w:r>
        <w:rPr>
          <w:rFonts w:hint="default" w:ascii="Times New Roman" w:hAnsi="Times New Roman" w:eastAsia="仿宋_GB2312" w:cs="Times New Roman"/>
          <w:b w:val="0"/>
          <w:bCs/>
          <w:snapToGrid/>
          <w:color w:val="auto"/>
          <w:kern w:val="2"/>
          <w:sz w:val="22"/>
          <w:szCs w:val="22"/>
          <w:highlight w:val="none"/>
          <w:lang w:eastAsia="zh-CN"/>
        </w:rPr>
        <w:t>此表一式</w:t>
      </w:r>
      <w:r>
        <w:rPr>
          <w:rFonts w:hint="default" w:ascii="Times New Roman" w:hAnsi="Times New Roman" w:eastAsia="仿宋_GB2312" w:cs="Times New Roman"/>
          <w:b w:val="0"/>
          <w:bCs/>
          <w:snapToGrid/>
          <w:color w:val="auto"/>
          <w:kern w:val="2"/>
          <w:sz w:val="22"/>
          <w:szCs w:val="22"/>
          <w:highlight w:val="none"/>
          <w:lang w:val="en-US" w:eastAsia="zh-CN"/>
        </w:rPr>
        <w:t>两</w:t>
      </w:r>
      <w:r>
        <w:rPr>
          <w:rFonts w:hint="default" w:ascii="Times New Roman" w:hAnsi="Times New Roman" w:eastAsia="仿宋_GB2312" w:cs="Times New Roman"/>
          <w:b w:val="0"/>
          <w:bCs/>
          <w:snapToGrid/>
          <w:color w:val="auto"/>
          <w:kern w:val="2"/>
          <w:sz w:val="22"/>
          <w:szCs w:val="22"/>
          <w:highlight w:val="none"/>
          <w:lang w:eastAsia="zh-CN"/>
        </w:rPr>
        <w:t>份，</w:t>
      </w:r>
      <w:r>
        <w:rPr>
          <w:rFonts w:hint="default" w:ascii="Times New Roman" w:hAnsi="Times New Roman" w:eastAsia="仿宋_GB2312" w:cs="Times New Roman"/>
          <w:b w:val="0"/>
          <w:bCs/>
          <w:snapToGrid/>
          <w:color w:val="auto"/>
          <w:kern w:val="2"/>
          <w:sz w:val="22"/>
          <w:szCs w:val="22"/>
          <w:highlight w:val="none"/>
          <w:lang w:val="en-US" w:eastAsia="zh-CN"/>
        </w:rPr>
        <w:t>供货</w:t>
      </w:r>
      <w:r>
        <w:rPr>
          <w:rFonts w:hint="default" w:ascii="Times New Roman" w:hAnsi="Times New Roman" w:eastAsia="仿宋_GB2312" w:cs="Times New Roman"/>
          <w:b w:val="0"/>
          <w:bCs/>
          <w:snapToGrid/>
          <w:color w:val="auto"/>
          <w:kern w:val="2"/>
          <w:sz w:val="22"/>
          <w:szCs w:val="22"/>
          <w:highlight w:val="none"/>
          <w:lang w:eastAsia="zh-CN"/>
        </w:rPr>
        <w:t>单位、</w:t>
      </w:r>
      <w:r>
        <w:rPr>
          <w:rFonts w:hint="default" w:ascii="Times New Roman" w:hAnsi="Times New Roman" w:eastAsia="仿宋_GB2312" w:cs="Times New Roman"/>
          <w:b w:val="0"/>
          <w:bCs/>
          <w:snapToGrid/>
          <w:color w:val="auto"/>
          <w:kern w:val="2"/>
          <w:sz w:val="22"/>
          <w:szCs w:val="22"/>
          <w:highlight w:val="none"/>
          <w:lang w:val="en-US" w:eastAsia="zh-CN"/>
        </w:rPr>
        <w:t>采购</w:t>
      </w:r>
      <w:r>
        <w:rPr>
          <w:rFonts w:hint="default" w:ascii="Times New Roman" w:hAnsi="Times New Roman" w:eastAsia="仿宋_GB2312" w:cs="Times New Roman"/>
          <w:b w:val="0"/>
          <w:bCs/>
          <w:snapToGrid/>
          <w:color w:val="auto"/>
          <w:kern w:val="2"/>
          <w:sz w:val="22"/>
          <w:szCs w:val="22"/>
          <w:highlight w:val="none"/>
          <w:lang w:eastAsia="zh-CN"/>
        </w:rPr>
        <w:t>单位各存一份。</w:t>
      </w:r>
    </w:p>
    <w:p w14:paraId="309987D1">
      <w:pPr>
        <w:spacing w:line="360" w:lineRule="auto"/>
        <w:outlineLvl w:val="3"/>
        <w:rPr>
          <w:rFonts w:hint="eastAsia" w:ascii="宋体" w:hAnsi="宋体" w:eastAsia="宋体" w:cs="宋体"/>
          <w:b/>
          <w:color w:val="auto"/>
          <w:sz w:val="21"/>
          <w:szCs w:val="21"/>
          <w:highlight w:val="none"/>
        </w:rPr>
      </w:pPr>
    </w:p>
    <w:p w14:paraId="541B2D76">
      <w:pPr>
        <w:spacing w:line="360" w:lineRule="auto"/>
        <w:outlineLvl w:val="3"/>
        <w:rPr>
          <w:rFonts w:hint="eastAsia" w:ascii="宋体" w:hAnsi="宋体" w:eastAsia="宋体" w:cs="宋体"/>
          <w:b/>
          <w:color w:val="auto"/>
          <w:sz w:val="21"/>
          <w:szCs w:val="21"/>
          <w:highlight w:val="none"/>
        </w:rPr>
      </w:pPr>
    </w:p>
    <w:p w14:paraId="7754D0B3">
      <w:pPr>
        <w:spacing w:line="360" w:lineRule="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w:t>
      </w:r>
      <w:r>
        <w:rPr>
          <w:rFonts w:hint="eastAsia" w:ascii="宋体" w:hAnsi="宋体" w:eastAsia="宋体" w:cs="宋体"/>
          <w:b/>
          <w:color w:val="auto"/>
          <w:sz w:val="21"/>
          <w:szCs w:val="21"/>
          <w:highlight w:val="none"/>
          <w:lang w:val="en-US" w:eastAsia="zh-CN"/>
        </w:rPr>
        <w:t>件5</w:t>
      </w:r>
      <w:r>
        <w:rPr>
          <w:rFonts w:hint="eastAsia" w:ascii="宋体" w:hAnsi="宋体" w:eastAsia="宋体" w:cs="宋体"/>
          <w:b/>
          <w:color w:val="auto"/>
          <w:sz w:val="21"/>
          <w:szCs w:val="21"/>
          <w:highlight w:val="none"/>
        </w:rPr>
        <w:t>：廉洁协议书</w:t>
      </w:r>
    </w:p>
    <w:p w14:paraId="36136723">
      <w:pPr>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color w:val="auto"/>
          <w:sz w:val="21"/>
          <w:szCs w:val="21"/>
          <w:highlight w:val="none"/>
        </w:rPr>
        <w:t>廉洁协议书</w:t>
      </w:r>
    </w:p>
    <w:p w14:paraId="0C556EAE">
      <w:pPr>
        <w:autoSpaceDE w:val="0"/>
        <w:autoSpaceDN w:val="0"/>
        <w:adjustRightInd w:val="0"/>
        <w:spacing w:line="360" w:lineRule="auto"/>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 w:val="21"/>
          <w:szCs w:val="21"/>
          <w:highlight w:val="none"/>
          <w:lang w:eastAsia="zh-CN"/>
        </w:rPr>
        <w:t>东莞市供水计量设施更新项目(2025年计量仪表采购)－旋翼式远传水表</w:t>
      </w:r>
      <w:r>
        <w:rPr>
          <w:rFonts w:hint="eastAsia" w:ascii="宋体" w:hAnsi="宋体" w:eastAsia="宋体" w:cs="宋体"/>
          <w:color w:val="auto"/>
          <w:kern w:val="0"/>
          <w:sz w:val="21"/>
          <w:szCs w:val="21"/>
          <w:highlight w:val="none"/>
        </w:rPr>
        <w:t>（招标编号：</w:t>
      </w:r>
      <w:r>
        <w:rPr>
          <w:rFonts w:hint="eastAsia" w:ascii="宋体" w:hAnsi="宋体" w:eastAsia="宋体" w:cs="宋体"/>
          <w:color w:val="auto"/>
          <w:kern w:val="0"/>
          <w:sz w:val="21"/>
          <w:szCs w:val="21"/>
          <w:highlight w:val="none"/>
          <w:lang w:val="en-US" w:eastAsia="zh-CN"/>
        </w:rPr>
        <w:t>SSWSSZ12501144</w:t>
      </w:r>
      <w:r>
        <w:rPr>
          <w:rFonts w:hint="eastAsia" w:ascii="宋体" w:hAnsi="宋体" w:eastAsia="宋体" w:cs="宋体"/>
          <w:color w:val="auto"/>
          <w:kern w:val="0"/>
          <w:sz w:val="21"/>
          <w:szCs w:val="21"/>
          <w:highlight w:val="none"/>
        </w:rPr>
        <w:t>）</w:t>
      </w:r>
    </w:p>
    <w:p w14:paraId="16EDB714">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甲方（业主单位）： </w:t>
      </w:r>
    </w:p>
    <w:p w14:paraId="6256F687">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p>
    <w:p w14:paraId="1BCB276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2673BB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14:paraId="3975549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14:paraId="2588B30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14:paraId="658D9CC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23D3BB7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14:paraId="032C8B8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14:paraId="555F2A0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14:paraId="5C61FD5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14:paraId="145BC48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14:paraId="055736B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14:paraId="2E12CEE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14:paraId="69D8972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14:paraId="4D87A99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14:paraId="0C6AC85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14:paraId="2DC2B45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7903230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14:paraId="2EB2F1D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14:paraId="338EBCA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14:paraId="6A02F66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14:paraId="26BDAB7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14:paraId="527B9E3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14:paraId="29A231D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14:paraId="73C192D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B93A03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30EB99B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14:paraId="7F8D025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14:paraId="105A2A0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14:paraId="7B04E46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14:paraId="09F7E1B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第六条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举报信访受理</w:t>
      </w:r>
    </w:p>
    <w:p w14:paraId="58C165F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(一)举报受理部门: 东莞市水务集团有限公司纪检监察部。</w:t>
      </w:r>
    </w:p>
    <w:p w14:paraId="7CCB0CA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14:paraId="38A408E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jcsi@dgswit.cn.</w:t>
      </w:r>
    </w:p>
    <w:p w14:paraId="0238BF0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(四)信访地址: 广东省东莞市东城街道育华路 1 号 </w:t>
      </w:r>
    </w:p>
    <w:p w14:paraId="061E49F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第七条  </w:t>
      </w:r>
      <w:r>
        <w:rPr>
          <w:rFonts w:hint="eastAsia" w:ascii="宋体" w:hAnsi="宋体" w:eastAsia="宋体" w:cs="宋体"/>
          <w:color w:val="auto"/>
          <w:kern w:val="0"/>
          <w:sz w:val="21"/>
          <w:szCs w:val="21"/>
          <w:highlight w:val="none"/>
        </w:rPr>
        <w:t>其他</w:t>
      </w:r>
    </w:p>
    <w:p w14:paraId="6168B31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份，甲、乙双方上级主管部门各执</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strike w:val="0"/>
          <w:dstrike w:val="0"/>
          <w:color w:val="auto"/>
          <w:kern w:val="0"/>
          <w:sz w:val="21"/>
          <w:szCs w:val="21"/>
          <w:highlight w:val="none"/>
          <w:u w:val="single"/>
          <w:lang w:val="en-US" w:eastAsia="zh-CN"/>
        </w:rPr>
        <w:t xml:space="preserve"> </w:t>
      </w:r>
      <w:r>
        <w:rPr>
          <w:rFonts w:hint="eastAsia" w:ascii="宋体" w:hAnsi="宋体" w:eastAsia="宋体" w:cs="宋体"/>
          <w:strike w:val="0"/>
          <w:dstrike w:val="0"/>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份。</w:t>
      </w:r>
    </w:p>
    <w:p w14:paraId="3BA45A9F">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509375DB">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auto"/>
          <w:kern w:val="2"/>
          <w:sz w:val="21"/>
          <w:szCs w:val="21"/>
          <w:highlight w:val="none"/>
        </w:rPr>
      </w:pPr>
    </w:p>
    <w:p w14:paraId="2AF09679">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甲方（盖章）：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乙方（盖章）： </w:t>
      </w:r>
    </w:p>
    <w:p w14:paraId="2587D6EA">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3EB9F8D3">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法定代表（或负责）人：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法定代表人：</w:t>
      </w:r>
    </w:p>
    <w:p w14:paraId="5BCC8067">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p>
    <w:p w14:paraId="320A2FA0">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甲方代表：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乙方代表：</w:t>
      </w:r>
    </w:p>
    <w:p w14:paraId="2BE257D2">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jc w:val="both"/>
        <w:textAlignment w:val="auto"/>
        <w:rPr>
          <w:rFonts w:hint="eastAsia" w:ascii="宋体" w:hAnsi="宋体" w:eastAsia="宋体" w:cs="宋体"/>
          <w:color w:val="auto"/>
          <w:kern w:val="2"/>
          <w:sz w:val="21"/>
          <w:szCs w:val="21"/>
          <w:highlight w:val="none"/>
        </w:rPr>
      </w:pPr>
    </w:p>
    <w:p w14:paraId="77B85DF2">
      <w:pPr>
        <w:keepNext w:val="0"/>
        <w:keepLines w:val="0"/>
        <w:pageBreakBefore w:val="0"/>
        <w:widowControl w:val="0"/>
        <w:kinsoku/>
        <w:wordWrap/>
        <w:overflowPunct/>
        <w:topLinePunct w:val="0"/>
        <w:autoSpaceDE/>
        <w:autoSpaceDN/>
        <w:bidi w:val="0"/>
        <w:adjustRightInd/>
        <w:snapToGrid/>
        <w:spacing w:before="66" w:beforeLines="20" w:after="66"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签订日期：</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年  月  日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年  月  日</w:t>
      </w:r>
    </w:p>
    <w:p w14:paraId="19162E5D">
      <w:pPr>
        <w:widowControl w:val="0"/>
        <w:autoSpaceDE w:val="0"/>
        <w:autoSpaceDN w:val="0"/>
        <w:adjustRightInd w:val="0"/>
        <w:jc w:val="left"/>
        <w:outlineLvl w:val="2"/>
        <w:rPr>
          <w:rFonts w:hint="eastAsia" w:ascii="宋体" w:hAnsi="Calibri" w:eastAsia="宋体" w:cs="Times New Roman"/>
          <w:color w:val="auto"/>
          <w:kern w:val="0"/>
          <w:sz w:val="24"/>
          <w:szCs w:val="24"/>
          <w:highlight w:val="none"/>
          <w:lang w:val="en-US" w:eastAsia="zh-CN" w:bidi="ar-SA"/>
        </w:rPr>
      </w:pPr>
    </w:p>
    <w:p w14:paraId="00797ADF">
      <w:pPr>
        <w:spacing w:line="240" w:lineRule="auto"/>
        <w:rPr>
          <w:rFonts w:hint="eastAsia" w:ascii="宋体" w:hAnsi="宋体" w:eastAsia="宋体" w:cs="宋体"/>
          <w:b/>
          <w:color w:val="auto"/>
          <w:szCs w:val="21"/>
          <w:highlight w:val="none"/>
        </w:rPr>
      </w:pPr>
    </w:p>
    <w:p w14:paraId="5046620B">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640" w:name="_Toc23067"/>
      <w:r>
        <w:rPr>
          <w:rFonts w:hint="eastAsia" w:ascii="宋体" w:hAnsi="宋体" w:eastAsia="宋体" w:cs="宋体"/>
          <w:b/>
          <w:bCs/>
          <w:color w:val="auto"/>
          <w:kern w:val="44"/>
          <w:sz w:val="32"/>
          <w:szCs w:val="32"/>
          <w:highlight w:val="none"/>
          <w:lang w:val="zh-CN"/>
        </w:rPr>
        <w:t>第五篇 相关保函格式</w:t>
      </w:r>
      <w:bookmarkEnd w:id="640"/>
    </w:p>
    <w:p w14:paraId="452D807D">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一、不可撤销银行履约保函格式</w:t>
      </w:r>
    </w:p>
    <w:p w14:paraId="24117AB2">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47055CC0">
      <w:pPr>
        <w:widowControl/>
        <w:autoSpaceDE w:val="0"/>
        <w:autoSpaceDN w:val="0"/>
        <w:adjustRightInd w:val="0"/>
        <w:spacing w:line="360" w:lineRule="auto"/>
        <w:jc w:val="left"/>
        <w:rPr>
          <w:rFonts w:ascii="宋体" w:hAnsi="宋体" w:eastAsia="宋体" w:cs="宋体"/>
          <w:color w:val="auto"/>
          <w:kern w:val="0"/>
          <w:szCs w:val="21"/>
          <w:highlight w:val="none"/>
        </w:rPr>
      </w:pPr>
    </w:p>
    <w:p w14:paraId="293371DF">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3410BB67">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BD4D33F">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7A95A82F">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1251C97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2C921DCF">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3191A57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4E53EDBB">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本保函应从合同签订之日起至合同期限届满并完成全部供货验收合格后二十八（28）日内保持有效。</w:t>
      </w:r>
    </w:p>
    <w:p w14:paraId="42CBD3CE">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4F26DF9E">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6050B7D1">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27357147">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45A4F464">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72532460">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17AE64DD">
      <w:pPr>
        <w:widowControl/>
        <w:autoSpaceDE w:val="0"/>
        <w:autoSpaceDN w:val="0"/>
        <w:adjustRightInd w:val="0"/>
        <w:spacing w:line="360" w:lineRule="auto"/>
        <w:jc w:val="left"/>
        <w:rPr>
          <w:rFonts w:ascii="宋体" w:hAnsi="宋体" w:eastAsia="宋体" w:cs="宋体"/>
          <w:color w:val="auto"/>
          <w:kern w:val="0"/>
          <w:szCs w:val="21"/>
          <w:highlight w:val="none"/>
        </w:rPr>
      </w:pPr>
    </w:p>
    <w:p w14:paraId="24B4D5C9">
      <w:pPr>
        <w:widowControl/>
        <w:autoSpaceDE w:val="0"/>
        <w:autoSpaceDN w:val="0"/>
        <w:adjustRightInd w:val="0"/>
        <w:spacing w:line="360" w:lineRule="auto"/>
        <w:jc w:val="left"/>
        <w:rPr>
          <w:rFonts w:ascii="宋体" w:hAnsi="宋体" w:eastAsia="宋体" w:cs="宋体"/>
          <w:color w:val="auto"/>
          <w:kern w:val="0"/>
          <w:szCs w:val="21"/>
          <w:highlight w:val="none"/>
        </w:rPr>
      </w:pPr>
    </w:p>
    <w:p w14:paraId="3AF9CBCF">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3" w:type="default"/>
          <w:pgSz w:w="12240" w:h="15840"/>
          <w:pgMar w:top="1191" w:right="1043" w:bottom="1191" w:left="1043" w:header="720" w:footer="720" w:gutter="0"/>
          <w:pgNumType w:fmt="decimal"/>
          <w:cols w:space="720" w:num="1"/>
          <w:docGrid w:linePitch="326" w:charSpace="0"/>
        </w:sectPr>
      </w:pPr>
    </w:p>
    <w:p w14:paraId="49C2CD72">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01F09A4C">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64AC9AFF">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10215C0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6FCE4968">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3374EB8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6BC486E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778D7DD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4CA8478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35CE25A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7345B0D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51CDBC5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1CD6FE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4C220E0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25B76AE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1640867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本履约保证保险应从合同签订之日起至合同期限届满并完成全部供货验收合格后二十八（28）日内保持有效</w:t>
      </w:r>
      <w:r>
        <w:rPr>
          <w:rFonts w:hint="eastAsia" w:ascii="宋体" w:hAnsi="宋体" w:eastAsia="宋体" w:cs="宋体"/>
          <w:color w:val="auto"/>
          <w:kern w:val="2"/>
          <w:szCs w:val="21"/>
          <w:highlight w:val="none"/>
          <w:lang w:val="zh-CN"/>
        </w:rPr>
        <w:t>。</w:t>
      </w:r>
    </w:p>
    <w:p w14:paraId="4BD83660">
      <w:pPr>
        <w:autoSpaceDE w:val="0"/>
        <w:autoSpaceDN w:val="0"/>
        <w:adjustRightInd w:val="0"/>
        <w:spacing w:line="360" w:lineRule="auto"/>
        <w:ind w:firstLine="437"/>
        <w:jc w:val="left"/>
        <w:rPr>
          <w:rFonts w:ascii="宋体" w:hAnsi="Calibri" w:eastAsia="宋体" w:cs="Times New Roman"/>
          <w:color w:val="auto"/>
          <w:kern w:val="0"/>
          <w:sz w:val="24"/>
          <w:szCs w:val="24"/>
          <w:highlight w:val="none"/>
          <w:lang w:val="en-US" w:eastAsia="zh-CN" w:bidi="ar-SA"/>
        </w:rPr>
      </w:pPr>
    </w:p>
    <w:p w14:paraId="31B53678">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14EC0E19">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7CDC392">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64DB4BEB">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7435B928">
      <w:pPr>
        <w:jc w:val="right"/>
        <w:rPr>
          <w:rFonts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r>
        <w:rPr>
          <w:rFonts w:hint="eastAsia" w:ascii="宋体" w:hAnsi="宋体" w:eastAsia="宋体" w:cs="Times New Roman"/>
          <w:b/>
          <w:color w:val="auto"/>
          <w:kern w:val="0"/>
          <w:sz w:val="28"/>
          <w:szCs w:val="28"/>
          <w:highlight w:val="none"/>
        </w:rPr>
        <w:br w:type="page"/>
      </w:r>
    </w:p>
    <w:p w14:paraId="4EF9ABE5">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6E014AA9">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7C59EDAE">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F202B7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2E74CB38">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15DD070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101F4ABD">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8D1DB67">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本保函应从合同签订之日起至合同期限届满并完成全部供货验收合格后二十八（28）日内保持有效</w:t>
      </w:r>
      <w:r>
        <w:rPr>
          <w:rFonts w:hint="eastAsia" w:ascii="宋体" w:hAnsi="宋体" w:eastAsia="宋体" w:cs="宋体"/>
          <w:color w:val="auto"/>
          <w:kern w:val="2"/>
          <w:szCs w:val="21"/>
          <w:highlight w:val="none"/>
          <w:lang w:val="zh-CN"/>
        </w:rPr>
        <w:t>。</w:t>
      </w:r>
    </w:p>
    <w:p w14:paraId="7B8DE3A6">
      <w:pPr>
        <w:autoSpaceDE w:val="0"/>
        <w:autoSpaceDN w:val="0"/>
        <w:adjustRightInd w:val="0"/>
        <w:spacing w:line="360" w:lineRule="auto"/>
        <w:jc w:val="left"/>
        <w:rPr>
          <w:rFonts w:ascii="宋体" w:hAnsi="宋体" w:eastAsia="宋体" w:cs="Times New Roman"/>
          <w:color w:val="auto"/>
          <w:kern w:val="0"/>
          <w:szCs w:val="21"/>
          <w:highlight w:val="none"/>
        </w:rPr>
      </w:pPr>
    </w:p>
    <w:p w14:paraId="28597EC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7665AA3D">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02F2CFC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54A1555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7228516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6BA4D84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5F125ECC">
      <w:pPr>
        <w:autoSpaceDE w:val="0"/>
        <w:autoSpaceDN w:val="0"/>
        <w:adjustRightInd w:val="0"/>
        <w:spacing w:line="360" w:lineRule="auto"/>
        <w:jc w:val="left"/>
        <w:rPr>
          <w:rFonts w:ascii="宋体" w:hAnsi="宋体" w:eastAsia="宋体" w:cs="Times New Roman"/>
          <w:color w:val="auto"/>
          <w:kern w:val="0"/>
          <w:szCs w:val="21"/>
          <w:highlight w:val="none"/>
        </w:rPr>
      </w:pPr>
    </w:p>
    <w:p w14:paraId="28AC1CE3">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5B12AFF">
      <w:pPr>
        <w:rPr>
          <w:rFonts w:ascii="等线" w:hAnsi="等线" w:eastAsia="等线" w:cs="Times New Roman"/>
          <w:color w:val="auto"/>
          <w:highlight w:val="none"/>
        </w:rPr>
      </w:pPr>
      <w:r>
        <w:rPr>
          <w:rFonts w:ascii="等线" w:hAnsi="等线" w:eastAsia="等线" w:cs="Times New Roman"/>
          <w:color w:val="auto"/>
          <w:highlight w:val="none"/>
        </w:rPr>
        <w:br w:type="page"/>
      </w:r>
    </w:p>
    <w:p w14:paraId="00729E9C">
      <w:pPr>
        <w:autoSpaceDE w:val="0"/>
        <w:autoSpaceDN w:val="0"/>
        <w:adjustRightInd w:val="0"/>
        <w:jc w:val="left"/>
        <w:rPr>
          <w:rFonts w:ascii="宋体" w:hAnsi="宋体" w:eastAsia="宋体" w:cs="Times New Roman"/>
          <w:b/>
          <w:color w:val="auto"/>
          <w:kern w:val="0"/>
          <w:sz w:val="30"/>
          <w:szCs w:val="30"/>
          <w:highlight w:val="none"/>
        </w:rPr>
      </w:pPr>
      <w:r>
        <w:rPr>
          <w:rFonts w:ascii="宋体" w:hAnsi="宋体" w:eastAsia="宋体" w:cs="Times New Roman"/>
          <w:b/>
          <w:color w:val="auto"/>
          <w:kern w:val="0"/>
          <w:sz w:val="28"/>
          <w:szCs w:val="28"/>
          <w:highlight w:val="none"/>
        </w:rPr>
        <w:t>四、</w:t>
      </w:r>
      <w:r>
        <w:rPr>
          <w:rFonts w:hint="eastAsia" w:ascii="宋体" w:hAnsi="宋体" w:eastAsia="宋体" w:cs="Times New Roman"/>
          <w:b/>
          <w:color w:val="auto"/>
          <w:kern w:val="0"/>
          <w:sz w:val="28"/>
          <w:szCs w:val="28"/>
          <w:highlight w:val="none"/>
        </w:rPr>
        <w:t>订单全款独立</w:t>
      </w:r>
      <w:r>
        <w:rPr>
          <w:rFonts w:hint="eastAsia" w:ascii="宋体" w:hAnsi="宋体" w:eastAsia="宋体" w:cs="Times New Roman"/>
          <w:b/>
          <w:color w:val="auto"/>
          <w:kern w:val="0"/>
          <w:sz w:val="28"/>
          <w:szCs w:val="28"/>
          <w:highlight w:val="none"/>
          <w:lang w:val="en-US" w:eastAsia="zh-CN"/>
        </w:rPr>
        <w:t>银行</w:t>
      </w:r>
      <w:r>
        <w:rPr>
          <w:rFonts w:hint="eastAsia" w:ascii="宋体" w:hAnsi="宋体" w:eastAsia="宋体" w:cs="Times New Roman"/>
          <w:b/>
          <w:color w:val="auto"/>
          <w:kern w:val="0"/>
          <w:sz w:val="28"/>
          <w:szCs w:val="28"/>
          <w:highlight w:val="none"/>
        </w:rPr>
        <w:t>保函</w:t>
      </w:r>
      <w:r>
        <w:rPr>
          <w:rFonts w:ascii="宋体" w:hAnsi="宋体" w:eastAsia="宋体" w:cs="Times New Roman"/>
          <w:b/>
          <w:color w:val="auto"/>
          <w:kern w:val="0"/>
          <w:sz w:val="30"/>
          <w:szCs w:val="30"/>
          <w:highlight w:val="none"/>
        </w:rPr>
        <w:t>格式</w:t>
      </w:r>
    </w:p>
    <w:p w14:paraId="7E5D56C3">
      <w:pPr>
        <w:autoSpaceDE w:val="0"/>
        <w:autoSpaceDN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订单全款独立</w:t>
      </w:r>
      <w:r>
        <w:rPr>
          <w:rFonts w:hint="eastAsia" w:ascii="宋体" w:hAnsi="宋体" w:eastAsia="宋体" w:cs="Times New Roman"/>
          <w:b/>
          <w:color w:val="auto"/>
          <w:kern w:val="0"/>
          <w:sz w:val="30"/>
          <w:szCs w:val="30"/>
          <w:highlight w:val="none"/>
          <w:lang w:val="en-US" w:eastAsia="zh-CN"/>
        </w:rPr>
        <w:t>银行</w:t>
      </w:r>
      <w:r>
        <w:rPr>
          <w:rFonts w:hint="eastAsia" w:ascii="宋体" w:hAnsi="宋体" w:eastAsia="宋体" w:cs="Times New Roman"/>
          <w:b/>
          <w:color w:val="auto"/>
          <w:kern w:val="0"/>
          <w:sz w:val="30"/>
          <w:szCs w:val="30"/>
          <w:highlight w:val="none"/>
        </w:rPr>
        <w:t>保函</w:t>
      </w:r>
    </w:p>
    <w:p w14:paraId="0D91315D">
      <w:pPr>
        <w:widowControl w:val="0"/>
        <w:autoSpaceDE/>
        <w:autoSpaceDN/>
        <w:adjustRightInd/>
        <w:spacing w:after="120"/>
        <w:ind w:right="0" w:firstLine="210" w:firstLineChars="100"/>
        <w:jc w:val="both"/>
        <w:rPr>
          <w:rFonts w:ascii="宋体" w:hAnsi="宋体" w:eastAsia="宋体" w:cs="Times New Roman"/>
          <w:b w:val="0"/>
          <w:bCs w:val="0"/>
          <w:color w:val="auto"/>
          <w:kern w:val="2"/>
          <w:sz w:val="21"/>
          <w:szCs w:val="21"/>
          <w:highlight w:val="none"/>
          <w:lang w:val="en-US" w:eastAsia="zh-CN" w:bidi="ar-SA"/>
        </w:rPr>
      </w:pPr>
    </w:p>
    <w:p w14:paraId="3C516FD9">
      <w:pPr>
        <w:widowControl w:val="0"/>
        <w:autoSpaceDE/>
        <w:autoSpaceDN/>
        <w:adjustRightInd/>
        <w:spacing w:after="120"/>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 xml:space="preserve">银行编号：             </w:t>
      </w:r>
    </w:p>
    <w:p w14:paraId="2D4F97AB">
      <w:pPr>
        <w:widowControl w:val="0"/>
        <w:autoSpaceDE/>
        <w:autoSpaceDN/>
        <w:adjustRightInd/>
        <w:spacing w:after="120"/>
        <w:ind w:right="0" w:firstLine="420" w:firstLineChars="200"/>
        <w:jc w:val="both"/>
        <w:rPr>
          <w:rFonts w:ascii="宋体" w:hAnsi="宋体" w:eastAsia="宋体" w:cs="Times New Roman"/>
          <w:b w:val="0"/>
          <w:bCs w:val="0"/>
          <w:color w:val="auto"/>
          <w:kern w:val="2"/>
          <w:sz w:val="21"/>
          <w:szCs w:val="21"/>
          <w:highlight w:val="none"/>
          <w:lang w:val="en-US" w:eastAsia="zh-CN" w:bidi="ar-SA"/>
        </w:rPr>
      </w:pPr>
    </w:p>
    <w:p w14:paraId="7BF73933">
      <w:pPr>
        <w:widowControl w:val="0"/>
        <w:autoSpaceDE/>
        <w:autoSpaceDN/>
        <w:adjustRightInd/>
        <w:spacing w:after="120" w:line="360" w:lineRule="auto"/>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致：                                  （下称“受益人”）</w:t>
      </w:r>
    </w:p>
    <w:p w14:paraId="715CEF1C">
      <w:pPr>
        <w:widowControl w:val="0"/>
        <w:autoSpaceDE/>
        <w:autoSpaceDN/>
        <w:adjustRightInd/>
        <w:spacing w:after="120" w:line="360" w:lineRule="auto"/>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鉴于</w:t>
      </w:r>
      <w:r>
        <w:rPr>
          <w:rFonts w:ascii="宋体" w:hAnsi="宋体" w:eastAsia="宋体" w:cs="Times New Roman"/>
          <w:b w:val="0"/>
          <w:bCs w:val="0"/>
          <w:color w:val="auto"/>
          <w:kern w:val="2"/>
          <w:sz w:val="21"/>
          <w:szCs w:val="21"/>
          <w:highlight w:val="none"/>
          <w:u w:val="single"/>
          <w:lang w:val="en-US" w:eastAsia="zh-CN" w:bidi="ar-SA"/>
        </w:rPr>
        <w:t xml:space="preserve"> （申请人全称）  </w:t>
      </w:r>
      <w:r>
        <w:rPr>
          <w:rFonts w:ascii="宋体" w:hAnsi="宋体" w:eastAsia="宋体" w:cs="Times New Roman"/>
          <w:b w:val="0"/>
          <w:bCs w:val="0"/>
          <w:color w:val="auto"/>
          <w:kern w:val="2"/>
          <w:sz w:val="21"/>
          <w:szCs w:val="21"/>
          <w:highlight w:val="none"/>
          <w:lang w:val="en-US" w:eastAsia="zh-CN" w:bidi="ar-SA"/>
        </w:rPr>
        <w:t>（下称“申请人”）与</w:t>
      </w:r>
      <w:r>
        <w:rPr>
          <w:rFonts w:ascii="宋体" w:hAnsi="宋体" w:eastAsia="宋体" w:cs="Times New Roman"/>
          <w:b w:val="0"/>
          <w:bCs w:val="0"/>
          <w:color w:val="auto"/>
          <w:kern w:val="2"/>
          <w:sz w:val="21"/>
          <w:szCs w:val="21"/>
          <w:highlight w:val="none"/>
          <w:u w:val="single"/>
          <w:lang w:val="en-US" w:eastAsia="zh-CN" w:bidi="ar-SA"/>
        </w:rPr>
        <w:t xml:space="preserve">          </w:t>
      </w:r>
      <w:r>
        <w:rPr>
          <w:rFonts w:ascii="宋体" w:hAnsi="宋体" w:eastAsia="宋体" w:cs="Times New Roman"/>
          <w:b w:val="0"/>
          <w:bCs w:val="0"/>
          <w:color w:val="auto"/>
          <w:kern w:val="2"/>
          <w:sz w:val="21"/>
          <w:szCs w:val="21"/>
          <w:highlight w:val="none"/>
          <w:lang w:val="en-US" w:eastAsia="zh-CN" w:bidi="ar-SA"/>
        </w:rPr>
        <w:t xml:space="preserve">（受益人全称）签订 </w:t>
      </w:r>
      <w:r>
        <w:rPr>
          <w:rFonts w:ascii="宋体" w:hAnsi="宋体" w:eastAsia="宋体" w:cs="Times New Roman"/>
          <w:b w:val="0"/>
          <w:bCs w:val="0"/>
          <w:color w:val="auto"/>
          <w:kern w:val="2"/>
          <w:sz w:val="21"/>
          <w:szCs w:val="21"/>
          <w:highlight w:val="none"/>
          <w:u w:val="single"/>
          <w:lang w:val="en-US" w:eastAsia="zh-CN" w:bidi="ar-SA"/>
        </w:rPr>
        <w:t xml:space="preserve">            </w:t>
      </w:r>
      <w:r>
        <w:rPr>
          <w:rFonts w:ascii="宋体" w:hAnsi="宋体" w:eastAsia="宋体" w:cs="Times New Roman"/>
          <w:b w:val="0"/>
          <w:bCs w:val="0"/>
          <w:color w:val="auto"/>
          <w:kern w:val="2"/>
          <w:sz w:val="21"/>
          <w:szCs w:val="21"/>
          <w:highlight w:val="none"/>
          <w:lang w:val="en-US" w:eastAsia="zh-CN" w:bidi="ar-SA"/>
        </w:rPr>
        <w:t>（项目名称）采购合同</w:t>
      </w:r>
      <w:r>
        <w:rPr>
          <w:rFonts w:ascii="宋体" w:hAnsi="宋体" w:eastAsia="宋体" w:cs="Times New Roman"/>
          <w:b w:val="0"/>
          <w:bCs w:val="0"/>
          <w:color w:val="auto"/>
          <w:kern w:val="2"/>
          <w:sz w:val="21"/>
          <w:szCs w:val="21"/>
          <w:highlight w:val="none"/>
          <w:u w:val="single"/>
          <w:lang w:val="en-US" w:eastAsia="zh-CN" w:bidi="ar-SA"/>
        </w:rPr>
        <w:t>(编号     ，   年    月   日签署)</w:t>
      </w:r>
      <w:r>
        <w:rPr>
          <w:rFonts w:ascii="宋体" w:hAnsi="宋体" w:eastAsia="宋体" w:cs="Times New Roman"/>
          <w:b w:val="0"/>
          <w:bCs w:val="0"/>
          <w:color w:val="auto"/>
          <w:kern w:val="2"/>
          <w:sz w:val="21"/>
          <w:szCs w:val="21"/>
          <w:highlight w:val="none"/>
          <w:lang w:val="en-US" w:eastAsia="zh-CN" w:bidi="ar-SA"/>
        </w:rPr>
        <w:t>，并保证申请人有权获得按合同约定为保证项目按时完成的由受益人支付的</w:t>
      </w:r>
      <w:r>
        <w:rPr>
          <w:rFonts w:hint="eastAsia" w:ascii="宋体" w:hAnsi="宋体" w:eastAsia="宋体" w:cs="Times New Roman"/>
          <w:b w:val="0"/>
          <w:bCs w:val="0"/>
          <w:color w:val="auto"/>
          <w:kern w:val="2"/>
          <w:sz w:val="21"/>
          <w:szCs w:val="21"/>
          <w:highlight w:val="none"/>
          <w:lang w:val="en-US" w:eastAsia="zh-CN" w:bidi="ar-SA"/>
        </w:rPr>
        <w:t>订单货</w:t>
      </w:r>
      <w:r>
        <w:rPr>
          <w:rFonts w:ascii="宋体" w:hAnsi="宋体" w:eastAsia="宋体" w:cs="Times New Roman"/>
          <w:b w:val="0"/>
          <w:bCs w:val="0"/>
          <w:color w:val="auto"/>
          <w:kern w:val="2"/>
          <w:sz w:val="21"/>
          <w:szCs w:val="21"/>
          <w:highlight w:val="none"/>
          <w:lang w:val="en-US" w:eastAsia="zh-CN" w:bidi="ar-SA"/>
        </w:rPr>
        <w:t>款；受益人在合同中要求申请人应通过经认可的银行提交合同指定的与</w:t>
      </w:r>
      <w:r>
        <w:rPr>
          <w:rFonts w:hint="eastAsia" w:ascii="宋体" w:hAnsi="宋体" w:eastAsia="宋体" w:cs="Times New Roman"/>
          <w:b w:val="0"/>
          <w:bCs w:val="0"/>
          <w:color w:val="auto"/>
          <w:kern w:val="2"/>
          <w:sz w:val="21"/>
          <w:szCs w:val="21"/>
          <w:highlight w:val="none"/>
          <w:lang w:val="en-US" w:eastAsia="zh-CN" w:bidi="ar-SA"/>
        </w:rPr>
        <w:t>采购订单载明的货款总额100%等值</w:t>
      </w:r>
      <w:r>
        <w:rPr>
          <w:rFonts w:ascii="宋体" w:hAnsi="宋体" w:eastAsia="宋体" w:cs="Times New Roman"/>
          <w:b w:val="0"/>
          <w:bCs w:val="0"/>
          <w:color w:val="auto"/>
          <w:kern w:val="2"/>
          <w:sz w:val="21"/>
          <w:szCs w:val="21"/>
          <w:highlight w:val="none"/>
          <w:lang w:val="en-US" w:eastAsia="zh-CN" w:bidi="ar-SA"/>
        </w:rPr>
        <w:t>的担保金额等事实，我行愿意为申请人出具保函，以担保金额人民币(大写)</w:t>
      </w:r>
      <w:r>
        <w:rPr>
          <w:rFonts w:ascii="宋体" w:hAnsi="宋体" w:eastAsia="宋体" w:cs="Times New Roman"/>
          <w:b w:val="0"/>
          <w:bCs w:val="0"/>
          <w:color w:val="auto"/>
          <w:kern w:val="2"/>
          <w:sz w:val="21"/>
          <w:szCs w:val="21"/>
          <w:highlight w:val="none"/>
          <w:u w:val="single"/>
          <w:lang w:val="en-US" w:eastAsia="zh-CN" w:bidi="ar-SA"/>
        </w:rPr>
        <w:t xml:space="preserve">              </w:t>
      </w:r>
      <w:r>
        <w:rPr>
          <w:rFonts w:ascii="宋体" w:hAnsi="宋体" w:eastAsia="宋体" w:cs="Times New Roman"/>
          <w:b w:val="0"/>
          <w:bCs w:val="0"/>
          <w:color w:val="auto"/>
          <w:kern w:val="2"/>
          <w:sz w:val="21"/>
          <w:szCs w:val="21"/>
          <w:highlight w:val="none"/>
          <w:lang w:val="en-US" w:eastAsia="zh-CN" w:bidi="ar-SA"/>
        </w:rPr>
        <w:t>(</w:t>
      </w:r>
      <w:r>
        <w:rPr>
          <w:rFonts w:ascii="宋体" w:hAnsi="宋体" w:eastAsia="宋体" w:cs="Times New Roman"/>
          <w:b w:val="0"/>
          <w:bCs w:val="0"/>
          <w:color w:val="auto"/>
          <w:kern w:val="2"/>
          <w:sz w:val="21"/>
          <w:szCs w:val="21"/>
          <w:highlight w:val="none"/>
          <w:u w:val="single"/>
          <w:lang w:val="en-US" w:eastAsia="zh-CN" w:bidi="ar-SA"/>
        </w:rPr>
        <w:t xml:space="preserve">             </w:t>
      </w:r>
      <w:r>
        <w:rPr>
          <w:rFonts w:ascii="宋体" w:hAnsi="宋体" w:eastAsia="宋体" w:cs="Times New Roman"/>
          <w:b w:val="0"/>
          <w:bCs w:val="0"/>
          <w:color w:val="auto"/>
          <w:kern w:val="2"/>
          <w:sz w:val="21"/>
          <w:szCs w:val="21"/>
          <w:highlight w:val="none"/>
          <w:lang w:val="en-US" w:eastAsia="zh-CN" w:bidi="ar-SA"/>
        </w:rPr>
        <w:t>)向申请人提供无条件、不可撤销的担保。</w:t>
      </w:r>
    </w:p>
    <w:p w14:paraId="673AFCB6">
      <w:pPr>
        <w:widowControl w:val="0"/>
        <w:autoSpaceDE/>
        <w:autoSpaceDN/>
        <w:adjustRightInd/>
        <w:spacing w:after="120" w:line="360" w:lineRule="auto"/>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如果申请人在履行合同过程中发生违约或违背合同约定时，我行保证在</w:t>
      </w:r>
      <w:r>
        <w:rPr>
          <w:rFonts w:hint="eastAsia" w:ascii="宋体" w:hAnsi="宋体" w:eastAsia="宋体" w:cs="Times New Roman"/>
          <w:b w:val="0"/>
          <w:bCs w:val="0"/>
          <w:color w:val="auto"/>
          <w:kern w:val="2"/>
          <w:sz w:val="21"/>
          <w:szCs w:val="21"/>
          <w:highlight w:val="none"/>
          <w:lang w:val="en-US" w:eastAsia="zh-CN" w:bidi="ar-SA"/>
        </w:rPr>
        <w:t>受益人出具本保函原件且提出因申请人没有履行上述合同规定，而要求我方承担保证责任后，在</w:t>
      </w:r>
      <w:r>
        <w:rPr>
          <w:rFonts w:ascii="宋体" w:hAnsi="宋体" w:eastAsia="宋体" w:cs="Times New Roman"/>
          <w:b w:val="0"/>
          <w:bCs w:val="0"/>
          <w:color w:val="auto"/>
          <w:kern w:val="2"/>
          <w:sz w:val="21"/>
          <w:szCs w:val="21"/>
          <w:highlight w:val="none"/>
          <w:lang w:val="en-US" w:eastAsia="zh-CN" w:bidi="ar-SA"/>
        </w:rPr>
        <w:t xml:space="preserve">担保金额额度内偿还或偿清受益人因该项违约或违背所造成的经济损失（无论该事实是否成立），并在接到受益人要求的第 10 </w:t>
      </w:r>
      <w:r>
        <w:rPr>
          <w:rFonts w:hint="eastAsia" w:ascii="宋体" w:hAnsi="宋体" w:eastAsia="宋体" w:cs="Times New Roman"/>
          <w:b w:val="0"/>
          <w:bCs w:val="0"/>
          <w:color w:val="auto"/>
          <w:kern w:val="2"/>
          <w:sz w:val="21"/>
          <w:szCs w:val="21"/>
          <w:highlight w:val="none"/>
          <w:lang w:val="en-US" w:eastAsia="zh-CN" w:bidi="ar-SA"/>
        </w:rPr>
        <w:t>个自然日</w:t>
      </w:r>
      <w:r>
        <w:rPr>
          <w:rFonts w:ascii="宋体" w:hAnsi="宋体" w:eastAsia="宋体" w:cs="Times New Roman"/>
          <w:b w:val="0"/>
          <w:bCs w:val="0"/>
          <w:color w:val="auto"/>
          <w:kern w:val="2"/>
          <w:sz w:val="21"/>
          <w:szCs w:val="21"/>
          <w:highlight w:val="none"/>
          <w:lang w:val="en-US" w:eastAsia="zh-CN" w:bidi="ar-SA"/>
        </w:rPr>
        <w:t>内予以支付。</w:t>
      </w:r>
    </w:p>
    <w:p w14:paraId="0380D02E">
      <w:pPr>
        <w:widowControl w:val="0"/>
        <w:autoSpaceDE/>
        <w:autoSpaceDN/>
        <w:adjustRightInd/>
        <w:spacing w:after="120" w:line="360" w:lineRule="auto"/>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在向我行提出要求前，我行将不坚持要求受益人首先向申请人提出上述款项的索赔。</w:t>
      </w:r>
    </w:p>
    <w:p w14:paraId="2CDD20DC">
      <w:pPr>
        <w:widowControl w:val="0"/>
        <w:autoSpaceDE/>
        <w:autoSpaceDN/>
        <w:adjustRightInd/>
        <w:spacing w:after="120" w:line="360" w:lineRule="auto"/>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我行承诺：无论是否经我行知晓或同意，我行的义务和责任不因受益人与申请人对合同条款所作的任何修改或补充而解除。</w:t>
      </w:r>
    </w:p>
    <w:p w14:paraId="05403575">
      <w:pPr>
        <w:widowControl w:val="0"/>
        <w:autoSpaceDE/>
        <w:autoSpaceDN/>
        <w:adjustRightInd/>
        <w:spacing w:after="120" w:line="360" w:lineRule="auto"/>
        <w:ind w:right="0" w:firstLine="420" w:firstLineChars="200"/>
        <w:jc w:val="both"/>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本保函在采购订单项下全部货物交付并经受益人验收合格后第28个自然日起失效。</w:t>
      </w:r>
    </w:p>
    <w:p w14:paraId="3C7250A4">
      <w:pPr>
        <w:widowControl w:val="0"/>
        <w:autoSpaceDE/>
        <w:autoSpaceDN/>
        <w:adjustRightInd/>
        <w:spacing w:after="120" w:line="360" w:lineRule="auto"/>
        <w:ind w:right="0" w:firstLine="420" w:firstLineChars="2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（银行联系人：                   银行联系电话：             ）</w:t>
      </w:r>
    </w:p>
    <w:p w14:paraId="7B5FFC28">
      <w:pPr>
        <w:widowControl w:val="0"/>
        <w:autoSpaceDE/>
        <w:autoSpaceDN/>
        <w:adjustRightInd/>
        <w:spacing w:after="120" w:line="360" w:lineRule="auto"/>
        <w:ind w:right="0" w:firstLine="210" w:firstLineChars="1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 xml:space="preserve">                  法定代表人或其授权的代理人：       （签字或盖私章）      </w:t>
      </w:r>
    </w:p>
    <w:p w14:paraId="7594E994">
      <w:pPr>
        <w:widowControl w:val="0"/>
        <w:autoSpaceDE/>
        <w:autoSpaceDN/>
        <w:adjustRightInd/>
        <w:spacing w:after="120" w:line="360" w:lineRule="auto"/>
        <w:ind w:right="0" w:firstLine="3990" w:firstLineChars="19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 xml:space="preserve">担保银行盖章：                          </w:t>
      </w:r>
    </w:p>
    <w:p w14:paraId="28A1C4E1">
      <w:pPr>
        <w:widowControl w:val="0"/>
        <w:autoSpaceDE/>
        <w:autoSpaceDN/>
        <w:adjustRightInd/>
        <w:spacing w:after="120" w:line="360" w:lineRule="auto"/>
        <w:ind w:right="0" w:firstLine="210" w:firstLineChars="1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 xml:space="preserve">                             </w:t>
      </w:r>
      <w:r>
        <w:rPr>
          <w:rFonts w:hint="eastAsia" w:ascii="宋体" w:hAnsi="宋体" w:eastAsia="宋体" w:cs="Times New Roman"/>
          <w:b w:val="0"/>
          <w:bCs w:val="0"/>
          <w:color w:val="auto"/>
          <w:kern w:val="2"/>
          <w:sz w:val="21"/>
          <w:szCs w:val="21"/>
          <w:highlight w:val="none"/>
          <w:lang w:val="en-US" w:eastAsia="zh-CN" w:bidi="ar-SA"/>
        </w:rPr>
        <w:t xml:space="preserve">  </w:t>
      </w:r>
      <w:r>
        <w:rPr>
          <w:rFonts w:ascii="宋体" w:hAnsi="宋体" w:eastAsia="宋体" w:cs="Times New Roman"/>
          <w:b w:val="0"/>
          <w:bCs w:val="0"/>
          <w:color w:val="auto"/>
          <w:kern w:val="2"/>
          <w:sz w:val="21"/>
          <w:szCs w:val="21"/>
          <w:highlight w:val="none"/>
          <w:lang w:val="en-US" w:eastAsia="zh-CN" w:bidi="ar-SA"/>
        </w:rPr>
        <w:t xml:space="preserve">     地址：                                  </w:t>
      </w:r>
    </w:p>
    <w:p w14:paraId="5938BF2A">
      <w:pPr>
        <w:widowControl w:val="0"/>
        <w:autoSpaceDE/>
        <w:autoSpaceDN/>
        <w:adjustRightInd/>
        <w:spacing w:after="120" w:line="360" w:lineRule="auto"/>
        <w:ind w:right="0" w:firstLine="3990" w:firstLineChars="1900"/>
        <w:jc w:val="both"/>
        <w:rPr>
          <w:rFonts w:ascii="宋体" w:hAnsi="宋体" w:eastAsia="宋体" w:cs="Times New Roman"/>
          <w:b w:val="0"/>
          <w:bCs w:val="0"/>
          <w:color w:val="auto"/>
          <w:kern w:val="2"/>
          <w:sz w:val="21"/>
          <w:szCs w:val="21"/>
          <w:highlight w:val="none"/>
          <w:lang w:val="en-US" w:eastAsia="zh-CN" w:bidi="ar-SA"/>
        </w:rPr>
      </w:pPr>
      <w:r>
        <w:rPr>
          <w:rFonts w:ascii="宋体" w:hAnsi="宋体" w:eastAsia="宋体" w:cs="Times New Roman"/>
          <w:b w:val="0"/>
          <w:bCs w:val="0"/>
          <w:color w:val="auto"/>
          <w:kern w:val="2"/>
          <w:sz w:val="21"/>
          <w:szCs w:val="21"/>
          <w:highlight w:val="none"/>
          <w:lang w:val="en-US" w:eastAsia="zh-CN" w:bidi="ar-SA"/>
        </w:rPr>
        <w:t>日期：   年    月   日</w:t>
      </w:r>
    </w:p>
    <w:p w14:paraId="34CB0C27">
      <w:pPr>
        <w:rPr>
          <w:rFonts w:hint="default"/>
          <w:color w:val="auto"/>
          <w:highlight w:val="none"/>
          <w:lang w:val="en-US" w:eastAsia="zh-CN"/>
        </w:rPr>
      </w:pPr>
    </w:p>
    <w:p w14:paraId="7EB743A8">
      <w:pPr>
        <w:widowControl/>
        <w:jc w:val="left"/>
        <w:rPr>
          <w:rFonts w:ascii="宋体" w:hAnsi="宋体" w:eastAsia="宋体" w:cs="宋体"/>
          <w:color w:val="auto"/>
          <w:szCs w:val="24"/>
          <w:highlight w:val="none"/>
          <w:lang w:val="zh-CN"/>
        </w:rPr>
      </w:pPr>
    </w:p>
    <w:p w14:paraId="4E0E3A05">
      <w:pPr>
        <w:rPr>
          <w:color w:val="auto"/>
          <w:highlight w:val="none"/>
        </w:rPr>
      </w:pPr>
      <w:bookmarkStart w:id="641" w:name="_Toc486167708"/>
      <w:bookmarkStart w:id="642" w:name="_Toc9056"/>
      <w:bookmarkStart w:id="643" w:name="_Toc32761_WPSOffice_Level1"/>
      <w:bookmarkStart w:id="644" w:name="_Toc450662895"/>
      <w:bookmarkStart w:id="645" w:name="_Toc15817"/>
      <w:bookmarkStart w:id="646" w:name="_Toc9840"/>
      <w:bookmarkStart w:id="647" w:name="_Toc195714372"/>
      <w:bookmarkStart w:id="648" w:name="_Toc142508361"/>
    </w:p>
    <w:p w14:paraId="64B20B3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649" w:name="_Toc19132"/>
      <w:bookmarkStart w:id="650" w:name="_Toc24241"/>
      <w:r>
        <w:rPr>
          <w:rFonts w:hint="eastAsia" w:ascii="宋体" w:hAnsi="宋体" w:eastAsia="宋体" w:cs="宋体"/>
          <w:b/>
          <w:bCs/>
          <w:color w:val="auto"/>
          <w:kern w:val="44"/>
          <w:sz w:val="32"/>
          <w:szCs w:val="32"/>
          <w:highlight w:val="none"/>
          <w:lang w:val="zh-CN"/>
        </w:rPr>
        <w:t>第六篇 投标文件格式</w:t>
      </w:r>
      <w:bookmarkEnd w:id="641"/>
      <w:bookmarkEnd w:id="642"/>
      <w:bookmarkEnd w:id="643"/>
      <w:bookmarkEnd w:id="644"/>
      <w:bookmarkEnd w:id="645"/>
      <w:bookmarkEnd w:id="646"/>
      <w:bookmarkEnd w:id="647"/>
      <w:bookmarkEnd w:id="648"/>
      <w:bookmarkEnd w:id="649"/>
      <w:bookmarkEnd w:id="650"/>
    </w:p>
    <w:p w14:paraId="4E94FCAF">
      <w:pPr>
        <w:jc w:val="left"/>
        <w:outlineLvl w:val="9"/>
        <w:rPr>
          <w:rFonts w:hint="eastAsia" w:ascii="宋体" w:hAnsi="宋体" w:eastAsia="宋体" w:cs="宋体"/>
          <w:b/>
          <w:color w:val="auto"/>
          <w:kern w:val="0"/>
          <w:sz w:val="32"/>
          <w:szCs w:val="32"/>
          <w:highlight w:val="none"/>
        </w:rPr>
      </w:pPr>
      <w:bookmarkStart w:id="651" w:name="_Toc195714373"/>
      <w:bookmarkStart w:id="652" w:name="_Toc31978"/>
      <w:bookmarkStart w:id="653" w:name="_Toc94107202"/>
      <w:bookmarkStart w:id="654" w:name="_Toc102860411"/>
      <w:bookmarkStart w:id="655" w:name="_Toc533708121"/>
      <w:bookmarkStart w:id="656" w:name="_Toc142508362"/>
      <w:bookmarkStart w:id="657" w:name="_Toc21133_WPSOffice_Level2"/>
      <w:bookmarkStart w:id="658" w:name="_Toc104991868"/>
      <w:bookmarkStart w:id="659" w:name="_Toc486167709"/>
      <w:bookmarkStart w:id="660" w:name="_Toc102860067"/>
      <w:bookmarkStart w:id="661" w:name="_Toc1977721"/>
      <w:bookmarkStart w:id="662" w:name="_Toc140596921"/>
      <w:r>
        <w:rPr>
          <w:rFonts w:hint="eastAsia" w:ascii="宋体" w:hAnsi="宋体" w:eastAsia="宋体" w:cs="宋体"/>
          <w:b/>
          <w:color w:val="auto"/>
          <w:kern w:val="0"/>
          <w:sz w:val="32"/>
          <w:szCs w:val="32"/>
          <w:highlight w:val="none"/>
        </w:rPr>
        <w:br w:type="page"/>
      </w:r>
    </w:p>
    <w:p w14:paraId="5DF3BD9B">
      <w:pPr>
        <w:jc w:val="center"/>
        <w:outlineLvl w:val="3"/>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  商务标格式</w:t>
      </w:r>
      <w:bookmarkEnd w:id="651"/>
      <w:bookmarkEnd w:id="652"/>
    </w:p>
    <w:p w14:paraId="5316448E">
      <w:pPr>
        <w:rPr>
          <w:rFonts w:ascii="宋体" w:hAnsi="宋体" w:eastAsia="宋体" w:cs="宋体"/>
          <w:color w:val="auto"/>
          <w:sz w:val="84"/>
          <w:highlight w:val="none"/>
        </w:rPr>
      </w:pPr>
      <w:r>
        <w:rPr>
          <w:rFonts w:hint="eastAsia" w:ascii="宋体" w:hAnsi="宋体" w:eastAsia="宋体" w:cs="宋体"/>
          <w:b/>
          <w:color w:val="auto"/>
          <w:kern w:val="0"/>
          <w:sz w:val="32"/>
          <w:szCs w:val="32"/>
          <w:highlight w:val="none"/>
        </w:rPr>
        <w:br w:type="page"/>
      </w:r>
    </w:p>
    <w:p w14:paraId="7CBB4D6C">
      <w:pPr>
        <w:pStyle w:val="21"/>
        <w:spacing w:line="360" w:lineRule="auto"/>
        <w:jc w:val="center"/>
        <w:rPr>
          <w:rFonts w:ascii="宋体" w:hAnsi="宋体" w:cs="宋体"/>
          <w:color w:val="auto"/>
          <w:sz w:val="84"/>
          <w:highlight w:val="none"/>
        </w:rPr>
      </w:pPr>
    </w:p>
    <w:p w14:paraId="4F2E6BCF">
      <w:pPr>
        <w:pStyle w:val="21"/>
        <w:spacing w:line="360" w:lineRule="auto"/>
        <w:jc w:val="center"/>
        <w:rPr>
          <w:rFonts w:ascii="宋体" w:hAnsi="宋体" w:cs="宋体"/>
          <w:color w:val="auto"/>
          <w:sz w:val="84"/>
          <w:highlight w:val="none"/>
        </w:rPr>
      </w:pPr>
    </w:p>
    <w:p w14:paraId="2A0BEC35">
      <w:pPr>
        <w:pStyle w:val="21"/>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618C0582">
      <w:pPr>
        <w:pStyle w:val="21"/>
        <w:spacing w:line="360" w:lineRule="auto"/>
        <w:rPr>
          <w:rFonts w:ascii="宋体" w:hAnsi="宋体" w:cs="宋体"/>
          <w:color w:val="auto"/>
          <w:highlight w:val="none"/>
        </w:rPr>
      </w:pPr>
    </w:p>
    <w:p w14:paraId="7DE9F26D">
      <w:pPr>
        <w:pStyle w:val="21"/>
        <w:spacing w:line="360" w:lineRule="auto"/>
        <w:rPr>
          <w:rFonts w:ascii="宋体" w:hAnsi="宋体" w:cs="宋体"/>
          <w:color w:val="auto"/>
          <w:highlight w:val="none"/>
        </w:rPr>
      </w:pPr>
    </w:p>
    <w:p w14:paraId="1DFE2F48">
      <w:pPr>
        <w:pStyle w:val="21"/>
        <w:spacing w:line="360" w:lineRule="auto"/>
        <w:rPr>
          <w:rFonts w:ascii="宋体" w:hAnsi="宋体" w:cs="宋体"/>
          <w:color w:val="auto"/>
          <w:highlight w:val="none"/>
        </w:rPr>
      </w:pPr>
    </w:p>
    <w:p w14:paraId="6577FB0D">
      <w:pPr>
        <w:pStyle w:val="21"/>
        <w:spacing w:line="360" w:lineRule="auto"/>
        <w:rPr>
          <w:rFonts w:ascii="宋体" w:hAnsi="宋体" w:cs="宋体"/>
          <w:color w:val="auto"/>
          <w:highlight w:val="none"/>
        </w:rPr>
      </w:pPr>
    </w:p>
    <w:p w14:paraId="40432C8A">
      <w:pPr>
        <w:pStyle w:val="21"/>
        <w:spacing w:line="360" w:lineRule="auto"/>
        <w:rPr>
          <w:rFonts w:ascii="宋体" w:hAnsi="宋体" w:cs="宋体"/>
          <w:color w:val="auto"/>
          <w:highlight w:val="none"/>
        </w:rPr>
      </w:pPr>
    </w:p>
    <w:p w14:paraId="33369CC7">
      <w:pPr>
        <w:pStyle w:val="21"/>
        <w:spacing w:line="360" w:lineRule="auto"/>
        <w:rPr>
          <w:rFonts w:ascii="宋体" w:hAnsi="宋体" w:cs="宋体"/>
          <w:color w:val="auto"/>
          <w:highlight w:val="none"/>
        </w:rPr>
      </w:pPr>
    </w:p>
    <w:p w14:paraId="0AB0336A">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068047C3">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1F66B8CC">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投标文件商务标 </w:t>
      </w:r>
    </w:p>
    <w:p w14:paraId="6B41115A">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04D494CD">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60EDB312">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5C92E015">
      <w:pPr>
        <w:pStyle w:val="21"/>
        <w:spacing w:line="360" w:lineRule="auto"/>
        <w:rPr>
          <w:rFonts w:ascii="宋体" w:hAnsi="宋体" w:cs="宋体"/>
          <w:color w:val="auto"/>
          <w:highlight w:val="none"/>
        </w:rPr>
      </w:pPr>
    </w:p>
    <w:p w14:paraId="6DB9E6B2">
      <w:pPr>
        <w:pStyle w:val="21"/>
        <w:spacing w:line="360" w:lineRule="auto"/>
        <w:rPr>
          <w:rFonts w:ascii="宋体" w:hAnsi="宋体" w:cs="宋体"/>
          <w:color w:val="auto"/>
          <w:highlight w:val="none"/>
        </w:rPr>
      </w:pPr>
      <w:r>
        <w:rPr>
          <w:rFonts w:hint="eastAsia" w:ascii="宋体" w:hAnsi="宋体" w:cs="宋体"/>
          <w:color w:val="auto"/>
          <w:highlight w:val="none"/>
        </w:rPr>
        <w:br w:type="page"/>
      </w:r>
    </w:p>
    <w:p w14:paraId="77156F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color w:val="auto"/>
          <w:highlight w:val="none"/>
        </w:rPr>
      </w:pPr>
      <w:bookmarkStart w:id="663" w:name="_Toc23782"/>
      <w:bookmarkStart w:id="664" w:name="_Toc195714375"/>
      <w:bookmarkStart w:id="665" w:name="_Toc13281"/>
      <w:bookmarkStart w:id="666" w:name="_Toc17613"/>
      <w:bookmarkStart w:id="667" w:name="_Toc27679"/>
      <w:r>
        <w:rPr>
          <w:rFonts w:hint="eastAsia"/>
          <w:color w:val="auto"/>
          <w:highlight w:val="none"/>
        </w:rPr>
        <w:t>目录</w:t>
      </w:r>
    </w:p>
    <w:p w14:paraId="292E50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一、投标函；</w:t>
      </w:r>
    </w:p>
    <w:p w14:paraId="64B921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二、投标承诺书；</w:t>
      </w:r>
    </w:p>
    <w:p w14:paraId="720D92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三、供货及/或提供服务过程承诺函；</w:t>
      </w:r>
    </w:p>
    <w:p w14:paraId="59890A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四、投标人资格证明文件：</w:t>
      </w:r>
    </w:p>
    <w:p w14:paraId="5C01D3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 多证合一营业执照（或事业单位法人证书）原件扫描件；</w:t>
      </w:r>
    </w:p>
    <w:p w14:paraId="4A7D8A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07572F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4.3法定代表人身份证明书和法定代表人授权书（法定代表人投标时只提供法定代表人身份证明书，委托他人为投标代表或签署投标文件时需同时提供法定代表人授权书）；</w:t>
      </w:r>
    </w:p>
    <w:p w14:paraId="7E3165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4.4制造商资格声明和制造商售后服务承诺函及独家授权书；</w:t>
      </w:r>
    </w:p>
    <w:p w14:paraId="5298DC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 资格业绩【投标人提供一份2022年1月1日以来（合同签订日期为2022年1月1日或以后）</w:t>
      </w:r>
      <w:r>
        <w:rPr>
          <w:rFonts w:hint="eastAsia" w:ascii="宋体" w:hAnsi="宋体" w:eastAsia="宋体" w:cs="宋体"/>
          <w:color w:val="auto"/>
          <w:highlight w:val="none"/>
          <w:lang w:eastAsia="zh-CN"/>
        </w:rPr>
        <w:t>旋翼式远传水表</w:t>
      </w:r>
      <w:r>
        <w:rPr>
          <w:rFonts w:hint="eastAsia" w:ascii="宋体" w:hAnsi="宋体" w:eastAsia="宋体" w:cs="宋体"/>
          <w:color w:val="auto"/>
          <w:highlight w:val="none"/>
        </w:rPr>
        <w:t>在国内的</w:t>
      </w:r>
      <w:r>
        <w:rPr>
          <w:rFonts w:hint="eastAsia" w:ascii="宋体" w:hAnsi="宋体" w:eastAsia="宋体" w:cs="宋体"/>
          <w:color w:val="auto"/>
          <w:highlight w:val="none"/>
          <w:lang w:val="en-US" w:eastAsia="zh-CN"/>
        </w:rPr>
        <w:t>销售</w:t>
      </w:r>
      <w:r>
        <w:rPr>
          <w:rFonts w:hint="eastAsia" w:ascii="宋体" w:hAnsi="宋体" w:eastAsia="宋体" w:cs="宋体"/>
          <w:color w:val="auto"/>
          <w:highlight w:val="none"/>
        </w:rPr>
        <w:t>业绩】；</w:t>
      </w:r>
    </w:p>
    <w:p w14:paraId="2A7D78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4.6 最近3年投标人牵涉的其他（失信和违法）处罚说明；</w:t>
      </w:r>
    </w:p>
    <w:p w14:paraId="46B342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五、投标人基本情况一览表；</w:t>
      </w:r>
    </w:p>
    <w:p w14:paraId="066283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六、投标人财务状况表；</w:t>
      </w:r>
    </w:p>
    <w:p w14:paraId="42E60E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七、合同条款响应程度（合同条款偏离表）；</w:t>
      </w:r>
    </w:p>
    <w:p w14:paraId="69FFAD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八、业绩表；</w:t>
      </w:r>
    </w:p>
    <w:p w14:paraId="436D68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九、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14:paraId="5FA05431">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1B37D0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3"/>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一、投标函格式</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60A20703">
      <w:pPr>
        <w:autoSpaceDE w:val="0"/>
        <w:autoSpaceDN w:val="0"/>
        <w:adjustRightInd w:val="0"/>
        <w:spacing w:line="360" w:lineRule="auto"/>
        <w:jc w:val="center"/>
        <w:rPr>
          <w:rFonts w:ascii="宋体" w:hAnsi="宋体" w:eastAsia="宋体" w:cs="宋体"/>
          <w:b/>
          <w:bCs/>
          <w:color w:val="auto"/>
          <w:sz w:val="30"/>
          <w:szCs w:val="30"/>
          <w:highlight w:val="none"/>
        </w:rPr>
      </w:pPr>
      <w:bookmarkStart w:id="668" w:name="_Toc16695_WPSOffice_Level3"/>
      <w:r>
        <w:rPr>
          <w:rFonts w:hint="eastAsia" w:ascii="宋体" w:hAnsi="宋体" w:eastAsia="宋体" w:cs="宋体"/>
          <w:b/>
          <w:bCs/>
          <w:color w:val="auto"/>
          <w:sz w:val="30"/>
          <w:szCs w:val="30"/>
          <w:highlight w:val="none"/>
          <w:lang w:val="zh-CN"/>
        </w:rPr>
        <w:t>投 标 函</w:t>
      </w:r>
      <w:bookmarkEnd w:id="668"/>
    </w:p>
    <w:p w14:paraId="54AD9981">
      <w:pPr>
        <w:autoSpaceDE w:val="0"/>
        <w:autoSpaceDN w:val="0"/>
        <w:adjustRightInd w:val="0"/>
        <w:spacing w:line="360" w:lineRule="auto"/>
        <w:rPr>
          <w:rFonts w:ascii="宋体" w:hAnsi="宋体" w:eastAsia="宋体" w:cs="宋体"/>
          <w:color w:val="auto"/>
          <w:szCs w:val="21"/>
          <w:highlight w:val="none"/>
          <w:lang w:val="zh-CN"/>
        </w:rPr>
      </w:pPr>
    </w:p>
    <w:p w14:paraId="061AA4E9">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东莞市水务集团供水有限公司</w:t>
      </w:r>
    </w:p>
    <w:p w14:paraId="735E3110">
      <w:pPr>
        <w:autoSpaceDE w:val="0"/>
        <w:autoSpaceDN w:val="0"/>
        <w:adjustRightInd w:val="0"/>
        <w:spacing w:line="360" w:lineRule="auto"/>
        <w:rPr>
          <w:rFonts w:ascii="宋体" w:hAnsi="宋体" w:eastAsia="宋体" w:cs="宋体"/>
          <w:color w:val="auto"/>
          <w:szCs w:val="21"/>
          <w:highlight w:val="none"/>
        </w:rPr>
      </w:pPr>
    </w:p>
    <w:p w14:paraId="4A34B3A0">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东莞市供水计量设施更新项目(2025年计量仪表采购)－旋翼式远传水表</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SSWSSZ12501144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B5577DF">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CB2555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 xml:space="preserve"> SSWSSZ12501144 </w:t>
      </w:r>
      <w:r>
        <w:rPr>
          <w:rFonts w:hint="eastAsia" w:ascii="宋体" w:hAnsi="宋体" w:eastAsia="宋体" w:cs="宋体"/>
          <w:color w:val="auto"/>
          <w:szCs w:val="21"/>
          <w:highlight w:val="none"/>
          <w:lang w:val="zh-CN"/>
        </w:rPr>
        <w:t>的投标；</w:t>
      </w:r>
    </w:p>
    <w:p w14:paraId="2225E9A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4C6B98B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FABB23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（四）我方明白并愿意在规定的递交投标文件截止时间和日期之后，投标有效期之内撤销投标，则不予退还我方投标保证金；</w:t>
      </w:r>
    </w:p>
    <w:p w14:paraId="2318A840">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109485F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792BC9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51DCF12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87F913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7C7F966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4388D7E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094CAA67">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6812542F">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3A4D924">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589EF558">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34ECF71">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CB9261C">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046AC136">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AF07BA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6C3FE0F2">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FA395FD">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0CB318F9">
      <w:pPr>
        <w:tabs>
          <w:tab w:val="left" w:pos="567"/>
        </w:tabs>
        <w:autoSpaceDE w:val="0"/>
        <w:autoSpaceDN w:val="0"/>
        <w:adjustRightInd w:val="0"/>
        <w:spacing w:line="360" w:lineRule="auto"/>
        <w:ind w:left="357" w:leftChars="-100" w:hanging="567"/>
        <w:jc w:val="left"/>
        <w:outlineLvl w:val="3"/>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669" w:name="_Toc30995"/>
      <w:bookmarkStart w:id="670" w:name="_Toc28613_WPSOffice_Level2"/>
      <w:bookmarkStart w:id="671" w:name="_Toc102860412"/>
      <w:bookmarkStart w:id="672" w:name="_Toc94107203"/>
      <w:bookmarkStart w:id="673" w:name="_Toc486167710"/>
      <w:bookmarkStart w:id="674" w:name="_Toc140596922"/>
      <w:bookmarkStart w:id="675" w:name="_Toc104991869"/>
      <w:bookmarkStart w:id="676" w:name="_Toc195714376"/>
      <w:bookmarkStart w:id="677" w:name="_Toc3104"/>
      <w:bookmarkStart w:id="678" w:name="_Toc1977722"/>
      <w:bookmarkStart w:id="679" w:name="_Toc12417"/>
      <w:bookmarkStart w:id="680" w:name="_Toc142508363"/>
      <w:bookmarkStart w:id="681" w:name="_Toc24901"/>
      <w:bookmarkStart w:id="682" w:name="_Toc533708122"/>
      <w:bookmarkStart w:id="683" w:name="_Toc102860068"/>
      <w:r>
        <w:rPr>
          <w:rFonts w:hint="eastAsia" w:ascii="宋体" w:hAnsi="宋体" w:eastAsia="宋体" w:cs="宋体"/>
          <w:b/>
          <w:color w:val="auto"/>
          <w:kern w:val="0"/>
          <w:sz w:val="32"/>
          <w:szCs w:val="32"/>
          <w:highlight w:val="none"/>
        </w:rPr>
        <w:t>二、投标承诺书格式</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1774B8CB">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7AD43F98">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354C55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东莞市供水计量设施更新项目(2025年计量仪表采购)－旋翼式远传水表</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u w:val="single"/>
          <w:lang w:eastAsia="zh-CN"/>
        </w:rPr>
        <w:t xml:space="preserve">  SSWSSZ12501144  </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7F7A065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若我方在投标或履行本合同过程中存在提供虚假材料、虚假响应招标文件要求等弄虚作假行为，或未能根据招标文件投标人须知第31</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15AC636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7482B4F">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EFB206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74B817E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8677FA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603EA4B2">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7B2ABCA">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1ADEF5EC">
      <w:pPr>
        <w:autoSpaceDE w:val="0"/>
        <w:autoSpaceDN w:val="0"/>
        <w:adjustRightInd w:val="0"/>
        <w:spacing w:line="360" w:lineRule="auto"/>
        <w:jc w:val="left"/>
        <w:rPr>
          <w:rFonts w:ascii="宋体" w:hAnsi="宋体" w:eastAsia="宋体" w:cs="宋体"/>
          <w:color w:val="auto"/>
          <w:kern w:val="0"/>
          <w:sz w:val="24"/>
          <w:szCs w:val="24"/>
          <w:highlight w:val="none"/>
        </w:rPr>
      </w:pPr>
      <w:bookmarkStart w:id="684" w:name="_Toc326768876"/>
      <w:bookmarkStart w:id="685" w:name="_Toc311032584"/>
      <w:bookmarkStart w:id="686" w:name="_Toc316896755"/>
    </w:p>
    <w:p w14:paraId="1D6F6999">
      <w:pPr>
        <w:pageBreakBefore/>
        <w:autoSpaceDE w:val="0"/>
        <w:autoSpaceDN w:val="0"/>
        <w:adjustRightInd w:val="0"/>
        <w:spacing w:line="360" w:lineRule="auto"/>
        <w:jc w:val="left"/>
        <w:outlineLvl w:val="3"/>
        <w:rPr>
          <w:rFonts w:ascii="宋体" w:hAnsi="宋体" w:eastAsia="宋体" w:cs="宋体"/>
          <w:b/>
          <w:color w:val="auto"/>
          <w:kern w:val="44"/>
          <w:sz w:val="32"/>
          <w:szCs w:val="32"/>
          <w:highlight w:val="none"/>
        </w:rPr>
      </w:pPr>
      <w:bookmarkStart w:id="687" w:name="_Toc102860069"/>
      <w:bookmarkStart w:id="688" w:name="_Toc195714377"/>
      <w:bookmarkStart w:id="689" w:name="_Toc140596923"/>
      <w:bookmarkStart w:id="690" w:name="_Toc86764083"/>
      <w:bookmarkStart w:id="691" w:name="_Toc29910"/>
      <w:bookmarkStart w:id="692" w:name="_Toc102860413"/>
      <w:bookmarkStart w:id="693" w:name="_Toc82182546"/>
      <w:bookmarkStart w:id="694" w:name="_Toc5075"/>
      <w:bookmarkStart w:id="695" w:name="_Toc24336"/>
      <w:bookmarkStart w:id="696" w:name="_Toc94107204"/>
      <w:bookmarkStart w:id="697" w:name="_Toc3108"/>
      <w:bookmarkStart w:id="698" w:name="_Toc104991870"/>
      <w:bookmarkStart w:id="699" w:name="_Toc142508364"/>
      <w:bookmarkStart w:id="700" w:name="_Toc533708123"/>
      <w:bookmarkStart w:id="701" w:name="_Toc1977723"/>
      <w:bookmarkStart w:id="702" w:name="_Toc486167711"/>
      <w:bookmarkStart w:id="703" w:name="_Toc7024_WPSOffice_Level2"/>
      <w:r>
        <w:rPr>
          <w:rFonts w:hint="eastAsia" w:ascii="宋体" w:hAnsi="宋体" w:eastAsia="宋体" w:cs="宋体"/>
          <w:b/>
          <w:color w:val="auto"/>
          <w:kern w:val="44"/>
          <w:sz w:val="32"/>
          <w:szCs w:val="32"/>
          <w:highlight w:val="none"/>
        </w:rPr>
        <w:t>三、供货及/或提供服务过程承诺函格式</w:t>
      </w:r>
      <w:bookmarkEnd w:id="687"/>
      <w:bookmarkEnd w:id="688"/>
      <w:bookmarkEnd w:id="689"/>
      <w:bookmarkEnd w:id="690"/>
      <w:bookmarkEnd w:id="691"/>
      <w:bookmarkEnd w:id="692"/>
      <w:bookmarkEnd w:id="693"/>
      <w:bookmarkEnd w:id="694"/>
      <w:bookmarkEnd w:id="695"/>
      <w:bookmarkEnd w:id="696"/>
      <w:bookmarkEnd w:id="697"/>
      <w:bookmarkEnd w:id="698"/>
      <w:bookmarkEnd w:id="699"/>
    </w:p>
    <w:p w14:paraId="53946BCB">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1B8DC5E5">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东莞市水务集团供水有限公司</w:t>
      </w:r>
      <w:r>
        <w:rPr>
          <w:rFonts w:hint="eastAsia" w:ascii="宋体" w:hAnsi="宋体" w:eastAsia="宋体" w:cs="宋体"/>
          <w:color w:val="auto"/>
          <w:kern w:val="0"/>
          <w:szCs w:val="21"/>
          <w:highlight w:val="none"/>
        </w:rPr>
        <w:t>：</w:t>
      </w:r>
    </w:p>
    <w:p w14:paraId="5F084F0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东莞市供水计量设施更新项目(2025年计量仪表采购)－旋翼式远传水表</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u w:val="single"/>
          <w:lang w:val="zh-CN"/>
        </w:rPr>
        <w:t xml:space="preserve">  SSWSSZ12501144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5596925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C104EC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5BD6EB3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E177B0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97C9A0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5F4725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31EB07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A9F472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0F9A645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0CE48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0357E11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58FC785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7CA00AE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2497E8E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13B0C23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2F7347D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3FB27C0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0052DC3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5675F69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3C021D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01B0063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37AC304D">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1A88D3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D234CE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7B57E351">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1F39167">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199ECCF7">
      <w:pPr>
        <w:autoSpaceDE w:val="0"/>
        <w:autoSpaceDN w:val="0"/>
        <w:adjustRightInd w:val="0"/>
        <w:spacing w:line="360" w:lineRule="auto"/>
        <w:ind w:right="420" w:firstLine="5760" w:firstLineChars="2400"/>
        <w:jc w:val="left"/>
        <w:rPr>
          <w:rFonts w:ascii="宋体" w:hAnsi="宋体" w:eastAsia="宋体" w:cs="宋体"/>
          <w:color w:val="auto"/>
          <w:kern w:val="0"/>
          <w:sz w:val="24"/>
          <w:szCs w:val="24"/>
          <w:highlight w:val="none"/>
        </w:rPr>
      </w:pPr>
    </w:p>
    <w:bookmarkEnd w:id="700"/>
    <w:bookmarkEnd w:id="701"/>
    <w:bookmarkEnd w:id="702"/>
    <w:bookmarkEnd w:id="703"/>
    <w:p w14:paraId="57E7E47A">
      <w:pPr>
        <w:autoSpaceDE/>
        <w:autoSpaceDN/>
        <w:adjustRightInd/>
        <w:spacing w:line="240" w:lineRule="auto"/>
        <w:ind w:left="0" w:firstLine="0" w:firstLineChars="0"/>
        <w:jc w:val="left"/>
        <w:outlineLvl w:val="9"/>
        <w:rPr>
          <w:rFonts w:ascii="宋体" w:hAnsi="宋体" w:eastAsia="宋体" w:cs="宋体"/>
          <w:b/>
          <w:color w:val="auto"/>
          <w:kern w:val="0"/>
          <w:sz w:val="30"/>
          <w:szCs w:val="30"/>
          <w:highlight w:val="none"/>
        </w:rPr>
      </w:pPr>
      <w:bookmarkStart w:id="704" w:name="_Toc142508368"/>
      <w:bookmarkStart w:id="705" w:name="_Toc30859"/>
      <w:bookmarkStart w:id="706" w:name="_Toc94107208"/>
      <w:bookmarkStart w:id="707" w:name="_Toc27734"/>
      <w:bookmarkStart w:id="708" w:name="_Toc140596927"/>
      <w:bookmarkStart w:id="709" w:name="_Toc104991874"/>
      <w:bookmarkStart w:id="710" w:name="_Toc102860417"/>
      <w:bookmarkStart w:id="711" w:name="_Toc102860073"/>
      <w:r>
        <w:rPr>
          <w:rFonts w:hint="eastAsia" w:ascii="宋体" w:hAnsi="宋体" w:eastAsia="宋体" w:cs="宋体"/>
          <w:b/>
          <w:color w:val="auto"/>
          <w:kern w:val="0"/>
          <w:sz w:val="30"/>
          <w:szCs w:val="30"/>
          <w:highlight w:val="none"/>
        </w:rPr>
        <w:br w:type="page"/>
      </w:r>
    </w:p>
    <w:bookmarkEnd w:id="704"/>
    <w:bookmarkEnd w:id="705"/>
    <w:bookmarkEnd w:id="706"/>
    <w:bookmarkEnd w:id="707"/>
    <w:bookmarkEnd w:id="708"/>
    <w:bookmarkEnd w:id="709"/>
    <w:bookmarkEnd w:id="710"/>
    <w:bookmarkEnd w:id="711"/>
    <w:p w14:paraId="626FA548">
      <w:pPr>
        <w:tabs>
          <w:tab w:val="left" w:pos="567"/>
        </w:tabs>
        <w:autoSpaceDE w:val="0"/>
        <w:autoSpaceDN w:val="0"/>
        <w:adjustRightInd w:val="0"/>
        <w:spacing w:line="360" w:lineRule="auto"/>
        <w:jc w:val="left"/>
        <w:outlineLvl w:val="3"/>
        <w:rPr>
          <w:rFonts w:ascii="宋体" w:hAnsi="宋体" w:eastAsia="宋体" w:cs="宋体"/>
          <w:b/>
          <w:color w:val="auto"/>
          <w:kern w:val="0"/>
          <w:sz w:val="32"/>
          <w:szCs w:val="32"/>
          <w:highlight w:val="none"/>
        </w:rPr>
      </w:pPr>
      <w:bookmarkStart w:id="712" w:name="_Toc1977725"/>
      <w:bookmarkStart w:id="713" w:name="_Toc102860074"/>
      <w:bookmarkStart w:id="714" w:name="_Toc26516"/>
      <w:bookmarkStart w:id="715" w:name="_Toc25034"/>
      <w:bookmarkStart w:id="716" w:name="_Toc102860418"/>
      <w:bookmarkStart w:id="717" w:name="_Toc142508369"/>
      <w:bookmarkStart w:id="718" w:name="_Toc195714382"/>
      <w:bookmarkStart w:id="719" w:name="_Toc23083"/>
      <w:bookmarkStart w:id="720" w:name="_Toc6190"/>
      <w:bookmarkStart w:id="721" w:name="_Toc104991875"/>
      <w:bookmarkStart w:id="722" w:name="_Toc140596928"/>
      <w:bookmarkStart w:id="723" w:name="_Toc94107209"/>
      <w:bookmarkStart w:id="724" w:name="_Toc486167712"/>
      <w:bookmarkStart w:id="725" w:name="_Toc533708124"/>
      <w:bookmarkStart w:id="726" w:name="_Toc20759_WPSOffice_Level2"/>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、投标人资格证明文件</w:t>
      </w:r>
      <w:bookmarkEnd w:id="712"/>
      <w:bookmarkEnd w:id="713"/>
      <w:bookmarkEnd w:id="714"/>
      <w:bookmarkEnd w:id="715"/>
      <w:bookmarkEnd w:id="716"/>
      <w:bookmarkEnd w:id="717"/>
      <w:bookmarkEnd w:id="718"/>
      <w:bookmarkEnd w:id="719"/>
      <w:bookmarkEnd w:id="720"/>
      <w:bookmarkEnd w:id="721"/>
      <w:bookmarkEnd w:id="722"/>
      <w:bookmarkEnd w:id="723"/>
    </w:p>
    <w:p w14:paraId="6A0F8761">
      <w:pPr>
        <w:tabs>
          <w:tab w:val="left" w:pos="567"/>
        </w:tabs>
        <w:autoSpaceDE w:val="0"/>
        <w:autoSpaceDN w:val="0"/>
        <w:adjustRightInd w:val="0"/>
        <w:spacing w:line="360" w:lineRule="auto"/>
        <w:jc w:val="left"/>
        <w:outlineLvl w:val="3"/>
        <w:rPr>
          <w:rFonts w:ascii="宋体" w:hAnsi="宋体" w:eastAsia="宋体" w:cs="宋体"/>
          <w:b/>
          <w:color w:val="auto"/>
          <w:kern w:val="0"/>
          <w:sz w:val="30"/>
          <w:szCs w:val="30"/>
          <w:highlight w:val="none"/>
        </w:rPr>
      </w:pPr>
      <w:bookmarkStart w:id="727" w:name="_Toc104991876"/>
      <w:bookmarkStart w:id="728" w:name="_Toc102860075"/>
      <w:bookmarkStart w:id="729" w:name="_Toc195714383"/>
      <w:bookmarkStart w:id="730" w:name="_Toc94107210"/>
      <w:bookmarkStart w:id="731" w:name="_Toc25267"/>
      <w:bookmarkStart w:id="732" w:name="_Toc140596929"/>
      <w:bookmarkStart w:id="733" w:name="_Toc17358"/>
      <w:bookmarkStart w:id="734" w:name="_Toc142508370"/>
      <w:bookmarkStart w:id="735" w:name="_Toc5002"/>
      <w:bookmarkStart w:id="736" w:name="_Toc102860419"/>
      <w:bookmarkStart w:id="737" w:name="_Toc29874"/>
      <w:bookmarkStart w:id="738" w:name="_Toc1977726"/>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多证合一营业执照（或事业单位法人证书）原件扫描件</w:t>
      </w:r>
      <w:bookmarkEnd w:id="727"/>
      <w:bookmarkEnd w:id="728"/>
      <w:bookmarkEnd w:id="729"/>
      <w:bookmarkEnd w:id="730"/>
      <w:bookmarkEnd w:id="731"/>
      <w:bookmarkEnd w:id="732"/>
      <w:bookmarkEnd w:id="733"/>
      <w:bookmarkEnd w:id="734"/>
      <w:bookmarkEnd w:id="735"/>
      <w:bookmarkEnd w:id="736"/>
      <w:bookmarkEnd w:id="737"/>
    </w:p>
    <w:p w14:paraId="48C95F9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02A4846">
      <w:pPr>
        <w:tabs>
          <w:tab w:val="left" w:pos="567"/>
        </w:tabs>
        <w:autoSpaceDE w:val="0"/>
        <w:autoSpaceDN w:val="0"/>
        <w:adjustRightInd w:val="0"/>
        <w:spacing w:line="360" w:lineRule="auto"/>
        <w:ind w:firstLine="316" w:firstLineChars="150"/>
        <w:jc w:val="left"/>
        <w:outlineLvl w:val="3"/>
        <w:rPr>
          <w:rFonts w:ascii="宋体" w:hAnsi="宋体" w:eastAsia="宋体" w:cs="宋体"/>
          <w:b/>
          <w:color w:val="auto"/>
          <w:kern w:val="0"/>
          <w:szCs w:val="21"/>
          <w:highlight w:val="none"/>
        </w:rPr>
        <w:sectPr>
          <w:footerReference r:id="rId5" w:type="first"/>
          <w:footerReference r:id="rId4" w:type="default"/>
          <w:pgSz w:w="12240" w:h="15840"/>
          <w:pgMar w:top="1191" w:right="1043" w:bottom="1191" w:left="1043" w:header="720" w:footer="720" w:gutter="0"/>
          <w:pgNumType w:fmt="decimal"/>
          <w:cols w:space="720" w:num="1"/>
          <w:titlePg/>
          <w:docGrid w:linePitch="326" w:charSpace="0"/>
        </w:sectPr>
      </w:pPr>
    </w:p>
    <w:p w14:paraId="0A2F8D7E">
      <w:pPr>
        <w:tabs>
          <w:tab w:val="left" w:pos="567"/>
        </w:tabs>
        <w:autoSpaceDE w:val="0"/>
        <w:autoSpaceDN w:val="0"/>
        <w:adjustRightInd w:val="0"/>
        <w:spacing w:line="360" w:lineRule="auto"/>
        <w:jc w:val="left"/>
        <w:outlineLvl w:val="3"/>
        <w:rPr>
          <w:rFonts w:ascii="宋体" w:hAnsi="宋体" w:eastAsia="宋体" w:cs="宋体"/>
          <w:b/>
          <w:color w:val="auto"/>
          <w:kern w:val="0"/>
          <w:sz w:val="30"/>
          <w:szCs w:val="30"/>
          <w:highlight w:val="none"/>
        </w:rPr>
      </w:pPr>
      <w:bookmarkStart w:id="739" w:name="_Toc7756"/>
      <w:bookmarkStart w:id="740" w:name="_Toc18165"/>
      <w:bookmarkStart w:id="741" w:name="_Toc94107211"/>
      <w:bookmarkStart w:id="742" w:name="_Toc102860420"/>
      <w:bookmarkStart w:id="743" w:name="_Toc102860076"/>
      <w:bookmarkStart w:id="744" w:name="_Toc25013"/>
      <w:bookmarkStart w:id="745" w:name="_Toc195714384"/>
      <w:bookmarkStart w:id="746" w:name="_Toc104991877"/>
      <w:bookmarkStart w:id="747" w:name="_Toc142508371"/>
      <w:bookmarkStart w:id="748" w:name="_Toc27861"/>
      <w:bookmarkStart w:id="749" w:name="_Toc140596930"/>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739"/>
      <w:bookmarkEnd w:id="740"/>
      <w:bookmarkEnd w:id="741"/>
      <w:bookmarkEnd w:id="742"/>
      <w:bookmarkEnd w:id="743"/>
      <w:bookmarkEnd w:id="744"/>
      <w:bookmarkEnd w:id="745"/>
      <w:bookmarkEnd w:id="746"/>
      <w:bookmarkEnd w:id="747"/>
      <w:bookmarkEnd w:id="748"/>
      <w:bookmarkEnd w:id="749"/>
    </w:p>
    <w:p w14:paraId="792D98E2">
      <w:pPr>
        <w:tabs>
          <w:tab w:val="left" w:pos="567"/>
        </w:tabs>
        <w:autoSpaceDE w:val="0"/>
        <w:autoSpaceDN w:val="0"/>
        <w:adjustRightInd w:val="0"/>
        <w:spacing w:line="360" w:lineRule="auto"/>
        <w:jc w:val="left"/>
        <w:outlineLvl w:val="3"/>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750" w:name="_Toc142508372"/>
      <w:bookmarkStart w:id="751" w:name="_Toc102860421"/>
      <w:bookmarkStart w:id="752" w:name="_Toc195714385"/>
      <w:bookmarkStart w:id="753" w:name="_Toc17499"/>
      <w:bookmarkStart w:id="754" w:name="_Toc104991878"/>
      <w:bookmarkStart w:id="755" w:name="_Toc94107212"/>
      <w:bookmarkStart w:id="756" w:name="_Toc102860077"/>
      <w:bookmarkStart w:id="757" w:name="_Toc2018"/>
      <w:bookmarkStart w:id="758" w:name="_Toc9132"/>
      <w:bookmarkStart w:id="759" w:name="_Toc7441"/>
      <w:bookmarkStart w:id="760" w:name="_Toc140596931"/>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 xml:space="preserve">3 </w:t>
      </w:r>
      <w:r>
        <w:rPr>
          <w:rFonts w:hint="eastAsia" w:ascii="宋体" w:hAnsi="宋体" w:eastAsia="宋体" w:cs="宋体"/>
          <w:b/>
          <w:color w:val="auto"/>
          <w:kern w:val="0"/>
          <w:sz w:val="30"/>
          <w:szCs w:val="30"/>
          <w:highlight w:val="none"/>
        </w:rPr>
        <w:t>法定代表人身份证明书、法定代表人授权书格式（法定代表人投标时只需提供法定代表人身份证明书，委托他人为投标代表或签署投标文件时需同时提供法定代表人授权书）</w:t>
      </w:r>
    </w:p>
    <w:p w14:paraId="7B82A488">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p>
    <w:p w14:paraId="45DBAA7D">
      <w:pPr>
        <w:spacing w:before="120" w:after="120" w:line="360" w:lineRule="auto"/>
        <w:ind w:firstLine="608" w:firstLineChars="202"/>
        <w:jc w:val="center"/>
        <w:rPr>
          <w:rFonts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法定代表人身份证明书</w:t>
      </w:r>
    </w:p>
    <w:p w14:paraId="12C581F1">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516420E">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F64465F">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303B5FCF">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61724FE7">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62ADC602">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639A8FF">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376258F7">
      <w:pPr>
        <w:snapToGrid w:val="0"/>
        <w:spacing w:line="360" w:lineRule="auto"/>
        <w:ind w:firstLine="3465" w:firstLineChars="1650"/>
        <w:rPr>
          <w:rFonts w:ascii="宋体" w:hAnsi="宋体" w:eastAsia="宋体" w:cs="Times New Roman"/>
          <w:color w:val="auto"/>
          <w:kern w:val="3"/>
          <w:szCs w:val="24"/>
          <w:highlight w:val="none"/>
        </w:rPr>
      </w:pPr>
    </w:p>
    <w:p w14:paraId="571FC52F">
      <w:pPr>
        <w:snapToGrid w:val="0"/>
        <w:spacing w:line="360" w:lineRule="auto"/>
        <w:ind w:firstLine="3465" w:firstLineChars="1650"/>
        <w:rPr>
          <w:rFonts w:ascii="宋体" w:hAnsi="宋体" w:eastAsia="宋体" w:cs="Times New Roman"/>
          <w:color w:val="auto"/>
          <w:kern w:val="3"/>
          <w:szCs w:val="24"/>
          <w:highlight w:val="none"/>
          <w:u w:val="single"/>
        </w:rPr>
      </w:pPr>
      <w:r>
        <w:rPr>
          <w:rFonts w:ascii="宋体" w:hAnsi="宋体" w:eastAsia="宋体" w:cs="Times New Roman"/>
          <w:color w:val="auto"/>
          <w:kern w:val="3"/>
          <w:szCs w:val="24"/>
          <w:highlight w:val="none"/>
        </w:rPr>
        <w:t>投 标 人：</w:t>
      </w:r>
      <w:r>
        <w:rPr>
          <w:rFonts w:ascii="宋体" w:hAnsi="宋体" w:eastAsia="宋体" w:cs="Times New Roman"/>
          <w:color w:val="auto"/>
          <w:kern w:val="3"/>
          <w:szCs w:val="24"/>
          <w:highlight w:val="none"/>
          <w:u w:val="single"/>
        </w:rPr>
        <w:t xml:space="preserve">             </w:t>
      </w:r>
      <w:r>
        <w:rPr>
          <w:rFonts w:hint="eastAsia" w:ascii="宋体" w:hAnsi="宋体" w:eastAsia="宋体" w:cs="Times New Roman"/>
          <w:color w:val="auto"/>
          <w:szCs w:val="21"/>
          <w:highlight w:val="none"/>
          <w:u w:val="single"/>
        </w:rPr>
        <w:t>（企业数字证书电子签名）</w:t>
      </w:r>
    </w:p>
    <w:p w14:paraId="1A5B3C8B">
      <w:pPr>
        <w:spacing w:before="120" w:after="120" w:line="360" w:lineRule="auto"/>
        <w:ind w:left="340" w:leftChars="162" w:firstLine="474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210C378B">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2633298"/>
                          <w:p w14:paraId="234252E4"/>
                          <w:p w14:paraId="52C638CF"/>
                          <w:p w14:paraId="10153FAA"/>
                          <w:p w14:paraId="7AD21D18">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62633298"/>
                    <w:p w14:paraId="234252E4"/>
                    <w:p w14:paraId="52C638CF"/>
                    <w:p w14:paraId="10153FAA"/>
                    <w:p w14:paraId="7AD21D18">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36439DC"/>
                          <w:p w14:paraId="650C4407"/>
                          <w:p w14:paraId="21AC3303"/>
                          <w:p w14:paraId="3431E0FE"/>
                          <w:p w14:paraId="04AA9453">
                            <w:pPr>
                              <w:jc w:val="center"/>
                              <w:rPr>
                                <w:szCs w:val="21"/>
                              </w:rPr>
                            </w:pPr>
                            <w:r>
                              <w:rPr>
                                <w:rFonts w:hint="eastAsia"/>
                                <w:szCs w:val="21"/>
                              </w:rPr>
                              <w:t>法定代表人身份证反面</w:t>
                            </w:r>
                          </w:p>
                          <w:p w14:paraId="10C4B2A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336439DC"/>
                    <w:p w14:paraId="650C4407"/>
                    <w:p w14:paraId="21AC3303"/>
                    <w:p w14:paraId="3431E0FE"/>
                    <w:p w14:paraId="04AA9453">
                      <w:pPr>
                        <w:jc w:val="center"/>
                        <w:rPr>
                          <w:szCs w:val="21"/>
                        </w:rPr>
                      </w:pPr>
                      <w:r>
                        <w:rPr>
                          <w:rFonts w:hint="eastAsia"/>
                          <w:szCs w:val="21"/>
                        </w:rPr>
                        <w:t>法定代表人身份证反面</w:t>
                      </w:r>
                    </w:p>
                    <w:p w14:paraId="10C4B2AE">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AC76242"/>
                          <w:p w14:paraId="075225BE"/>
                          <w:p w14:paraId="37C4E8AB"/>
                          <w:p w14:paraId="28756517"/>
                          <w:p w14:paraId="180B8591">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6AC76242"/>
                    <w:p w14:paraId="075225BE"/>
                    <w:p w14:paraId="37C4E8AB"/>
                    <w:p w14:paraId="28756517"/>
                    <w:p w14:paraId="180B8591">
                      <w:pPr>
                        <w:jc w:val="center"/>
                      </w:pPr>
                      <w:r>
                        <w:rPr>
                          <w:rFonts w:hint="eastAsia"/>
                        </w:rPr>
                        <w:t>身份证正面</w:t>
                      </w:r>
                    </w:p>
                  </w:txbxContent>
                </v:textbox>
              </v:shape>
            </w:pict>
          </mc:Fallback>
        </mc:AlternateContent>
      </w:r>
    </w:p>
    <w:p w14:paraId="581572EC">
      <w:pPr>
        <w:autoSpaceDE w:val="0"/>
        <w:autoSpaceDN w:val="0"/>
        <w:adjustRightInd w:val="0"/>
        <w:jc w:val="left"/>
        <w:rPr>
          <w:rFonts w:ascii="宋体" w:hAnsi="宋体" w:eastAsia="宋体" w:cs="宋体"/>
          <w:color w:val="auto"/>
          <w:kern w:val="0"/>
          <w:sz w:val="24"/>
          <w:szCs w:val="24"/>
          <w:highlight w:val="none"/>
        </w:rPr>
      </w:pPr>
    </w:p>
    <w:p w14:paraId="56CEF849">
      <w:pPr>
        <w:autoSpaceDE w:val="0"/>
        <w:autoSpaceDN w:val="0"/>
        <w:adjustRightInd w:val="0"/>
        <w:jc w:val="left"/>
        <w:rPr>
          <w:rFonts w:ascii="宋体" w:hAnsi="宋体" w:eastAsia="宋体" w:cs="宋体"/>
          <w:color w:val="auto"/>
          <w:kern w:val="0"/>
          <w:sz w:val="24"/>
          <w:szCs w:val="24"/>
          <w:highlight w:val="none"/>
        </w:rPr>
      </w:pPr>
    </w:p>
    <w:p w14:paraId="3D5778BE">
      <w:pPr>
        <w:autoSpaceDE w:val="0"/>
        <w:autoSpaceDN w:val="0"/>
        <w:adjustRightInd w:val="0"/>
        <w:jc w:val="left"/>
        <w:rPr>
          <w:rFonts w:ascii="宋体" w:hAnsi="宋体" w:eastAsia="宋体" w:cs="宋体"/>
          <w:color w:val="auto"/>
          <w:kern w:val="0"/>
          <w:sz w:val="24"/>
          <w:szCs w:val="24"/>
          <w:highlight w:val="none"/>
        </w:rPr>
      </w:pPr>
    </w:p>
    <w:p w14:paraId="6D5189B2">
      <w:pPr>
        <w:autoSpaceDE w:val="0"/>
        <w:autoSpaceDN w:val="0"/>
        <w:adjustRightInd w:val="0"/>
        <w:jc w:val="left"/>
        <w:rPr>
          <w:rFonts w:ascii="宋体" w:hAnsi="宋体" w:eastAsia="宋体" w:cs="宋体"/>
          <w:color w:val="auto"/>
          <w:kern w:val="0"/>
          <w:sz w:val="24"/>
          <w:szCs w:val="24"/>
          <w:highlight w:val="none"/>
        </w:rPr>
      </w:pPr>
    </w:p>
    <w:p w14:paraId="0958DDF6">
      <w:pPr>
        <w:autoSpaceDE w:val="0"/>
        <w:autoSpaceDN w:val="0"/>
        <w:adjustRightInd w:val="0"/>
        <w:jc w:val="left"/>
        <w:rPr>
          <w:rFonts w:ascii="宋体" w:hAnsi="宋体" w:eastAsia="宋体" w:cs="宋体"/>
          <w:color w:val="auto"/>
          <w:kern w:val="0"/>
          <w:sz w:val="24"/>
          <w:szCs w:val="24"/>
          <w:highlight w:val="none"/>
        </w:rPr>
      </w:pPr>
    </w:p>
    <w:p w14:paraId="6C2A3318">
      <w:pPr>
        <w:autoSpaceDE w:val="0"/>
        <w:autoSpaceDN w:val="0"/>
        <w:adjustRightInd w:val="0"/>
        <w:jc w:val="left"/>
        <w:rPr>
          <w:rFonts w:ascii="宋体" w:hAnsi="宋体" w:eastAsia="宋体" w:cs="宋体"/>
          <w:color w:val="auto"/>
          <w:kern w:val="0"/>
          <w:sz w:val="24"/>
          <w:szCs w:val="24"/>
          <w:highlight w:val="none"/>
        </w:rPr>
      </w:pPr>
    </w:p>
    <w:p w14:paraId="12CC4956">
      <w:pPr>
        <w:autoSpaceDE w:val="0"/>
        <w:autoSpaceDN w:val="0"/>
        <w:adjustRightInd w:val="0"/>
        <w:jc w:val="left"/>
        <w:rPr>
          <w:rFonts w:ascii="宋体" w:hAnsi="宋体" w:eastAsia="宋体" w:cs="宋体"/>
          <w:color w:val="auto"/>
          <w:kern w:val="0"/>
          <w:sz w:val="24"/>
          <w:szCs w:val="24"/>
          <w:highlight w:val="none"/>
        </w:rPr>
      </w:pPr>
    </w:p>
    <w:p w14:paraId="1CC6FA88">
      <w:pPr>
        <w:autoSpaceDE w:val="0"/>
        <w:autoSpaceDN w:val="0"/>
        <w:adjustRightInd w:val="0"/>
        <w:jc w:val="left"/>
        <w:rPr>
          <w:rFonts w:ascii="宋体" w:hAnsi="宋体" w:eastAsia="宋体" w:cs="宋体"/>
          <w:color w:val="auto"/>
          <w:kern w:val="0"/>
          <w:sz w:val="24"/>
          <w:szCs w:val="24"/>
          <w:highlight w:val="none"/>
        </w:rPr>
      </w:pPr>
    </w:p>
    <w:p w14:paraId="7342395D">
      <w:pPr>
        <w:autoSpaceDE w:val="0"/>
        <w:autoSpaceDN w:val="0"/>
        <w:adjustRightInd w:val="0"/>
        <w:jc w:val="left"/>
        <w:rPr>
          <w:rFonts w:ascii="宋体" w:hAnsi="宋体" w:eastAsia="宋体" w:cs="宋体"/>
          <w:color w:val="auto"/>
          <w:kern w:val="0"/>
          <w:sz w:val="24"/>
          <w:szCs w:val="24"/>
          <w:highlight w:val="none"/>
        </w:rPr>
      </w:pPr>
    </w:p>
    <w:p w14:paraId="3A1E9EEA">
      <w:pPr>
        <w:autoSpaceDE w:val="0"/>
        <w:autoSpaceDN w:val="0"/>
        <w:adjustRightInd w:val="0"/>
        <w:jc w:val="left"/>
        <w:rPr>
          <w:rFonts w:ascii="宋体" w:hAnsi="宋体" w:eastAsia="宋体" w:cs="宋体"/>
          <w:b/>
          <w:color w:val="auto"/>
          <w:kern w:val="0"/>
          <w:szCs w:val="21"/>
          <w:highlight w:val="none"/>
        </w:rPr>
      </w:pPr>
    </w:p>
    <w:p w14:paraId="75822AAD">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BB4356E">
      <w:pPr>
        <w:autoSpaceDE w:val="0"/>
        <w:autoSpaceDN w:val="0"/>
        <w:adjustRightInd w:val="0"/>
        <w:jc w:val="left"/>
        <w:rPr>
          <w:rFonts w:ascii="宋体" w:hAnsi="宋体" w:eastAsia="宋体" w:cs="宋体"/>
          <w:color w:val="auto"/>
          <w:kern w:val="0"/>
          <w:szCs w:val="21"/>
          <w:highlight w:val="none"/>
        </w:rPr>
      </w:pPr>
    </w:p>
    <w:p w14:paraId="1E02470A">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说明：由投标人使用投标人的企业数字证书电子签名。</w:t>
      </w:r>
      <w:r>
        <w:rPr>
          <w:rFonts w:hint="eastAsia" w:ascii="宋体" w:hAnsi="宋体" w:eastAsia="宋体" w:cs="宋体"/>
          <w:color w:val="auto"/>
          <w:szCs w:val="24"/>
          <w:highlight w:val="none"/>
          <w:lang w:val="zh-CN"/>
        </w:rPr>
        <w:br w:type="page"/>
      </w:r>
      <w:r>
        <w:rPr>
          <w:rFonts w:hint="eastAsia" w:ascii="宋体" w:hAnsi="宋体" w:eastAsia="宋体" w:cs="宋体"/>
          <w:b/>
          <w:color w:val="auto"/>
          <w:szCs w:val="24"/>
          <w:highlight w:val="none"/>
        </w:rPr>
        <w:t>（2）法定代表人授权书格式</w:t>
      </w:r>
    </w:p>
    <w:p w14:paraId="2E5E1A67">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5C4965EE">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法定代表人授权书</w:t>
      </w:r>
    </w:p>
    <w:p w14:paraId="75F93AE9">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致：东莞市水务集团供水有限公司</w:t>
      </w:r>
    </w:p>
    <w:p w14:paraId="5E77ABDF">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东莞市供水计量设施更新项目(2025年计量仪表采购)－旋翼式远传水表</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SSWSSZ12501144</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应评标委员会的要求对投标文件进行澄清、进行合同谈判和签署合同，以我公司的名义处理一切与本次投标有关的事宜，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FCB2631">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63B1318B">
      <w:pPr>
        <w:spacing w:before="120" w:after="120" w:line="360" w:lineRule="auto"/>
        <w:ind w:left="348" w:leftChars="136" w:hanging="62"/>
        <w:rPr>
          <w:rFonts w:ascii="宋体" w:hAnsi="宋体" w:eastAsia="宋体" w:cs="宋体"/>
          <w:color w:val="auto"/>
          <w:szCs w:val="24"/>
          <w:highlight w:val="none"/>
        </w:rPr>
      </w:pPr>
    </w:p>
    <w:p w14:paraId="6C2A46F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14:paraId="2364BF9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613DD13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713DE02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1F4B2A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73465A0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479FE6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38659B5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69FF797C">
      <w:pPr>
        <w:pStyle w:val="39"/>
        <w:widowControl w:val="0"/>
        <w:snapToGrid w:val="0"/>
        <w:spacing w:before="0" w:beforeAutospacing="0" w:after="0" w:afterAutospacing="0" w:line="360" w:lineRule="auto"/>
        <w:jc w:val="center"/>
        <w:rPr>
          <w:rFonts w:eastAsia="宋体" w:cs="宋体"/>
          <w:b/>
          <w:color w:val="auto"/>
          <w:sz w:val="21"/>
          <w:szCs w:val="21"/>
          <w:highlight w:val="none"/>
          <w:lang w:bidi="ar"/>
        </w:rPr>
      </w:pPr>
    </w:p>
    <w:p w14:paraId="4F36B917">
      <w:pPr>
        <w:widowControl/>
        <w:autoSpaceDE w:val="0"/>
        <w:autoSpaceDN w:val="0"/>
        <w:spacing w:before="120" w:after="120" w:line="360" w:lineRule="auto"/>
        <w:ind w:right="781" w:rightChars="372" w:firstLine="422" w:firstLineChars="200"/>
        <w:textAlignment w:val="bottom"/>
        <w:rPr>
          <w:rFonts w:ascii="宋体" w:hAnsi="宋体" w:eastAsia="宋体" w:cs="宋体"/>
          <w:color w:val="auto"/>
          <w:szCs w:val="24"/>
          <w:highlight w:val="none"/>
        </w:rPr>
      </w:pPr>
      <w:r>
        <w:rPr>
          <w:rFonts w:hint="eastAsia" w:ascii="宋体" w:hAnsi="宋体" w:eastAsia="宋体" w:cs="宋体"/>
          <w:b/>
          <w:bCs/>
          <w:color w:val="auto"/>
          <w:sz w:val="21"/>
          <w:szCs w:val="21"/>
          <w:highlight w:val="none"/>
          <w:u w:val="single"/>
          <w:lang w:bidi="ar"/>
        </w:rPr>
        <w:t>说明：由投标人使用投标人的企业数字证书，法定代表人</w:t>
      </w:r>
      <w:r>
        <w:rPr>
          <w:rFonts w:hint="eastAsia" w:ascii="宋体" w:hAnsi="宋体" w:eastAsia="宋体" w:cs="宋体"/>
          <w:b/>
          <w:bCs/>
          <w:color w:val="auto"/>
          <w:sz w:val="21"/>
          <w:szCs w:val="21"/>
          <w:highlight w:val="none"/>
          <w:u w:val="single"/>
          <w:lang w:eastAsia="zh-CN" w:bidi="ar"/>
        </w:rPr>
        <w:t>、</w:t>
      </w:r>
      <w:r>
        <w:rPr>
          <w:rFonts w:hint="eastAsia" w:ascii="宋体" w:hAnsi="宋体" w:eastAsia="宋体" w:cs="宋体"/>
          <w:b/>
          <w:bCs/>
          <w:color w:val="auto"/>
          <w:sz w:val="21"/>
          <w:szCs w:val="21"/>
          <w:highlight w:val="none"/>
          <w:u w:val="single"/>
          <w:lang w:bidi="ar"/>
        </w:rPr>
        <w:t>其授权代表数字证书电子签名。</w:t>
      </w: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法定代表人、被授权人身份证原件扫描件</w:t>
      </w:r>
    </w:p>
    <w:p w14:paraId="093CB2A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E01AE06"/>
                          <w:p w14:paraId="0592A2CF"/>
                          <w:p w14:paraId="0B8C51DD"/>
                          <w:p w14:paraId="60372E25"/>
                          <w:p w14:paraId="736CDACA">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hED3nZAAAACgEAAA8AAAAAAAAAAQAgAAAAIgAA&#10;AGRycy9kb3ducmV2LnhtbFBLAQIUABQAAAAIAIdO4kCh2c7tQAIAAIoEAAAOAAAAAAAAAAEAIAAA&#10;ACgBAABkcnMvZTJvRG9jLnhtbFBLBQYAAAAABgAGAFkBAADaBQAAAAA=&#10;">
                <v:fill on="t" focussize="0,0"/>
                <v:stroke color="#000000" miterlimit="8" joinstyle="miter"/>
                <v:imagedata o:title=""/>
                <o:lock v:ext="edit" aspectratio="f"/>
                <v:textbox>
                  <w:txbxContent>
                    <w:p w14:paraId="3E01AE06"/>
                    <w:p w14:paraId="0592A2CF"/>
                    <w:p w14:paraId="0B8C51DD"/>
                    <w:p w14:paraId="60372E25"/>
                    <w:p w14:paraId="736CDACA">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D8792DF"/>
                          <w:p w14:paraId="774CDF0E"/>
                          <w:p w14:paraId="64BE7768"/>
                          <w:p w14:paraId="069433DF"/>
                          <w:p w14:paraId="4CE30818">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uZQGVz8CAACKBAAADgAAAAAAAAABACAAAAAn&#10;AQAAZHJzL2Uyb0RvYy54bWxQSwUGAAAAAAYABgBZAQAA2AUAAAAA&#10;">
                <v:fill on="t" focussize="0,0"/>
                <v:stroke color="#000000" miterlimit="8" joinstyle="miter"/>
                <v:imagedata o:title=""/>
                <o:lock v:ext="edit" aspectratio="f"/>
                <v:textbox>
                  <w:txbxContent>
                    <w:p w14:paraId="7D8792DF"/>
                    <w:p w14:paraId="774CDF0E"/>
                    <w:p w14:paraId="64BE7768"/>
                    <w:p w14:paraId="069433DF"/>
                    <w:p w14:paraId="4CE30818">
                      <w:pPr>
                        <w:jc w:val="center"/>
                        <w:rPr>
                          <w:rFonts w:hAnsi="宋体"/>
                        </w:rPr>
                      </w:pPr>
                      <w:r>
                        <w:rPr>
                          <w:rFonts w:hint="eastAsia" w:hAnsi="宋体"/>
                        </w:rPr>
                        <w:t>法定代表人身份证正面</w:t>
                      </w:r>
                    </w:p>
                  </w:txbxContent>
                </v:textbox>
              </v:shape>
            </w:pict>
          </mc:Fallback>
        </mc:AlternateContent>
      </w:r>
    </w:p>
    <w:p w14:paraId="0421C73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9AF9D4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888C4D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16F751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8EC03F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F2B81D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D50F58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BD187F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5E3747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F5F708F"/>
                          <w:p w14:paraId="707BB5CB">
                            <w:pPr>
                              <w:jc w:val="center"/>
                              <w:rPr>
                                <w:rFonts w:hAnsi="宋体"/>
                                <w:color w:val="FF0000"/>
                              </w:rPr>
                            </w:pPr>
                          </w:p>
                          <w:p w14:paraId="02B5A656">
                            <w:pPr>
                              <w:jc w:val="center"/>
                              <w:rPr>
                                <w:rFonts w:hAnsi="宋体"/>
                                <w:color w:val="FF0000"/>
                              </w:rPr>
                            </w:pPr>
                          </w:p>
                          <w:p w14:paraId="385553B4">
                            <w:pPr>
                              <w:jc w:val="center"/>
                              <w:rPr>
                                <w:rFonts w:hAnsi="宋体"/>
                                <w:color w:val="FF0000"/>
                              </w:rPr>
                            </w:pPr>
                          </w:p>
                          <w:p w14:paraId="24BA6E07">
                            <w:pPr>
                              <w:jc w:val="center"/>
                            </w:pPr>
                            <w:r>
                              <w:rPr>
                                <w:rFonts w:hint="eastAsia" w:hAnsi="宋体"/>
                              </w:rPr>
                              <w:t>被授权人身份证反面</w:t>
                            </w:r>
                          </w:p>
                          <w:p w14:paraId="2D111C48"/>
                          <w:p w14:paraId="54A2D04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2B8iPZAAAACgEAAA8AAAAAAAAAAQAgAAAA&#10;IgAAAGRycy9kb3ducmV2LnhtbFBLAQIUABQAAAAIAIdO4kA1PIUIQwIAAIoEAAAOAAAAAAAAAAEA&#10;IAAAACgBAABkcnMvZTJvRG9jLnhtbFBLBQYAAAAABgAGAFkBAADdBQAAAAA=&#10;">
                <v:fill on="t" focussize="0,0"/>
                <v:stroke color="#000000" miterlimit="8" joinstyle="miter"/>
                <v:imagedata o:title=""/>
                <o:lock v:ext="edit" aspectratio="f"/>
                <v:textbox>
                  <w:txbxContent>
                    <w:p w14:paraId="0F5F708F"/>
                    <w:p w14:paraId="707BB5CB">
                      <w:pPr>
                        <w:jc w:val="center"/>
                        <w:rPr>
                          <w:rFonts w:hAnsi="宋体"/>
                          <w:color w:val="FF0000"/>
                        </w:rPr>
                      </w:pPr>
                    </w:p>
                    <w:p w14:paraId="02B5A656">
                      <w:pPr>
                        <w:jc w:val="center"/>
                        <w:rPr>
                          <w:rFonts w:hAnsi="宋体"/>
                          <w:color w:val="FF0000"/>
                        </w:rPr>
                      </w:pPr>
                    </w:p>
                    <w:p w14:paraId="385553B4">
                      <w:pPr>
                        <w:jc w:val="center"/>
                        <w:rPr>
                          <w:rFonts w:hAnsi="宋体"/>
                          <w:color w:val="FF0000"/>
                        </w:rPr>
                      </w:pPr>
                    </w:p>
                    <w:p w14:paraId="24BA6E07">
                      <w:pPr>
                        <w:jc w:val="center"/>
                      </w:pPr>
                      <w:r>
                        <w:rPr>
                          <w:rFonts w:hint="eastAsia" w:hAnsi="宋体"/>
                        </w:rPr>
                        <w:t>被授权人身份证反面</w:t>
                      </w:r>
                    </w:p>
                    <w:p w14:paraId="2D111C48"/>
                    <w:p w14:paraId="54A2D046"/>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3734799"/>
                          <w:p w14:paraId="5F298105">
                            <w:pPr>
                              <w:jc w:val="center"/>
                              <w:rPr>
                                <w:rFonts w:hAnsi="宋体"/>
                                <w:color w:val="FF0000"/>
                              </w:rPr>
                            </w:pPr>
                          </w:p>
                          <w:p w14:paraId="478CB773">
                            <w:pPr>
                              <w:jc w:val="center"/>
                              <w:rPr>
                                <w:rFonts w:hAnsi="宋体"/>
                                <w:color w:val="FF0000"/>
                              </w:rPr>
                            </w:pPr>
                          </w:p>
                          <w:p w14:paraId="26873542">
                            <w:pPr>
                              <w:jc w:val="center"/>
                              <w:rPr>
                                <w:rFonts w:hAnsi="宋体"/>
                                <w:color w:val="FF0000"/>
                              </w:rPr>
                            </w:pPr>
                          </w:p>
                          <w:p w14:paraId="65DC2ABF">
                            <w:pPr>
                              <w:jc w:val="center"/>
                            </w:pPr>
                            <w:r>
                              <w:rPr>
                                <w:rFonts w:hint="eastAsia" w:hAnsi="宋体"/>
                              </w:rPr>
                              <w:t>被授权人身份证正面</w:t>
                            </w:r>
                          </w:p>
                          <w:p w14:paraId="6C7E7CB9"/>
                          <w:p w14:paraId="0BA7B3E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TJvcz0ICAACKBAAADgAAAAAAAAABACAA&#10;AAAnAQAAZHJzL2Uyb0RvYy54bWxQSwUGAAAAAAYABgBZAQAA2wUAAAAA&#10;">
                <v:fill on="t" focussize="0,0"/>
                <v:stroke color="#000000" miterlimit="8" joinstyle="miter"/>
                <v:imagedata o:title=""/>
                <o:lock v:ext="edit" aspectratio="f"/>
                <v:textbox>
                  <w:txbxContent>
                    <w:p w14:paraId="43734799"/>
                    <w:p w14:paraId="5F298105">
                      <w:pPr>
                        <w:jc w:val="center"/>
                        <w:rPr>
                          <w:rFonts w:hAnsi="宋体"/>
                          <w:color w:val="FF0000"/>
                        </w:rPr>
                      </w:pPr>
                    </w:p>
                    <w:p w14:paraId="478CB773">
                      <w:pPr>
                        <w:jc w:val="center"/>
                        <w:rPr>
                          <w:rFonts w:hAnsi="宋体"/>
                          <w:color w:val="FF0000"/>
                        </w:rPr>
                      </w:pPr>
                    </w:p>
                    <w:p w14:paraId="26873542">
                      <w:pPr>
                        <w:jc w:val="center"/>
                        <w:rPr>
                          <w:rFonts w:hAnsi="宋体"/>
                          <w:color w:val="FF0000"/>
                        </w:rPr>
                      </w:pPr>
                    </w:p>
                    <w:p w14:paraId="65DC2ABF">
                      <w:pPr>
                        <w:jc w:val="center"/>
                      </w:pPr>
                      <w:r>
                        <w:rPr>
                          <w:rFonts w:hint="eastAsia" w:hAnsi="宋体"/>
                        </w:rPr>
                        <w:t>被授权人身份证正面</w:t>
                      </w:r>
                    </w:p>
                    <w:p w14:paraId="6C7E7CB9"/>
                    <w:p w14:paraId="0BA7B3E0"/>
                  </w:txbxContent>
                </v:textbox>
              </v:shape>
            </w:pict>
          </mc:Fallback>
        </mc:AlternateContent>
      </w:r>
    </w:p>
    <w:p w14:paraId="07DCD99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153A55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A6AE4D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CF7870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F52756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949D9F5">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7" w:type="first"/>
          <w:footerReference r:id="rId6" w:type="defaul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73F9F164">
      <w:pPr>
        <w:autoSpaceDE/>
        <w:autoSpaceDN/>
        <w:adjustRightInd/>
        <w:spacing w:line="36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4.4 制造商</w:t>
      </w:r>
      <w:r>
        <w:rPr>
          <w:rFonts w:hint="eastAsia" w:ascii="宋体" w:hAnsi="宋体" w:eastAsia="宋体" w:cs="宋体"/>
          <w:b/>
          <w:color w:val="auto"/>
          <w:kern w:val="0"/>
          <w:sz w:val="30"/>
          <w:szCs w:val="30"/>
          <w:highlight w:val="none"/>
          <w:lang w:eastAsia="zh-CN"/>
        </w:rPr>
        <w:t>资格声明和制造商售后服务承诺函及独家授权书</w:t>
      </w:r>
    </w:p>
    <w:p w14:paraId="6FA445CE">
      <w:pPr>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（1）制造商资格声明</w:t>
      </w:r>
    </w:p>
    <w:p w14:paraId="11415B43">
      <w:pPr>
        <w:spacing w:line="360" w:lineRule="auto"/>
        <w:ind w:firstLine="517" w:firstLineChars="24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[投标人根据实际情况选用，本格式适用于：（1）投标人为在境内依法登记注册、能独立承担民事责任能力，具有生产制造本次投标</w:t>
      </w:r>
      <w:r>
        <w:rPr>
          <w:rFonts w:hint="eastAsia" w:ascii="宋体" w:hAnsi="宋体" w:eastAsia="宋体" w:cs="宋体"/>
          <w:b/>
          <w:color w:val="auto"/>
          <w:sz w:val="21"/>
          <w:szCs w:val="21"/>
          <w:highlight w:val="none"/>
          <w:lang w:eastAsia="zh-CN"/>
        </w:rPr>
        <w:t>旋翼式远传水表</w:t>
      </w:r>
      <w:r>
        <w:rPr>
          <w:rFonts w:hint="eastAsia" w:ascii="宋体" w:hAnsi="宋体" w:eastAsia="宋体" w:cs="宋体"/>
          <w:b/>
          <w:color w:val="auto"/>
          <w:sz w:val="21"/>
          <w:szCs w:val="21"/>
          <w:highlight w:val="none"/>
        </w:rPr>
        <w:t>的制造商时提供；（2）投标人为投标</w:t>
      </w:r>
      <w:r>
        <w:rPr>
          <w:rFonts w:hint="eastAsia" w:ascii="宋体" w:hAnsi="宋体" w:eastAsia="宋体" w:cs="宋体"/>
          <w:b/>
          <w:color w:val="auto"/>
          <w:sz w:val="21"/>
          <w:szCs w:val="21"/>
          <w:highlight w:val="none"/>
          <w:lang w:eastAsia="zh-CN"/>
        </w:rPr>
        <w:t>旋翼式远传水表</w:t>
      </w:r>
      <w:r>
        <w:rPr>
          <w:rFonts w:hint="eastAsia" w:ascii="宋体" w:hAnsi="宋体" w:eastAsia="宋体" w:cs="宋体"/>
          <w:b/>
          <w:color w:val="auto"/>
          <w:sz w:val="21"/>
          <w:szCs w:val="21"/>
          <w:highlight w:val="none"/>
        </w:rPr>
        <w:t>制造商直接就本项目独家授权在境内依法登记注册成立、能独立承担民事责任能力的经销商时提供。]</w:t>
      </w:r>
    </w:p>
    <w:p w14:paraId="6450296C">
      <w:pPr>
        <w:numPr>
          <w:ilvl w:val="0"/>
          <w:numId w:val="3"/>
        </w:numPr>
        <w:tabs>
          <w:tab w:val="left" w:pos="426"/>
          <w:tab w:val="left" w:pos="2700"/>
        </w:tabs>
        <w:autoSpaceDE/>
        <w:autoSpaceDN/>
        <w:snapToGrid w:val="0"/>
        <w:spacing w:line="360" w:lineRule="auto"/>
        <w:ind w:left="720" w:hanging="720"/>
        <w:jc w:val="both"/>
        <w:outlineLvl w:val="9"/>
        <w:rPr>
          <w:rFonts w:hint="eastAsia" w:ascii="宋体" w:hAnsi="宋体" w:eastAsia="宋体" w:cs="宋体"/>
          <w:color w:val="auto"/>
          <w:sz w:val="21"/>
          <w:szCs w:val="21"/>
          <w:highlight w:val="none"/>
        </w:rPr>
      </w:pPr>
      <w:bookmarkStart w:id="761" w:name="_Toc15069"/>
      <w:r>
        <w:rPr>
          <w:rFonts w:hint="eastAsia" w:ascii="宋体" w:hAnsi="宋体" w:eastAsia="宋体" w:cs="宋体"/>
          <w:color w:val="auto"/>
          <w:sz w:val="21"/>
          <w:szCs w:val="21"/>
          <w:highlight w:val="none"/>
        </w:rPr>
        <w:t>名称及概况：</w:t>
      </w:r>
      <w:bookmarkEnd w:id="761"/>
    </w:p>
    <w:p w14:paraId="4A0778CB">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0BF4F6A4">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41E83D73">
      <w:pPr>
        <w:tabs>
          <w:tab w:val="left" w:pos="426"/>
          <w:tab w:val="left" w:pos="9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2C55B6F2">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5C641D44">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09CCD768">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产品制造商代表姓名、联系电话和地址：</w:t>
      </w:r>
    </w:p>
    <w:p w14:paraId="25764551">
      <w:pPr>
        <w:tabs>
          <w:tab w:val="left" w:pos="426"/>
        </w:tabs>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61FFB834">
      <w:pPr>
        <w:numPr>
          <w:ilvl w:val="0"/>
          <w:numId w:val="3"/>
        </w:numPr>
        <w:tabs>
          <w:tab w:val="left" w:pos="426"/>
          <w:tab w:val="left" w:pos="2700"/>
        </w:tabs>
        <w:autoSpaceDE/>
        <w:autoSpaceDN/>
        <w:snapToGrid w:val="0"/>
        <w:spacing w:line="360" w:lineRule="auto"/>
        <w:ind w:left="720" w:hanging="7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(1)制造投标货物的主要设备、设施及有关情况：</w:t>
      </w:r>
    </w:p>
    <w:tbl>
      <w:tblPr>
        <w:tblStyle w:val="44"/>
        <w:tblW w:w="92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14:paraId="1C28E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noWrap w:val="0"/>
            <w:vAlign w:val="center"/>
          </w:tcPr>
          <w:p w14:paraId="31B9C9C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963" w:type="dxa"/>
            <w:noWrap w:val="0"/>
            <w:vAlign w:val="center"/>
          </w:tcPr>
          <w:p w14:paraId="430278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636" w:type="dxa"/>
            <w:noWrap w:val="0"/>
            <w:vAlign w:val="center"/>
          </w:tcPr>
          <w:p w14:paraId="7DDBBB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473" w:type="dxa"/>
            <w:noWrap w:val="0"/>
            <w:vAlign w:val="center"/>
          </w:tcPr>
          <w:p w14:paraId="48CDCB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472" w:type="dxa"/>
            <w:noWrap w:val="0"/>
            <w:vAlign w:val="center"/>
          </w:tcPr>
          <w:p w14:paraId="2FD8F2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70" w:type="dxa"/>
            <w:noWrap w:val="0"/>
            <w:vAlign w:val="center"/>
          </w:tcPr>
          <w:p w14:paraId="1E15E1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594DA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noWrap w:val="0"/>
            <w:vAlign w:val="center"/>
          </w:tcPr>
          <w:p w14:paraId="494518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63" w:type="dxa"/>
            <w:noWrap w:val="0"/>
            <w:vAlign w:val="center"/>
          </w:tcPr>
          <w:p w14:paraId="2346BF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36" w:type="dxa"/>
            <w:noWrap w:val="0"/>
            <w:vAlign w:val="center"/>
          </w:tcPr>
          <w:p w14:paraId="3FC3A15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noWrap w:val="0"/>
            <w:vAlign w:val="center"/>
          </w:tcPr>
          <w:p w14:paraId="35310C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2" w:type="dxa"/>
            <w:noWrap w:val="0"/>
            <w:vAlign w:val="center"/>
          </w:tcPr>
          <w:p w14:paraId="41748B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0" w:type="dxa"/>
            <w:noWrap w:val="0"/>
            <w:vAlign w:val="center"/>
          </w:tcPr>
          <w:p w14:paraId="10FCEB0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9413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noWrap w:val="0"/>
            <w:vAlign w:val="center"/>
          </w:tcPr>
          <w:p w14:paraId="665D769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63" w:type="dxa"/>
            <w:noWrap w:val="0"/>
            <w:vAlign w:val="center"/>
          </w:tcPr>
          <w:p w14:paraId="7322AB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36" w:type="dxa"/>
            <w:noWrap w:val="0"/>
            <w:vAlign w:val="center"/>
          </w:tcPr>
          <w:p w14:paraId="51C959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noWrap w:val="0"/>
            <w:vAlign w:val="center"/>
          </w:tcPr>
          <w:p w14:paraId="5BF31E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2" w:type="dxa"/>
            <w:noWrap w:val="0"/>
            <w:vAlign w:val="center"/>
          </w:tcPr>
          <w:p w14:paraId="78070F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0" w:type="dxa"/>
            <w:noWrap w:val="0"/>
            <w:vAlign w:val="center"/>
          </w:tcPr>
          <w:p w14:paraId="38D617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15A080AD">
      <w:pPr>
        <w:tabs>
          <w:tab w:val="left" w:pos="426"/>
          <w:tab w:val="left" w:pos="2700"/>
        </w:tabs>
        <w:autoSpaceDE/>
        <w:autoSpaceDN/>
        <w:snapToGrid w:val="0"/>
        <w:spacing w:line="360" w:lineRule="auto"/>
        <w:ind w:left="720"/>
        <w:jc w:val="both"/>
        <w:rPr>
          <w:rFonts w:hint="eastAsia" w:ascii="宋体" w:hAnsi="宋体" w:eastAsia="宋体" w:cs="宋体"/>
          <w:color w:val="auto"/>
          <w:sz w:val="21"/>
          <w:szCs w:val="21"/>
          <w:highlight w:val="none"/>
        </w:rPr>
      </w:pPr>
    </w:p>
    <w:p w14:paraId="30BC606F">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(2)投标货物中本制造商不生产，而需从其它制造商购买的主要零部件：</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2ADC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2A53EC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4730247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0D70C1A8">
            <w:pPr>
              <w:keepNext w:val="0"/>
              <w:keepLines w:val="0"/>
              <w:suppressLineNumbers w:val="0"/>
              <w:spacing w:before="0" w:beforeAutospacing="0" w:after="0" w:afterAutospacing="0" w:line="360" w:lineRule="auto"/>
              <w:ind w:left="0" w:right="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6C08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42812D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2" w:type="dxa"/>
            <w:noWrap w:val="0"/>
            <w:vAlign w:val="center"/>
          </w:tcPr>
          <w:p w14:paraId="713E91D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417E58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CF0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3130618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429848A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254B46E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65C90F9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8AE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4D70298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26508B90">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1A277836">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182D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0170188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71212EB7">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3D78F555">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26D2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63671C8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15C49752">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0A3AC514">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106481EA">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A0C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5831ED5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3D78D897">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4D4FED92">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5EA9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174CB8C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61ED1AE2">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6FC8BF82">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14D8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4014354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168F9B1F">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5908980B">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25B9A73F">
      <w:pPr>
        <w:snapToGrid w:val="0"/>
        <w:spacing w:line="360" w:lineRule="auto"/>
        <w:rPr>
          <w:rFonts w:hint="eastAsia" w:ascii="宋体" w:hAnsi="宋体" w:eastAsia="宋体" w:cs="宋体"/>
          <w:color w:val="auto"/>
          <w:sz w:val="21"/>
          <w:szCs w:val="21"/>
          <w:highlight w:val="none"/>
        </w:rPr>
      </w:pPr>
    </w:p>
    <w:p w14:paraId="3F7C768A">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5、其他情况：(公司简介、技术力量、本制造商生产投标货物的经验等)</w:t>
      </w:r>
    </w:p>
    <w:p w14:paraId="6980C8EA">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169D46FF">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2EC25D66">
      <w:pPr>
        <w:autoSpaceDE/>
        <w:autoSpaceDN/>
        <w:adjustRightInd/>
        <w:spacing w:line="360" w:lineRule="auto"/>
        <w:ind w:left="567" w:leftChars="270" w:firstLine="420"/>
        <w:jc w:val="both"/>
        <w:rPr>
          <w:rFonts w:hint="eastAsia" w:ascii="宋体" w:hAnsi="宋体" w:eastAsia="宋体" w:cs="宋体"/>
          <w:color w:val="auto"/>
          <w:kern w:val="2"/>
          <w:sz w:val="21"/>
          <w:szCs w:val="21"/>
          <w:highlight w:val="none"/>
        </w:rPr>
      </w:pPr>
    </w:p>
    <w:p w14:paraId="4520A9DF">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产品制造商名称：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（境内工商注册的产品制造商必须同时加盖法人公章）</w:t>
      </w:r>
    </w:p>
    <w:p w14:paraId="6D772469">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234DB316">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38131E04">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7263F114">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02850669">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771AC303">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0146861E">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58EBA811">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5CBCC474">
      <w:pPr>
        <w:spacing w:line="360" w:lineRule="auto"/>
        <w:ind w:firstLine="600"/>
        <w:rPr>
          <w:rFonts w:hint="eastAsia" w:ascii="宋体" w:hAnsi="宋体" w:eastAsia="宋体" w:cs="宋体"/>
          <w:color w:val="auto"/>
          <w:sz w:val="21"/>
          <w:szCs w:val="21"/>
          <w:highlight w:val="none"/>
          <w:u w:val="single"/>
        </w:rPr>
      </w:pPr>
    </w:p>
    <w:p w14:paraId="43B45EA5">
      <w:pPr>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b/>
          <w:color w:val="auto"/>
          <w:szCs w:val="21"/>
          <w:highlight w:val="none"/>
        </w:rPr>
        <w:t>制造商资格声明</w:t>
      </w:r>
      <w:r>
        <w:rPr>
          <w:rFonts w:hint="eastAsia" w:ascii="宋体" w:hAnsi="宋体" w:eastAsia="宋体" w:cs="宋体"/>
          <w:b/>
          <w:color w:val="auto"/>
          <w:kern w:val="2"/>
          <w:sz w:val="21"/>
          <w:szCs w:val="21"/>
          <w:highlight w:val="none"/>
        </w:rPr>
        <w:t>必须提供原件</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lang w:eastAsia="zh-CN"/>
        </w:rPr>
        <w:t>。</w:t>
      </w:r>
      <w:r>
        <w:rPr>
          <w:rFonts w:hint="eastAsia" w:ascii="宋体" w:hAnsi="宋体" w:eastAsia="宋体" w:cs="宋体"/>
          <w:b/>
          <w:color w:val="auto"/>
          <w:kern w:val="2"/>
          <w:sz w:val="21"/>
          <w:szCs w:val="21"/>
          <w:highlight w:val="none"/>
        </w:rPr>
        <w:t>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2CABEC2E">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692365C7">
      <w:pPr>
        <w:pageBreakBefore/>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zh-CN"/>
        </w:rPr>
        <w:t>（2）</w:t>
      </w:r>
      <w:r>
        <w:rPr>
          <w:rFonts w:hint="eastAsia" w:ascii="宋体" w:hAnsi="宋体" w:eastAsia="宋体" w:cs="宋体"/>
          <w:b/>
          <w:color w:val="auto"/>
          <w:sz w:val="21"/>
          <w:szCs w:val="21"/>
          <w:highlight w:val="none"/>
        </w:rPr>
        <w:t>制造商资格声明</w:t>
      </w:r>
    </w:p>
    <w:p w14:paraId="7466883E">
      <w:pPr>
        <w:spacing w:line="360" w:lineRule="auto"/>
        <w:ind w:firstLine="422" w:firstLineChars="2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境外品牌境外生产</w:t>
      </w:r>
      <w:r>
        <w:rPr>
          <w:rFonts w:hint="eastAsia" w:ascii="宋体" w:hAnsi="宋体" w:eastAsia="宋体" w:cs="宋体"/>
          <w:b/>
          <w:color w:val="auto"/>
          <w:sz w:val="21"/>
          <w:szCs w:val="21"/>
          <w:highlight w:val="none"/>
          <w:u w:val="single"/>
          <w:lang w:eastAsia="zh-CN"/>
        </w:rPr>
        <w:t>所投旋翼式远传水表</w:t>
      </w:r>
      <w:r>
        <w:rPr>
          <w:rFonts w:hint="eastAsia" w:ascii="宋体" w:hAnsi="宋体" w:eastAsia="宋体" w:cs="宋体"/>
          <w:b/>
          <w:color w:val="auto"/>
          <w:sz w:val="21"/>
          <w:szCs w:val="21"/>
          <w:highlight w:val="none"/>
          <w:u w:val="single"/>
        </w:rPr>
        <w:t>的制造商通过境内的办事机构</w:t>
      </w:r>
      <w:r>
        <w:rPr>
          <w:rFonts w:hint="eastAsia" w:ascii="宋体" w:hAnsi="宋体" w:eastAsia="宋体" w:cs="宋体"/>
          <w:b/>
          <w:color w:val="auto"/>
          <w:kern w:val="2"/>
          <w:sz w:val="21"/>
          <w:szCs w:val="21"/>
          <w:highlight w:val="none"/>
          <w:u w:val="single"/>
        </w:rPr>
        <w:t>独家授权在境内依法登记注册成立、能独立承担民事责任能力的经销商参与投标时提供</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 w:val="21"/>
          <w:szCs w:val="21"/>
          <w:highlight w:val="none"/>
        </w:rPr>
        <w:t>）</w:t>
      </w:r>
    </w:p>
    <w:p w14:paraId="332B9634">
      <w:pPr>
        <w:numPr>
          <w:ilvl w:val="0"/>
          <w:numId w:val="0"/>
        </w:numPr>
        <w:tabs>
          <w:tab w:val="left" w:pos="567"/>
          <w:tab w:val="left" w:pos="2700"/>
        </w:tabs>
        <w:autoSpaceDE/>
        <w:autoSpaceDN/>
        <w:snapToGrid w:val="0"/>
        <w:spacing w:line="360" w:lineRule="auto"/>
        <w:ind w:left="567" w:leftChars="0" w:hanging="567" w:firstLineChars="0"/>
        <w:jc w:val="both"/>
        <w:outlineLvl w:val="9"/>
        <w:rPr>
          <w:rFonts w:hint="eastAsia" w:ascii="宋体" w:hAnsi="宋体" w:eastAsia="宋体" w:cs="宋体"/>
          <w:color w:val="auto"/>
          <w:sz w:val="21"/>
          <w:szCs w:val="21"/>
          <w:highlight w:val="none"/>
        </w:rPr>
      </w:pPr>
      <w:bookmarkStart w:id="762" w:name="_Toc27966"/>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名称及概况：</w:t>
      </w:r>
      <w:bookmarkEnd w:id="762"/>
    </w:p>
    <w:p w14:paraId="33E38C94">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6B38FD6A">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784D6653">
      <w:pPr>
        <w:tabs>
          <w:tab w:val="left" w:pos="567"/>
          <w:tab w:val="left" w:pos="900"/>
        </w:tabs>
        <w:snapToGrid w:val="0"/>
        <w:spacing w:line="360" w:lineRule="auto"/>
        <w:ind w:left="504" w:leftChars="220" w:hanging="42" w:hanging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34F885E">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1658558D">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5FCD5987">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制造商代表姓名、联系电话和地址：</w:t>
      </w:r>
    </w:p>
    <w:p w14:paraId="484381DD">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0F0C10B0">
      <w:pPr>
        <w:numPr>
          <w:ilvl w:val="0"/>
          <w:numId w:val="0"/>
        </w:numPr>
        <w:tabs>
          <w:tab w:val="left" w:pos="567"/>
        </w:tabs>
        <w:autoSpaceDE/>
        <w:autoSpaceDN/>
        <w:snapToGrid w:val="0"/>
        <w:spacing w:line="360" w:lineRule="auto"/>
        <w:ind w:left="565" w:leftChars="-1"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境内办事机构名称：</w:t>
      </w:r>
      <w:r>
        <w:rPr>
          <w:rFonts w:hint="eastAsia" w:ascii="宋体" w:hAnsi="宋体" w:eastAsia="宋体" w:cs="宋体"/>
          <w:color w:val="auto"/>
          <w:sz w:val="21"/>
          <w:szCs w:val="21"/>
          <w:highlight w:val="none"/>
          <w:u w:val="single"/>
        </w:rPr>
        <w:t xml:space="preserve">                          </w:t>
      </w:r>
    </w:p>
    <w:p w14:paraId="1EA53645">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ED36C8A">
      <w:pPr>
        <w:tabs>
          <w:tab w:val="left" w:pos="567"/>
          <w:tab w:val="left" w:pos="900"/>
        </w:tabs>
        <w:snapToGrid w:val="0"/>
        <w:spacing w:line="360" w:lineRule="auto"/>
        <w:ind w:left="500" w:leftChars="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55FBAC98">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341910DA">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3B987BED">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境内办事机构代表姓名、联系电话和地址：</w:t>
      </w:r>
    </w:p>
    <w:p w14:paraId="05148A75">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78D694E4">
      <w:pPr>
        <w:numPr>
          <w:ilvl w:val="0"/>
          <w:numId w:val="0"/>
        </w:numPr>
        <w:tabs>
          <w:tab w:val="left" w:pos="426"/>
          <w:tab w:val="left" w:pos="2700"/>
        </w:tabs>
        <w:autoSpaceDE/>
        <w:autoSpaceDN/>
        <w:snapToGrid w:val="0"/>
        <w:spacing w:line="360" w:lineRule="auto"/>
        <w:ind w:left="720" w:leftChars="0" w:hanging="72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color w:val="auto"/>
          <w:sz w:val="21"/>
          <w:szCs w:val="21"/>
          <w:highlight w:val="none"/>
        </w:rPr>
        <w:t xml:space="preserve"> (1)</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产品制造商制造投标货物的主要设备、设施及有关情况：</w:t>
      </w:r>
    </w:p>
    <w:tbl>
      <w:tblPr>
        <w:tblStyle w:val="44"/>
        <w:tblW w:w="80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14:paraId="74955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14:paraId="3A373C2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01" w:type="dxa"/>
            <w:noWrap w:val="0"/>
            <w:vAlign w:val="center"/>
          </w:tcPr>
          <w:p w14:paraId="189C1B9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417" w:type="dxa"/>
            <w:noWrap w:val="0"/>
            <w:vAlign w:val="center"/>
          </w:tcPr>
          <w:p w14:paraId="40A8A6AE">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276" w:type="dxa"/>
            <w:noWrap w:val="0"/>
            <w:vAlign w:val="center"/>
          </w:tcPr>
          <w:p w14:paraId="78A0C00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76" w:type="dxa"/>
            <w:noWrap w:val="0"/>
            <w:vAlign w:val="center"/>
          </w:tcPr>
          <w:p w14:paraId="38DE14A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100" w:type="dxa"/>
            <w:noWrap w:val="0"/>
            <w:vAlign w:val="center"/>
          </w:tcPr>
          <w:p w14:paraId="0E33B7D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2A907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14:paraId="37989A9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701" w:type="dxa"/>
            <w:noWrap w:val="0"/>
            <w:vAlign w:val="center"/>
          </w:tcPr>
          <w:p w14:paraId="18D2836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noWrap w:val="0"/>
            <w:vAlign w:val="center"/>
          </w:tcPr>
          <w:p w14:paraId="1A2D60A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6" w:type="dxa"/>
            <w:noWrap w:val="0"/>
            <w:vAlign w:val="center"/>
          </w:tcPr>
          <w:p w14:paraId="4C18034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6" w:type="dxa"/>
            <w:noWrap w:val="0"/>
            <w:vAlign w:val="center"/>
          </w:tcPr>
          <w:p w14:paraId="5030445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00" w:type="dxa"/>
            <w:noWrap w:val="0"/>
            <w:vAlign w:val="center"/>
          </w:tcPr>
          <w:p w14:paraId="0F5BC6F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33CF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14:paraId="7BADC8A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01" w:type="dxa"/>
            <w:noWrap w:val="0"/>
            <w:vAlign w:val="center"/>
          </w:tcPr>
          <w:p w14:paraId="6B6114C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417" w:type="dxa"/>
            <w:noWrap w:val="0"/>
            <w:vAlign w:val="center"/>
          </w:tcPr>
          <w:p w14:paraId="62CF5FF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76" w:type="dxa"/>
            <w:noWrap w:val="0"/>
            <w:vAlign w:val="center"/>
          </w:tcPr>
          <w:p w14:paraId="565E3D9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76" w:type="dxa"/>
            <w:noWrap w:val="0"/>
            <w:vAlign w:val="center"/>
          </w:tcPr>
          <w:p w14:paraId="3B1C12E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100" w:type="dxa"/>
            <w:noWrap w:val="0"/>
            <w:vAlign w:val="center"/>
          </w:tcPr>
          <w:p w14:paraId="585E816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bl>
    <w:p w14:paraId="04DAF9D5">
      <w:pPr>
        <w:spacing w:line="360" w:lineRule="auto"/>
        <w:ind w:right="-26"/>
        <w:rPr>
          <w:rFonts w:hint="eastAsia" w:ascii="宋体" w:hAnsi="宋体" w:eastAsia="宋体" w:cs="宋体"/>
          <w:b/>
          <w:bCs/>
          <w:color w:val="auto"/>
          <w:kern w:val="2"/>
          <w:sz w:val="21"/>
          <w:szCs w:val="21"/>
          <w:highlight w:val="none"/>
        </w:rPr>
      </w:pPr>
    </w:p>
    <w:p w14:paraId="54DA51B3">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投标货物中本产品制造商不生产，而需从其它制造商购买的主要零部件：</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09EB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3D2248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1DCFF15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06D7D04C">
            <w:pPr>
              <w:keepNext w:val="0"/>
              <w:keepLines w:val="0"/>
              <w:suppressLineNumbers w:val="0"/>
              <w:spacing w:before="0" w:beforeAutospacing="0" w:after="0" w:afterAutospacing="0" w:line="360" w:lineRule="auto"/>
              <w:ind w:left="0" w:right="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4AD9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20CD355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2" w:type="dxa"/>
            <w:noWrap w:val="0"/>
            <w:vAlign w:val="center"/>
          </w:tcPr>
          <w:p w14:paraId="33B86DB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100" w:type="dxa"/>
            <w:noWrap w:val="0"/>
            <w:vAlign w:val="center"/>
          </w:tcPr>
          <w:p w14:paraId="704F43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144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1A32C5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72B77E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5ACFAF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7639EF2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6F18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5ABF234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32D9A4CD">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68E89756">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005A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34D6858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077F39A8">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2E91A8EE">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65A1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3C7D488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39FD5AFC">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23CE2FE8">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368217AD">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558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200F6EB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161B9F01">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6098F8C8">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4A23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43008B7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p>
        </w:tc>
        <w:tc>
          <w:tcPr>
            <w:tcW w:w="3097" w:type="dxa"/>
            <w:noWrap w:val="0"/>
            <w:vAlign w:val="center"/>
          </w:tcPr>
          <w:p w14:paraId="08267EB7">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7A5B41EB">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r w14:paraId="3AA8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47F5D08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775D6559">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3E68E000">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2073EBFF">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5、其他情况：(公司简介、技术力量、产品制造商生产</w:t>
      </w:r>
      <w:r>
        <w:rPr>
          <w:rFonts w:hint="eastAsia" w:ascii="宋体" w:hAnsi="宋体" w:eastAsia="宋体" w:cs="宋体"/>
          <w:color w:val="auto"/>
          <w:sz w:val="21"/>
          <w:szCs w:val="21"/>
          <w:highlight w:val="none"/>
        </w:rPr>
        <w:t>投标</w:t>
      </w:r>
      <w:r>
        <w:rPr>
          <w:rFonts w:hint="eastAsia" w:ascii="宋体" w:hAnsi="宋体" w:eastAsia="宋体" w:cs="宋体"/>
          <w:color w:val="auto"/>
          <w:kern w:val="2"/>
          <w:sz w:val="21"/>
          <w:szCs w:val="21"/>
          <w:highlight w:val="none"/>
        </w:rPr>
        <w:t>货物的经验等)</w:t>
      </w:r>
    </w:p>
    <w:p w14:paraId="536726AB">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6946C113">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6、附我方作为境外品牌境外生产的产品生产制造商在境内的办事机构的证明文件</w:t>
      </w:r>
      <w:r>
        <w:rPr>
          <w:rFonts w:hint="eastAsia" w:ascii="宋体" w:hAnsi="宋体" w:eastAsia="宋体" w:cs="宋体"/>
          <w:color w:val="auto"/>
          <w:kern w:val="2"/>
          <w:sz w:val="21"/>
          <w:szCs w:val="21"/>
          <w:highlight w:val="none"/>
          <w:lang w:val="en-US" w:eastAsia="zh-CN"/>
        </w:rPr>
        <w:t>原件扫描</w:t>
      </w:r>
      <w:r>
        <w:rPr>
          <w:rFonts w:hint="eastAsia" w:ascii="宋体" w:hAnsi="宋体" w:eastAsia="宋体" w:cs="宋体"/>
          <w:color w:val="auto"/>
          <w:kern w:val="2"/>
          <w:sz w:val="21"/>
          <w:szCs w:val="21"/>
          <w:highlight w:val="none"/>
        </w:rPr>
        <w:t>件{证明文件可为显示其作为境外产品制造商分公司的营业执照、或反映其作为境外产品制造商子公司的章程(或出资证明、或反映出资人为境外产品制造商的营业执照)或境外产品制造商的书面证明或官网显示其关系的</w:t>
      </w:r>
      <w:r>
        <w:rPr>
          <w:rFonts w:hint="eastAsia" w:ascii="宋体" w:hAnsi="宋体" w:eastAsia="宋体" w:cs="宋体"/>
          <w:color w:val="auto"/>
          <w:kern w:val="2"/>
          <w:sz w:val="21"/>
          <w:szCs w:val="21"/>
          <w:highlight w:val="none"/>
          <w:lang w:val="en-US" w:eastAsia="zh-CN"/>
        </w:rPr>
        <w:t>扫描</w:t>
      </w:r>
      <w:r>
        <w:rPr>
          <w:rFonts w:hint="eastAsia" w:ascii="宋体" w:hAnsi="宋体" w:eastAsia="宋体" w:cs="宋体"/>
          <w:color w:val="auto"/>
          <w:kern w:val="2"/>
          <w:sz w:val="21"/>
          <w:szCs w:val="21"/>
          <w:highlight w:val="none"/>
        </w:rPr>
        <w:t>件}，否则本资格声明无效。</w:t>
      </w:r>
    </w:p>
    <w:p w14:paraId="10C878EA">
      <w:pPr>
        <w:autoSpaceDE/>
        <w:autoSpaceDN/>
        <w:adjustRightInd/>
        <w:spacing w:line="360" w:lineRule="auto"/>
        <w:jc w:val="both"/>
        <w:rPr>
          <w:rFonts w:hint="eastAsia" w:ascii="宋体" w:hAnsi="宋体" w:eastAsia="宋体" w:cs="宋体"/>
          <w:color w:val="auto"/>
          <w:kern w:val="2"/>
          <w:sz w:val="21"/>
          <w:szCs w:val="21"/>
          <w:highlight w:val="none"/>
        </w:rPr>
      </w:pPr>
    </w:p>
    <w:p w14:paraId="6D8756D5">
      <w:pPr>
        <w:autoSpaceDE/>
        <w:autoSpaceDN/>
        <w:adjustRightInd/>
        <w:spacing w:line="360" w:lineRule="auto"/>
        <w:ind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2018CC48">
      <w:pPr>
        <w:autoSpaceDE/>
        <w:autoSpaceDN/>
        <w:adjustRightInd/>
        <w:spacing w:line="360" w:lineRule="auto"/>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境外品牌境外生产的产品生产制造商</w:t>
      </w:r>
      <w:r>
        <w:rPr>
          <w:rFonts w:hint="eastAsia" w:ascii="宋体" w:hAnsi="宋体" w:eastAsia="宋体" w:cs="宋体"/>
          <w:bCs/>
          <w:color w:val="auto"/>
          <w:kern w:val="2"/>
          <w:sz w:val="21"/>
          <w:szCs w:val="21"/>
          <w:highlight w:val="none"/>
        </w:rPr>
        <w:t>在境内的办事机构</w:t>
      </w: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（在境内工商注册的办事机构必须同时加盖公章）</w:t>
      </w:r>
    </w:p>
    <w:p w14:paraId="21BEEF70">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6DC4507E">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76995C75">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1873D98E">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69D43123">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0874B582">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217C8CB7">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2F385405">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221B88CC">
      <w:pPr>
        <w:autoSpaceDE/>
        <w:autoSpaceDN/>
        <w:adjustRightInd/>
        <w:spacing w:line="360" w:lineRule="auto"/>
        <w:rPr>
          <w:rFonts w:hint="eastAsia" w:ascii="宋体" w:hAnsi="宋体" w:eastAsia="宋体" w:cs="宋体"/>
          <w:b/>
          <w:color w:val="auto"/>
          <w:kern w:val="2"/>
          <w:sz w:val="21"/>
          <w:szCs w:val="21"/>
          <w:highlight w:val="none"/>
        </w:rPr>
      </w:pPr>
    </w:p>
    <w:p w14:paraId="3AC1EBDC">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color w:val="auto"/>
          <w:kern w:val="2"/>
          <w:sz w:val="21"/>
          <w:szCs w:val="20"/>
          <w:highlight w:val="none"/>
        </w:rPr>
        <w:t xml:space="preserve"> </w:t>
      </w:r>
      <w:r>
        <w:rPr>
          <w:rFonts w:hint="eastAsia" w:ascii="宋体" w:hAnsi="宋体" w:eastAsia="宋体" w:cs="宋体"/>
          <w:b/>
          <w:color w:val="auto"/>
          <w:kern w:val="2"/>
          <w:sz w:val="21"/>
          <w:szCs w:val="21"/>
          <w:highlight w:val="none"/>
        </w:rPr>
        <w:t>投标文件必须提供原件</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lang w:eastAsia="zh-CN"/>
        </w:rPr>
        <w:t>。</w:t>
      </w:r>
      <w:r>
        <w:rPr>
          <w:rFonts w:hint="eastAsia" w:ascii="宋体" w:hAnsi="宋体" w:eastAsia="宋体" w:cs="宋体"/>
          <w:b/>
          <w:color w:val="auto"/>
          <w:kern w:val="2"/>
          <w:sz w:val="21"/>
          <w:szCs w:val="21"/>
          <w:highlight w:val="none"/>
        </w:rPr>
        <w:t>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15B813F9">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7A41A05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2"/>
          <w:sz w:val="21"/>
          <w:szCs w:val="21"/>
          <w:highlight w:val="none"/>
        </w:rPr>
      </w:pPr>
      <w:r>
        <w:rPr>
          <w:rFonts w:hint="eastAsia" w:ascii="宋体" w:hAnsi="宋体" w:eastAsia="宋体" w:cs="宋体"/>
          <w:b/>
          <w:bCs/>
          <w:color w:val="auto"/>
          <w:sz w:val="21"/>
          <w:szCs w:val="21"/>
          <w:highlight w:val="none"/>
          <w:lang w:val="zh-CN"/>
        </w:rPr>
        <w:t>（3）</w:t>
      </w:r>
      <w:r>
        <w:rPr>
          <w:rFonts w:hint="eastAsia" w:ascii="宋体" w:hAnsi="宋体" w:eastAsia="宋体" w:cs="宋体"/>
          <w:b/>
          <w:color w:val="auto"/>
          <w:kern w:val="2"/>
          <w:sz w:val="21"/>
          <w:szCs w:val="21"/>
          <w:highlight w:val="none"/>
        </w:rPr>
        <w:t>制造商售后服务承诺函及独家授权书</w:t>
      </w:r>
    </w:p>
    <w:p w14:paraId="75633CC9">
      <w:pPr>
        <w:keepNext w:val="0"/>
        <w:keepLines w:val="0"/>
        <w:pageBreakBefore w:val="0"/>
        <w:widowControl w:val="0"/>
        <w:kinsoku/>
        <w:wordWrap/>
        <w:overflowPunct/>
        <w:topLinePunct w:val="0"/>
        <w:autoSpaceDE/>
        <w:autoSpaceDN/>
        <w:bidi w:val="0"/>
        <w:adjustRightInd/>
        <w:snapToGrid/>
        <w:spacing w:line="380" w:lineRule="exact"/>
        <w:ind w:firstLine="3584" w:firstLineChars="17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①制造商售后服务承诺函</w:t>
      </w:r>
    </w:p>
    <w:p w14:paraId="68AFBA17">
      <w:pPr>
        <w:keepNext w:val="0"/>
        <w:keepLines w:val="0"/>
        <w:pageBreakBefore w:val="0"/>
        <w:widowControl w:val="0"/>
        <w:kinsoku/>
        <w:wordWrap/>
        <w:overflowPunct/>
        <w:topLinePunct w:val="0"/>
        <w:autoSpaceDE/>
        <w:autoSpaceDN/>
        <w:bidi w:val="0"/>
        <w:adjustRightInd/>
        <w:snapToGrid/>
        <w:spacing w:line="380" w:lineRule="exact"/>
        <w:ind w:firstLine="1054" w:firstLineChars="500"/>
        <w:textAlignment w:val="auto"/>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kern w:val="2"/>
          <w:sz w:val="21"/>
          <w:szCs w:val="21"/>
          <w:highlight w:val="none"/>
        </w:rPr>
        <w:t>（投标人根据实际情况选用，本格式适用于：投标人为制造商时提供。）</w:t>
      </w:r>
    </w:p>
    <w:p w14:paraId="3F22C8C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东莞市水务集团供水有限公司</w:t>
      </w:r>
    </w:p>
    <w:p w14:paraId="37E353B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我方就</w:t>
      </w:r>
      <w:r>
        <w:rPr>
          <w:rFonts w:hint="eastAsia" w:ascii="宋体" w:hAnsi="宋体" w:eastAsia="宋体" w:cs="宋体"/>
          <w:b/>
          <w:bCs/>
          <w:color w:val="auto"/>
          <w:sz w:val="21"/>
          <w:szCs w:val="21"/>
          <w:highlight w:val="none"/>
          <w:u w:val="single"/>
          <w:lang w:eastAsia="zh-CN"/>
        </w:rPr>
        <w:t>东莞市供水计量设施更新项目(2025年计量仪表采购)－旋翼式远传水表</w:t>
      </w:r>
      <w:r>
        <w:rPr>
          <w:rFonts w:hint="eastAsia" w:ascii="宋体" w:hAnsi="宋体" w:eastAsia="宋体" w:cs="宋体"/>
          <w:color w:val="auto"/>
          <w:sz w:val="21"/>
          <w:szCs w:val="21"/>
          <w:highlight w:val="none"/>
        </w:rPr>
        <w:t>售后服务事宜承诺如下：</w:t>
      </w:r>
    </w:p>
    <w:p w14:paraId="77D7DE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1、我方向贵方提供技术支持，包括但不限于直接委派专业技术人员（含外籍人员的翻译人员）参与设计联络、到达工地现场对设备进行安装，相关费用无需贵方负责。</w:t>
      </w:r>
    </w:p>
    <w:p w14:paraId="03CFE68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2、我方对我方提供货物的质量和售后服务承担全部责任。本次提供的货物按以下方式提供售后服务：</w:t>
      </w:r>
    </w:p>
    <w:p w14:paraId="0458B1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color w:val="auto"/>
          <w:sz w:val="21"/>
          <w:szCs w:val="21"/>
          <w:highlight w:val="none"/>
        </w:rPr>
        <w:t>DN15~DN25水表整表（含配套远传模块、电池和通讯资费）</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w:t>
      </w:r>
      <w:r>
        <w:rPr>
          <w:rFonts w:hint="eastAsia" w:ascii="宋体" w:hAnsi="宋体" w:eastAsia="宋体" w:cs="宋体"/>
          <w:b/>
          <w:bCs/>
          <w:color w:val="auto"/>
          <w:sz w:val="21"/>
          <w:szCs w:val="21"/>
          <w:highlight w:val="none"/>
        </w:rPr>
        <w:t>DN40~DN50水表整表（含配套远传模块、电池和通讯资费）</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内提供免费的质保期保修服务，质保期按每批次货物送达贵方指定地点交货验收合格并开具发票之日算起。</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7BB2339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4D51FAA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bookmarkStart w:id="763" w:name="_Toc25868"/>
      <w:r>
        <w:rPr>
          <w:rFonts w:hint="eastAsia" w:ascii="宋体" w:hAnsi="宋体" w:eastAsia="宋体" w:cs="宋体"/>
          <w:color w:val="auto"/>
          <w:sz w:val="21"/>
          <w:szCs w:val="21"/>
          <w:highlight w:val="none"/>
        </w:rPr>
        <w:t>3、我方此次参与贵方投标的产品如下：</w:t>
      </w:r>
      <w:bookmarkEnd w:id="763"/>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0A77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3685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146F62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7712C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CFCF6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FBED3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3D7A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5A6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4479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58F5B1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362A35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7B0A9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6B7CE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684F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46575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6F61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r>
      <w:tr w14:paraId="149C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A8B1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85F0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6246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639EF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3423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196FD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C0847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r>
      <w:tr w14:paraId="65F5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05F82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E96DE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02DAF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E5C29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A37C5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6C9E5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1AA22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r>
    </w:tbl>
    <w:p w14:paraId="3441E3E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2CA3B35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bookmarkStart w:id="764" w:name="_Toc7677"/>
      <w:r>
        <w:rPr>
          <w:rFonts w:hint="eastAsia" w:ascii="宋体" w:hAnsi="宋体" w:eastAsia="宋体" w:cs="宋体"/>
          <w:color w:val="auto"/>
          <w:sz w:val="21"/>
          <w:szCs w:val="21"/>
          <w:highlight w:val="none"/>
        </w:rPr>
        <w:t>4、我方同意按照贵方要求提供与投标产品有关的一切数据或资料。</w:t>
      </w:r>
      <w:bookmarkEnd w:id="764"/>
    </w:p>
    <w:p w14:paraId="5C461F4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52D6C08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1D3473E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85EB08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D8F6FA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网址：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388129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749BC5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0B0805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2"/>
          <w:sz w:val="21"/>
          <w:szCs w:val="21"/>
          <w:highlight w:val="none"/>
        </w:rPr>
      </w:pPr>
    </w:p>
    <w:p w14:paraId="1D05D2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 投标文件必须提供原件</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lang w:eastAsia="zh-CN"/>
        </w:rPr>
        <w:t>。</w:t>
      </w:r>
      <w:r>
        <w:rPr>
          <w:rFonts w:hint="eastAsia" w:ascii="宋体" w:hAnsi="宋体" w:eastAsia="宋体" w:cs="宋体"/>
          <w:b/>
          <w:color w:val="auto"/>
          <w:kern w:val="2"/>
          <w:sz w:val="21"/>
          <w:szCs w:val="21"/>
          <w:highlight w:val="none"/>
        </w:rPr>
        <w:t>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05D7642D">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107C3149">
      <w:pPr>
        <w:pageBreakBefore/>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kern w:val="2"/>
          <w:sz w:val="21"/>
          <w:szCs w:val="21"/>
          <w:highlight w:val="none"/>
        </w:rPr>
        <w:t>②</w:t>
      </w:r>
      <w:r>
        <w:rPr>
          <w:rFonts w:hint="eastAsia" w:ascii="宋体" w:hAnsi="宋体" w:eastAsia="宋体" w:cs="宋体"/>
          <w:b/>
          <w:bCs/>
          <w:color w:val="auto"/>
          <w:sz w:val="21"/>
          <w:szCs w:val="21"/>
          <w:highlight w:val="none"/>
          <w:lang w:val="zh-CN"/>
        </w:rPr>
        <w:t>制造商独家授权书</w:t>
      </w:r>
    </w:p>
    <w:p w14:paraId="0DEB1355">
      <w:pPr>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投标人是经销商时提供</w:t>
      </w:r>
      <w:r>
        <w:rPr>
          <w:rFonts w:hint="eastAsia" w:ascii="宋体" w:hAnsi="宋体" w:eastAsia="宋体" w:cs="宋体"/>
          <w:b/>
          <w:color w:val="auto"/>
          <w:sz w:val="21"/>
          <w:szCs w:val="21"/>
          <w:highlight w:val="none"/>
        </w:rPr>
        <w:t>。）</w:t>
      </w:r>
    </w:p>
    <w:p w14:paraId="255B82E8">
      <w:pPr>
        <w:spacing w:before="120" w:beforeLines="50" w:after="120" w:afterLines="5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东莞市水务集团供水有限公司</w:t>
      </w:r>
    </w:p>
    <w:p w14:paraId="4BC211A1">
      <w:pPr>
        <w:snapToGrid w:val="0"/>
        <w:spacing w:before="120" w:beforeLines="50" w:after="120" w:after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（产品制造商名称）是按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东莞市供水计量设施更新项目(2025年计量仪表采购)－旋翼式远传水表</w:t>
      </w:r>
      <w:r>
        <w:rPr>
          <w:rFonts w:hint="eastAsia" w:ascii="宋体" w:hAnsi="宋体" w:eastAsia="宋体" w:cs="宋体"/>
          <w:color w:val="auto"/>
          <w:sz w:val="21"/>
          <w:szCs w:val="21"/>
          <w:highlight w:val="none"/>
          <w:u w:val="single"/>
        </w:rPr>
        <w:t>（招标编号：</w:t>
      </w:r>
      <w:r>
        <w:rPr>
          <w:rFonts w:hint="eastAsia" w:ascii="宋体" w:hAnsi="宋体" w:eastAsia="宋体" w:cs="宋体"/>
          <w:color w:val="auto"/>
          <w:sz w:val="21"/>
          <w:szCs w:val="21"/>
          <w:highlight w:val="none"/>
          <w:u w:val="single"/>
          <w:lang w:eastAsia="zh-CN"/>
        </w:rPr>
        <w:t xml:space="preserve">SSWSSZ12501144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（下称“投标人”）作为我方真正的、</w:t>
      </w:r>
      <w:r>
        <w:rPr>
          <w:rFonts w:hint="eastAsia" w:ascii="宋体" w:hAnsi="宋体" w:eastAsia="宋体" w:cs="宋体"/>
          <w:b/>
          <w:color w:val="auto"/>
          <w:sz w:val="21"/>
          <w:szCs w:val="21"/>
          <w:highlight w:val="none"/>
        </w:rPr>
        <w:t>唯一合法</w:t>
      </w:r>
      <w:r>
        <w:rPr>
          <w:rFonts w:hint="eastAsia" w:ascii="宋体" w:hAnsi="宋体" w:eastAsia="宋体" w:cs="宋体"/>
          <w:color w:val="auto"/>
          <w:sz w:val="21"/>
          <w:szCs w:val="21"/>
          <w:highlight w:val="none"/>
        </w:rPr>
        <w:t>的授权参与本项目投标、合同签订、售后服务等相关事项的经销商：</w:t>
      </w:r>
    </w:p>
    <w:p w14:paraId="15F25C52">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Times New Roman"/>
          <w:b/>
          <w:bCs/>
          <w:color w:val="auto"/>
          <w:kern w:val="0"/>
          <w:szCs w:val="21"/>
          <w:highlight w:val="none"/>
          <w:u w:val="single"/>
          <w:lang w:eastAsia="zh-CN"/>
        </w:rPr>
        <w:t>东莞市供水计量设施更新项目(2025年计量仪表采购)－旋翼式远传水表</w:t>
      </w:r>
      <w:r>
        <w:rPr>
          <w:rFonts w:hint="eastAsia" w:ascii="宋体" w:hAnsi="宋体" w:eastAsia="宋体" w:cs="宋体"/>
          <w:color w:val="auto"/>
          <w:sz w:val="21"/>
          <w:szCs w:val="21"/>
          <w:highlight w:val="none"/>
        </w:rPr>
        <w:t>提供货物时附带的出厂质量标准、售后服务承诺等合法有效，并对我方具有约束力。</w:t>
      </w:r>
    </w:p>
    <w:p w14:paraId="074AB33F">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2、我方向贵方提供技术支持，包括但不限于直接委派专业技术人员（含外籍人员的翻译人员）参与设计联络、到达工地现场对设备进行安装，相关费用无需贵方负责。</w:t>
      </w:r>
    </w:p>
    <w:p w14:paraId="60395743">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3、作为产品制造商，我方对我方提供货物的质量和售后服务承担全部责任。本次提供的货物按以下方式提供售后服务：</w:t>
      </w:r>
    </w:p>
    <w:p w14:paraId="4BB28481">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color w:val="auto"/>
          <w:sz w:val="21"/>
          <w:szCs w:val="21"/>
          <w:highlight w:val="none"/>
        </w:rPr>
        <w:t>DN15~DN25水表整表（含配套远传模块、电池和通讯资费）</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w:t>
      </w:r>
      <w:r>
        <w:rPr>
          <w:rFonts w:hint="eastAsia" w:ascii="宋体" w:hAnsi="宋体" w:eastAsia="宋体" w:cs="宋体"/>
          <w:b/>
          <w:bCs/>
          <w:color w:val="auto"/>
          <w:sz w:val="21"/>
          <w:szCs w:val="21"/>
          <w:highlight w:val="none"/>
        </w:rPr>
        <w:t>DN40~DN50水表整表（含配套远传模块、电池和通讯资费）</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内提供免费的质保期保修服务，质保期按每批次货物送达贵方指定地点交货验收合格并开具发票之日算起。</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4AC7072B">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154F0C76">
      <w:pPr>
        <w:snapToGrid w:val="0"/>
        <w:spacing w:before="120" w:beforeLines="50" w:after="120" w:afterLines="50" w:line="360" w:lineRule="auto"/>
        <w:ind w:firstLine="420" w:firstLineChars="200"/>
        <w:outlineLvl w:val="9"/>
        <w:rPr>
          <w:rFonts w:hint="eastAsia" w:ascii="宋体" w:hAnsi="宋体" w:eastAsia="宋体" w:cs="宋体"/>
          <w:color w:val="auto"/>
          <w:sz w:val="21"/>
          <w:szCs w:val="21"/>
          <w:highlight w:val="none"/>
        </w:rPr>
      </w:pPr>
      <w:bookmarkStart w:id="765" w:name="_Toc27273"/>
      <w:r>
        <w:rPr>
          <w:rFonts w:hint="eastAsia" w:ascii="宋体" w:hAnsi="宋体" w:eastAsia="宋体" w:cs="宋体"/>
          <w:color w:val="auto"/>
          <w:sz w:val="21"/>
          <w:szCs w:val="21"/>
          <w:highlight w:val="none"/>
        </w:rPr>
        <w:t>4、我方此次参与贵方投标的产品如下：</w:t>
      </w:r>
      <w:bookmarkEnd w:id="765"/>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6582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0CF8AF9A">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7806316">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B623FC8">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44751C0">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44FABB1">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91B9FD6">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8CB6DED">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027B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2CCE273">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5E90528">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BC904E6">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7364914">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D44722D">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277C6B1">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E72B17B">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r w14:paraId="5684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1AE3884D">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90AAABB">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73EE029">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902ACD1">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4609848">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E2EACC3">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B50BBFC">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r w14:paraId="4F82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38E3EF7">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43916D65">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2971A6C">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401CCEE">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719710D">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3B7C2917">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74D57BB">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bl>
    <w:p w14:paraId="0A9CBCBB">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3AF546D8">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5、我方同意按照贵方要求提供与投标产品有关的一切数据或资料。</w:t>
      </w:r>
    </w:p>
    <w:p w14:paraId="0898D41A">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6、本授权函不得进行二次授权或转授权，否则无效。</w:t>
      </w:r>
    </w:p>
    <w:p w14:paraId="07E00FC8">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出具授权书的产品制造商（或境外品牌境外生产的产品生产制造商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423A8760">
      <w:pPr>
        <w:snapToGrid w:val="0"/>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(其中，境内工商注册的产品制造商必须同时加盖法人公章，若境外品牌境外生产的产品生产制造商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在境内工商注册的，必须同时加盖公章)</w:t>
      </w:r>
    </w:p>
    <w:p w14:paraId="0B60B790">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53CE1A3B">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003A6902">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0B8C213">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6D67E14A">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161D293A">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3330E5B2">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F53A255">
      <w:pPr>
        <w:snapToGrid w:val="0"/>
        <w:spacing w:before="120" w:beforeLines="50" w:after="120" w:afterLines="50" w:line="360" w:lineRule="auto"/>
        <w:rPr>
          <w:rFonts w:hint="eastAsia" w:ascii="宋体" w:hAnsi="宋体" w:eastAsia="宋体" w:cs="宋体"/>
          <w:color w:val="auto"/>
          <w:sz w:val="21"/>
          <w:szCs w:val="21"/>
          <w:highlight w:val="none"/>
        </w:rPr>
      </w:pPr>
    </w:p>
    <w:p w14:paraId="4A114770">
      <w:pPr>
        <w:autoSpaceDE/>
        <w:autoSpaceDN/>
        <w:adjustRightInd/>
        <w:spacing w:line="360" w:lineRule="auto"/>
        <w:rPr>
          <w:rFonts w:hint="eastAsia" w:hAnsi="宋体" w:cs="宋体"/>
          <w:b/>
          <w:color w:val="auto"/>
          <w:kern w:val="0"/>
          <w:sz w:val="30"/>
          <w:szCs w:val="30"/>
          <w:highlight w:val="none"/>
          <w:lang w:val="en-US" w:eastAsia="zh-CN"/>
        </w:rPr>
      </w:pPr>
      <w:r>
        <w:rPr>
          <w:rFonts w:hint="eastAsia" w:ascii="宋体" w:hAnsi="宋体" w:eastAsia="宋体" w:cs="宋体"/>
          <w:b/>
          <w:color w:val="auto"/>
          <w:sz w:val="21"/>
          <w:szCs w:val="21"/>
          <w:highlight w:val="none"/>
        </w:rPr>
        <w:t>备注：投标文件必须提供原件</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sz w:val="21"/>
          <w:szCs w:val="21"/>
          <w:highlight w:val="none"/>
        </w:rPr>
        <w:t>，</w:t>
      </w:r>
      <w:r>
        <w:rPr>
          <w:rFonts w:hint="eastAsia" w:ascii="宋体" w:hAnsi="宋体"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lang w:eastAsia="zh-CN"/>
        </w:rPr>
        <w:t>。</w:t>
      </w:r>
      <w:r>
        <w:rPr>
          <w:rFonts w:hint="eastAsia" w:ascii="宋体" w:hAnsi="宋体" w:eastAsia="宋体" w:cs="宋体"/>
          <w:b/>
          <w:color w:val="auto"/>
          <w:sz w:val="21"/>
          <w:szCs w:val="21"/>
          <w:highlight w:val="none"/>
        </w:rPr>
        <w:t>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247AACEF">
      <w:pPr>
        <w:rPr>
          <w:color w:val="auto"/>
          <w:highlight w:val="none"/>
        </w:rPr>
      </w:pPr>
    </w:p>
    <w:p w14:paraId="523D7957">
      <w:pPr>
        <w:autoSpaceDE/>
        <w:autoSpaceDN/>
        <w:adjustRightInd/>
        <w:spacing w:line="360" w:lineRule="auto"/>
        <w:jc w:val="left"/>
        <w:outlineLvl w:val="9"/>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bookmarkEnd w:id="684"/>
    <w:bookmarkEnd w:id="685"/>
    <w:bookmarkEnd w:id="686"/>
    <w:bookmarkEnd w:id="724"/>
    <w:bookmarkEnd w:id="725"/>
    <w:bookmarkEnd w:id="726"/>
    <w:bookmarkEnd w:id="738"/>
    <w:bookmarkEnd w:id="750"/>
    <w:bookmarkEnd w:id="751"/>
    <w:bookmarkEnd w:id="752"/>
    <w:bookmarkEnd w:id="753"/>
    <w:bookmarkEnd w:id="754"/>
    <w:bookmarkEnd w:id="755"/>
    <w:bookmarkEnd w:id="756"/>
    <w:bookmarkEnd w:id="757"/>
    <w:bookmarkEnd w:id="758"/>
    <w:bookmarkEnd w:id="759"/>
    <w:bookmarkEnd w:id="760"/>
    <w:p w14:paraId="379C8AC2">
      <w:pPr>
        <w:pStyle w:val="5"/>
        <w:pageBreakBefore/>
        <w:spacing w:line="360" w:lineRule="auto"/>
        <w:rPr>
          <w:rFonts w:hint="eastAsia" w:ascii="宋体" w:hAnsi="宋体" w:eastAsia="宋体" w:cs="宋体"/>
          <w:b/>
          <w:color w:val="auto"/>
          <w:sz w:val="30"/>
          <w:szCs w:val="30"/>
          <w:highlight w:val="none"/>
          <w:lang w:val="zh-CN"/>
        </w:rPr>
      </w:pPr>
      <w:bookmarkStart w:id="766" w:name="_Toc32328"/>
      <w:bookmarkStart w:id="767" w:name="_Toc15716"/>
      <w:bookmarkStart w:id="768" w:name="_Toc12400"/>
      <w:bookmarkStart w:id="769" w:name="_Toc21507"/>
      <w:bookmarkStart w:id="770" w:name="_Toc195714386"/>
      <w:bookmarkStart w:id="771" w:name="_Toc94107214"/>
      <w:bookmarkStart w:id="772" w:name="_Toc142508373"/>
      <w:bookmarkStart w:id="773" w:name="_Toc1977730"/>
      <w:bookmarkStart w:id="774" w:name="_Toc104991880"/>
      <w:bookmarkStart w:id="775" w:name="_Toc140596933"/>
      <w:r>
        <w:rPr>
          <w:rFonts w:hint="eastAsia" w:ascii="宋体" w:hAnsi="宋体" w:eastAsia="宋体" w:cs="宋体"/>
          <w:b/>
          <w:color w:val="auto"/>
          <w:sz w:val="30"/>
          <w:szCs w:val="30"/>
          <w:highlight w:val="none"/>
          <w:lang w:val="en-US" w:eastAsia="zh-CN"/>
        </w:rPr>
        <w:t>4</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5</w:t>
      </w:r>
      <w:r>
        <w:rPr>
          <w:rFonts w:hint="eastAsia" w:ascii="宋体" w:hAnsi="宋体" w:eastAsia="宋体" w:cs="宋体"/>
          <w:b/>
          <w:color w:val="auto"/>
          <w:sz w:val="30"/>
          <w:szCs w:val="30"/>
          <w:highlight w:val="none"/>
        </w:rPr>
        <w:t xml:space="preserve"> </w:t>
      </w:r>
      <w:r>
        <w:rPr>
          <w:rFonts w:hint="eastAsia" w:ascii="宋体" w:hAnsi="宋体" w:eastAsia="宋体" w:cs="宋体"/>
          <w:b/>
          <w:bCs/>
          <w:color w:val="auto"/>
          <w:kern w:val="2"/>
          <w:sz w:val="30"/>
          <w:szCs w:val="30"/>
          <w:highlight w:val="none"/>
        </w:rPr>
        <w:t>资格业绩</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val="zh-CN"/>
        </w:rPr>
        <w:t>投标人提供一份2022年1月1日以来（合同签订日期为2022年1月1日或以后）旋翼式远传水表在国内的销售业绩</w:t>
      </w:r>
      <w:bookmarkEnd w:id="766"/>
      <w:bookmarkEnd w:id="767"/>
      <w:bookmarkEnd w:id="768"/>
      <w:r>
        <w:rPr>
          <w:rFonts w:hint="eastAsia" w:ascii="宋体" w:hAnsi="宋体" w:eastAsia="宋体" w:cs="宋体"/>
          <w:b/>
          <w:bCs/>
          <w:color w:val="auto"/>
          <w:sz w:val="30"/>
          <w:szCs w:val="30"/>
          <w:highlight w:val="none"/>
        </w:rPr>
        <w:t>】</w:t>
      </w:r>
      <w:bookmarkEnd w:id="769"/>
      <w:bookmarkEnd w:id="770"/>
    </w:p>
    <w:p w14:paraId="095054F9">
      <w:pPr>
        <w:spacing w:line="360" w:lineRule="auto"/>
        <w:rPr>
          <w:rFonts w:ascii="宋体" w:hAnsi="宋体" w:eastAsia="宋体" w:cs="宋体"/>
          <w:b/>
          <w:color w:val="auto"/>
          <w:szCs w:val="21"/>
          <w:highlight w:val="none"/>
          <w:lang w:val="zh-CN"/>
        </w:rPr>
      </w:pPr>
    </w:p>
    <w:tbl>
      <w:tblPr>
        <w:tblStyle w:val="44"/>
        <w:tblW w:w="49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953"/>
        <w:gridCol w:w="2150"/>
        <w:gridCol w:w="1080"/>
        <w:gridCol w:w="930"/>
        <w:gridCol w:w="1077"/>
        <w:gridCol w:w="1498"/>
        <w:gridCol w:w="1386"/>
      </w:tblGrid>
      <w:tr w14:paraId="02C4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525" w:type="pct"/>
            <w:vAlign w:val="center"/>
          </w:tcPr>
          <w:p w14:paraId="30B4F67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84" w:type="pct"/>
            <w:vAlign w:val="center"/>
          </w:tcPr>
          <w:p w14:paraId="4C857B1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95" w:type="pct"/>
            <w:vAlign w:val="center"/>
          </w:tcPr>
          <w:p w14:paraId="1CD9A78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512" w:type="pct"/>
            <w:vAlign w:val="center"/>
          </w:tcPr>
          <w:p w14:paraId="3BD786A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合同标的货物品牌</w:t>
            </w:r>
          </w:p>
        </w:tc>
        <w:tc>
          <w:tcPr>
            <w:tcW w:w="593" w:type="pct"/>
            <w:vAlign w:val="center"/>
          </w:tcPr>
          <w:p w14:paraId="1589941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签</w:t>
            </w:r>
            <w:r>
              <w:rPr>
                <w:rFonts w:hint="eastAsia" w:ascii="宋体" w:hAnsi="宋体" w:eastAsia="宋体" w:cs="宋体"/>
                <w:color w:val="auto"/>
                <w:szCs w:val="21"/>
                <w:highlight w:val="none"/>
                <w:lang w:val="en-US" w:eastAsia="zh-CN"/>
              </w:rPr>
              <w:t>订</w:t>
            </w:r>
            <w:r>
              <w:rPr>
                <w:rFonts w:hint="eastAsia" w:ascii="宋体" w:hAnsi="宋体" w:eastAsia="宋体" w:cs="宋体"/>
                <w:color w:val="auto"/>
                <w:szCs w:val="21"/>
                <w:highlight w:val="none"/>
              </w:rPr>
              <w:t>日期</w:t>
            </w:r>
          </w:p>
        </w:tc>
        <w:tc>
          <w:tcPr>
            <w:tcW w:w="825" w:type="pct"/>
            <w:vAlign w:val="center"/>
          </w:tcPr>
          <w:p w14:paraId="4FCA6DA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合同购</w:t>
            </w:r>
            <w:r>
              <w:rPr>
                <w:rFonts w:hint="eastAsia" w:ascii="宋体" w:hAnsi="宋体" w:eastAsia="宋体" w:cs="宋体"/>
                <w:color w:val="auto"/>
                <w:szCs w:val="21"/>
                <w:highlight w:val="none"/>
              </w:rPr>
              <w:t>买方联系人及电话</w:t>
            </w:r>
          </w:p>
        </w:tc>
        <w:tc>
          <w:tcPr>
            <w:tcW w:w="763" w:type="pct"/>
            <w:vAlign w:val="center"/>
          </w:tcPr>
          <w:p w14:paraId="62AC9AA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A96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25" w:type="pct"/>
            <w:vAlign w:val="center"/>
          </w:tcPr>
          <w:p w14:paraId="6DD8F11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84" w:type="pct"/>
            <w:vAlign w:val="center"/>
          </w:tcPr>
          <w:p w14:paraId="305BF65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5" w:type="pct"/>
            <w:vAlign w:val="center"/>
          </w:tcPr>
          <w:p w14:paraId="7258329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2" w:type="pct"/>
            <w:vAlign w:val="center"/>
          </w:tcPr>
          <w:p w14:paraId="65DA7BF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3" w:type="pct"/>
            <w:vAlign w:val="center"/>
          </w:tcPr>
          <w:p w14:paraId="18E1F54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825" w:type="pct"/>
            <w:vAlign w:val="center"/>
          </w:tcPr>
          <w:p w14:paraId="7748B22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63" w:type="pct"/>
            <w:vAlign w:val="center"/>
          </w:tcPr>
          <w:p w14:paraId="1F0EA24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AA1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25" w:type="pct"/>
            <w:vAlign w:val="center"/>
          </w:tcPr>
          <w:p w14:paraId="1B9676D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84" w:type="pct"/>
            <w:vAlign w:val="center"/>
          </w:tcPr>
          <w:p w14:paraId="064F72B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5" w:type="pct"/>
            <w:vAlign w:val="center"/>
          </w:tcPr>
          <w:p w14:paraId="1EE6583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2" w:type="pct"/>
            <w:vAlign w:val="center"/>
          </w:tcPr>
          <w:p w14:paraId="706A30B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3" w:type="pct"/>
            <w:vAlign w:val="center"/>
          </w:tcPr>
          <w:p w14:paraId="4602F9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825" w:type="pct"/>
            <w:vAlign w:val="center"/>
          </w:tcPr>
          <w:p w14:paraId="79D90C1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63" w:type="pct"/>
            <w:vAlign w:val="center"/>
          </w:tcPr>
          <w:p w14:paraId="3466E1C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04B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25" w:type="pct"/>
            <w:vAlign w:val="center"/>
          </w:tcPr>
          <w:p w14:paraId="25670D9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84" w:type="pct"/>
            <w:vAlign w:val="center"/>
          </w:tcPr>
          <w:p w14:paraId="0A4CFD6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5" w:type="pct"/>
            <w:vAlign w:val="center"/>
          </w:tcPr>
          <w:p w14:paraId="6B925F4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2" w:type="pct"/>
            <w:vAlign w:val="center"/>
          </w:tcPr>
          <w:p w14:paraId="000E6B4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3" w:type="pct"/>
            <w:vAlign w:val="center"/>
          </w:tcPr>
          <w:p w14:paraId="50DCACB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825" w:type="pct"/>
            <w:vAlign w:val="center"/>
          </w:tcPr>
          <w:p w14:paraId="0E1A0C3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63" w:type="pct"/>
            <w:vAlign w:val="center"/>
          </w:tcPr>
          <w:p w14:paraId="066B2B6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6F3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25" w:type="pct"/>
            <w:vAlign w:val="center"/>
          </w:tcPr>
          <w:p w14:paraId="209CEDF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Courier New"/>
                <w:color w:val="auto"/>
                <w:kern w:val="0"/>
                <w:szCs w:val="21"/>
                <w:highlight w:val="none"/>
              </w:rPr>
              <w:t>…</w:t>
            </w:r>
          </w:p>
        </w:tc>
        <w:tc>
          <w:tcPr>
            <w:tcW w:w="1184" w:type="pct"/>
            <w:vAlign w:val="center"/>
          </w:tcPr>
          <w:p w14:paraId="23C8070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5" w:type="pct"/>
            <w:vAlign w:val="center"/>
          </w:tcPr>
          <w:p w14:paraId="39E77BA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2" w:type="pct"/>
            <w:vAlign w:val="center"/>
          </w:tcPr>
          <w:p w14:paraId="688D4CA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3" w:type="pct"/>
            <w:vAlign w:val="center"/>
          </w:tcPr>
          <w:p w14:paraId="43B97BB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825" w:type="pct"/>
            <w:vAlign w:val="center"/>
          </w:tcPr>
          <w:p w14:paraId="007D72D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63" w:type="pct"/>
            <w:vAlign w:val="center"/>
          </w:tcPr>
          <w:p w14:paraId="2894BBE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bl>
    <w:p w14:paraId="09317EE5">
      <w:pPr>
        <w:spacing w:line="360" w:lineRule="auto"/>
        <w:ind w:left="424" w:hanging="424" w:hangingChars="201"/>
        <w:rPr>
          <w:rFonts w:ascii="宋体" w:hAnsi="宋体" w:eastAsia="宋体" w:cs="宋体"/>
          <w:b/>
          <w:color w:val="auto"/>
          <w:szCs w:val="21"/>
          <w:highlight w:val="none"/>
          <w:lang w:val="zh-CN"/>
        </w:rPr>
      </w:pPr>
    </w:p>
    <w:p w14:paraId="05E986C3">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7F16BFA7">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61E1BC94">
      <w:pPr>
        <w:spacing w:line="360" w:lineRule="auto"/>
        <w:ind w:left="422" w:hanging="422" w:hangingChars="201"/>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业绩须同时提供⑴</w:t>
      </w:r>
      <w:r>
        <w:rPr>
          <w:rFonts w:hint="eastAsia" w:ascii="宋体" w:hAnsi="宋体" w:eastAsia="宋体" w:cs="宋体"/>
          <w:color w:val="auto"/>
          <w:szCs w:val="21"/>
          <w:highlight w:val="none"/>
          <w:lang w:eastAsia="zh-CN"/>
        </w:rPr>
        <w:t>旋翼式远传水表</w:t>
      </w:r>
      <w:r>
        <w:rPr>
          <w:rFonts w:hint="eastAsia" w:ascii="宋体" w:hAnsi="宋体" w:eastAsia="宋体" w:cs="宋体"/>
          <w:color w:val="auto"/>
          <w:szCs w:val="21"/>
          <w:highlight w:val="none"/>
        </w:rPr>
        <w:t>销售合同复印件（合同卖方为投标人，需显示合同买方公章），⑵已供货产品任意一张发票复印件（发票开具日期须在本项目招标公告发布之日前）</w:t>
      </w:r>
      <w:r>
        <w:rPr>
          <w:rFonts w:hint="eastAsia" w:ascii="宋体" w:hAnsi="宋体" w:eastAsia="宋体" w:cs="宋体"/>
          <w:color w:val="auto"/>
          <w:szCs w:val="21"/>
          <w:highlight w:val="none"/>
          <w:lang w:eastAsia="zh-CN"/>
        </w:rPr>
        <w:t>；</w:t>
      </w:r>
    </w:p>
    <w:p w14:paraId="0161B24B">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）若合同无法反映评分条件（合同签订日期为2022年1月1日或以后，合同标的必须包含旋翼式远传水表）的，还需提供产品购买方出具的书面补充说明文件复印件作为辅助证明（需显示购买方公章）</w:t>
      </w:r>
      <w:r>
        <w:rPr>
          <w:rFonts w:hint="eastAsia" w:ascii="宋体" w:hAnsi="宋体" w:eastAsia="宋体" w:cs="Times New Roman"/>
          <w:color w:val="auto"/>
          <w:szCs w:val="24"/>
          <w:highlight w:val="none"/>
          <w:lang w:val="zh-CN"/>
        </w:rPr>
        <w:t>；</w:t>
      </w:r>
    </w:p>
    <w:p w14:paraId="72C9E2D2">
      <w:pPr>
        <w:spacing w:line="360" w:lineRule="auto"/>
        <w:ind w:left="424" w:hanging="424" w:hangingChars="201"/>
        <w:rPr>
          <w:rFonts w:hint="eastAsia" w:ascii="宋体" w:hAnsi="宋体" w:eastAsia="宋体" w:cs="宋体"/>
          <w:b/>
          <w:color w:val="auto"/>
          <w:szCs w:val="21"/>
          <w:highlight w:val="none"/>
          <w:lang w:val="zh-CN"/>
        </w:rPr>
      </w:pPr>
      <w:bookmarkStart w:id="776" w:name="_Toc24862"/>
      <w:bookmarkStart w:id="777" w:name="_Toc12931"/>
      <w:bookmarkStart w:id="778" w:name="_Toc20010"/>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zh-CN"/>
        </w:rPr>
        <w:t>）</w:t>
      </w:r>
      <w:bookmarkEnd w:id="776"/>
      <w:bookmarkEnd w:id="777"/>
      <w:bookmarkEnd w:id="778"/>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7EDE4650">
      <w:pPr>
        <w:autoSpaceDE/>
        <w:autoSpaceDN/>
        <w:adjustRightInd/>
        <w:spacing w:line="360" w:lineRule="auto"/>
        <w:ind w:left="424" w:hanging="422" w:hangingChars="201"/>
        <w:jc w:val="righ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9E243DE">
      <w:pPr>
        <w:autoSpaceDE w:val="0"/>
        <w:autoSpaceDN w:val="0"/>
        <w:adjustRightInd w:val="0"/>
        <w:spacing w:line="360" w:lineRule="auto"/>
        <w:ind w:firstLine="4200" w:firstLineChars="2000"/>
        <w:rPr>
          <w:rFonts w:hint="eastAsia" w:ascii="宋体" w:hAnsi="宋体" w:eastAsia="宋体" w:cs="宋体"/>
          <w:color w:val="auto"/>
          <w:szCs w:val="21"/>
          <w:highlight w:val="none"/>
          <w:lang w:val="zh-CN"/>
        </w:rPr>
      </w:pPr>
    </w:p>
    <w:p w14:paraId="4A272306">
      <w:pPr>
        <w:autoSpaceDE w:val="0"/>
        <w:autoSpaceDN w:val="0"/>
        <w:adjustRightInd w:val="0"/>
        <w:spacing w:line="360" w:lineRule="auto"/>
        <w:ind w:firstLine="4200" w:firstLineChars="20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21C71D1">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398A33DE">
      <w:pPr>
        <w:widowControl/>
        <w:autoSpaceDE w:val="0"/>
        <w:autoSpaceDN w:val="0"/>
        <w:adjustRightInd w:val="0"/>
        <w:spacing w:line="360" w:lineRule="auto"/>
        <w:ind w:left="0" w:leftChars="0"/>
        <w:jc w:val="center"/>
        <w:rPr>
          <w:rFonts w:ascii="宋体" w:hAnsi="宋体" w:eastAsia="宋体" w:cs="宋体"/>
          <w:b/>
          <w:bCs/>
          <w:color w:val="auto"/>
          <w:kern w:val="0"/>
          <w:sz w:val="30"/>
          <w:szCs w:val="30"/>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081BBDEE">
      <w:pPr>
        <w:rPr>
          <w:rFonts w:ascii="宋体" w:hAnsi="宋体" w:eastAsia="宋体" w:cs="宋体"/>
          <w:b/>
          <w:color w:val="auto"/>
          <w:kern w:val="0"/>
          <w:sz w:val="30"/>
          <w:szCs w:val="30"/>
          <w:highlight w:val="none"/>
        </w:rPr>
      </w:pPr>
    </w:p>
    <w:p w14:paraId="69B715FB">
      <w:pPr>
        <w:rPr>
          <w:rFonts w:hint="eastAsia" w:ascii="宋体" w:hAnsi="宋体" w:eastAsia="宋体" w:cs="宋体"/>
          <w:b/>
          <w:color w:val="auto"/>
          <w:kern w:val="0"/>
          <w:sz w:val="30"/>
          <w:szCs w:val="30"/>
          <w:highlight w:val="none"/>
          <w:lang w:val="en-US" w:eastAsia="zh-CN"/>
        </w:rPr>
      </w:pPr>
      <w:bookmarkStart w:id="779" w:name="_Toc21843"/>
      <w:bookmarkStart w:id="780" w:name="_Toc7508"/>
      <w:bookmarkStart w:id="781" w:name="_Toc195714387"/>
      <w:bookmarkStart w:id="782" w:name="_Toc8121"/>
      <w:bookmarkStart w:id="783" w:name="_Toc8599"/>
      <w:r>
        <w:rPr>
          <w:rFonts w:hint="eastAsia" w:ascii="宋体" w:hAnsi="宋体" w:eastAsia="宋体" w:cs="宋体"/>
          <w:b/>
          <w:color w:val="auto"/>
          <w:kern w:val="0"/>
          <w:sz w:val="30"/>
          <w:szCs w:val="30"/>
          <w:highlight w:val="none"/>
          <w:lang w:val="en-US" w:eastAsia="zh-CN"/>
        </w:rPr>
        <w:br w:type="page"/>
      </w:r>
    </w:p>
    <w:p w14:paraId="3A35618C">
      <w:pPr>
        <w:tabs>
          <w:tab w:val="left" w:pos="567"/>
        </w:tabs>
        <w:autoSpaceDE w:val="0"/>
        <w:autoSpaceDN w:val="0"/>
        <w:adjustRightInd w:val="0"/>
        <w:spacing w:line="360" w:lineRule="auto"/>
        <w:jc w:val="left"/>
        <w:outlineLvl w:val="3"/>
        <w:rPr>
          <w:rFonts w:ascii="宋体" w:hAnsi="宋体" w:eastAsia="宋体" w:cs="Times New Roman"/>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最近3年投标人牵涉的其他（失信和违法）处罚说明格式</w:t>
      </w:r>
      <w:bookmarkEnd w:id="771"/>
      <w:bookmarkEnd w:id="772"/>
      <w:bookmarkEnd w:id="773"/>
      <w:bookmarkEnd w:id="774"/>
      <w:bookmarkEnd w:id="775"/>
      <w:bookmarkEnd w:id="779"/>
      <w:bookmarkEnd w:id="780"/>
      <w:bookmarkEnd w:id="781"/>
      <w:bookmarkEnd w:id="782"/>
      <w:bookmarkEnd w:id="783"/>
    </w:p>
    <w:p w14:paraId="1B33D926">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301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51921E8">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465BACA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34E051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7E13D73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CAC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53CAF55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585ABE5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52B98FC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699D765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478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A086C1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7C73B2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513BDCF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4155981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965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17B6A04">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564C226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0F37A39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7ACF2FD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10097ADA">
      <w:pPr>
        <w:autoSpaceDE w:val="0"/>
        <w:autoSpaceDN w:val="0"/>
        <w:adjustRightInd w:val="0"/>
        <w:spacing w:line="360" w:lineRule="auto"/>
        <w:jc w:val="left"/>
        <w:rPr>
          <w:rFonts w:ascii="宋体" w:hAnsi="宋体" w:eastAsia="宋体" w:cs="宋体"/>
          <w:color w:val="auto"/>
          <w:kern w:val="0"/>
          <w:szCs w:val="21"/>
          <w:highlight w:val="none"/>
        </w:rPr>
      </w:pPr>
    </w:p>
    <w:p w14:paraId="0B2B00C5">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“认定时间”列填“无”；若受到相关处罚的应附处罚相关材料扫描件；若出现相关处罚的处罚期满,但处罚公示没有及时更新的情况,投标人须提供相关材料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扫描件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14:paraId="37A0EC60">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0B341B9D">
      <w:pPr>
        <w:autoSpaceDE w:val="0"/>
        <w:autoSpaceDN w:val="0"/>
        <w:adjustRightInd w:val="0"/>
        <w:spacing w:line="360" w:lineRule="auto"/>
        <w:jc w:val="center"/>
        <w:rPr>
          <w:rFonts w:ascii="宋体" w:hAnsi="宋体" w:eastAsia="宋体" w:cs="宋体"/>
          <w:color w:val="auto"/>
          <w:kern w:val="0"/>
          <w:sz w:val="24"/>
          <w:szCs w:val="24"/>
          <w:highlight w:val="none"/>
        </w:rPr>
      </w:pPr>
    </w:p>
    <w:p w14:paraId="38315168">
      <w:pPr>
        <w:spacing w:line="360" w:lineRule="auto"/>
        <w:ind w:firstLine="494" w:firstLineChars="206"/>
        <w:rPr>
          <w:rFonts w:ascii="宋体" w:hAnsi="宋体" w:eastAsia="宋体" w:cs="宋体"/>
          <w:color w:val="auto"/>
          <w:kern w:val="0"/>
          <w:sz w:val="24"/>
          <w:szCs w:val="24"/>
          <w:highlight w:val="none"/>
        </w:rPr>
      </w:pPr>
    </w:p>
    <w:p w14:paraId="2356877D">
      <w:pPr>
        <w:spacing w:line="360" w:lineRule="auto"/>
        <w:ind w:firstLine="494" w:firstLineChars="206"/>
        <w:rPr>
          <w:rFonts w:ascii="宋体" w:hAnsi="宋体" w:eastAsia="宋体" w:cs="宋体"/>
          <w:color w:val="auto"/>
          <w:kern w:val="0"/>
          <w:sz w:val="24"/>
          <w:szCs w:val="24"/>
          <w:highlight w:val="none"/>
        </w:rPr>
      </w:pPr>
    </w:p>
    <w:p w14:paraId="5B4C2E0A">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C5A6250">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0695DEC">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701BA787">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4FB9A10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p>
    <w:p w14:paraId="2C046977">
      <w:pPr>
        <w:rPr>
          <w:rFonts w:ascii="宋体" w:hAnsi="宋体" w:eastAsia="宋体" w:cs="宋体"/>
          <w:color w:val="auto"/>
          <w:szCs w:val="24"/>
          <w:highlight w:val="none"/>
          <w:lang w:val="zh-CN"/>
        </w:rPr>
      </w:pPr>
      <w:bookmarkStart w:id="784" w:name="_Toc2031_WPSOffice_Level2"/>
      <w:bookmarkStart w:id="785" w:name="_Toc140596934"/>
      <w:bookmarkStart w:id="786" w:name="_Toc1977731"/>
      <w:bookmarkStart w:id="787" w:name="_Toc142508374"/>
      <w:bookmarkStart w:id="788" w:name="_Toc102860423"/>
      <w:bookmarkStart w:id="789" w:name="_Toc533708126"/>
      <w:bookmarkStart w:id="790" w:name="_Toc104991881"/>
      <w:bookmarkStart w:id="791" w:name="_Toc94107215"/>
      <w:bookmarkStart w:id="792" w:name="_Toc30939"/>
      <w:bookmarkStart w:id="793" w:name="_Toc486167714"/>
      <w:bookmarkStart w:id="794" w:name="_Toc6412"/>
      <w:bookmarkStart w:id="795" w:name="_Toc102860079"/>
      <w:r>
        <w:rPr>
          <w:rFonts w:ascii="宋体" w:hAnsi="宋体" w:eastAsia="宋体" w:cs="宋体"/>
          <w:color w:val="auto"/>
          <w:szCs w:val="24"/>
          <w:highlight w:val="none"/>
          <w:lang w:val="zh-CN"/>
        </w:rPr>
        <w:br w:type="page"/>
      </w:r>
    </w:p>
    <w:p w14:paraId="2B05CDD7">
      <w:pPr>
        <w:tabs>
          <w:tab w:val="left" w:pos="567"/>
        </w:tabs>
        <w:autoSpaceDE w:val="0"/>
        <w:autoSpaceDN w:val="0"/>
        <w:adjustRightInd w:val="0"/>
        <w:spacing w:line="360" w:lineRule="auto"/>
        <w:jc w:val="left"/>
        <w:outlineLvl w:val="3"/>
        <w:rPr>
          <w:rFonts w:ascii="宋体" w:hAnsi="宋体" w:eastAsia="宋体" w:cs="Times New Roman"/>
          <w:color w:val="auto"/>
          <w:kern w:val="0"/>
          <w:szCs w:val="21"/>
          <w:highlight w:val="none"/>
          <w:u w:val="single"/>
        </w:rPr>
      </w:pPr>
      <w:bookmarkStart w:id="796" w:name="_Toc195714388"/>
      <w:bookmarkStart w:id="797" w:name="_Toc18145"/>
      <w:bookmarkStart w:id="798" w:name="_Toc17508"/>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kern w:val="0"/>
          <w:sz w:val="32"/>
          <w:szCs w:val="32"/>
          <w:highlight w:val="none"/>
        </w:rPr>
        <w:t>、投标人基本情况一览表</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4992C585">
      <w:pPr>
        <w:autoSpaceDE w:val="0"/>
        <w:autoSpaceDN w:val="0"/>
        <w:adjustRightInd w:val="0"/>
        <w:spacing w:line="360" w:lineRule="auto"/>
        <w:jc w:val="center"/>
        <w:rPr>
          <w:rFonts w:ascii="宋体" w:hAnsi="宋体" w:eastAsia="宋体" w:cs="宋体"/>
          <w:b/>
          <w:bCs/>
          <w:color w:val="auto"/>
          <w:sz w:val="30"/>
          <w:szCs w:val="30"/>
          <w:highlight w:val="none"/>
        </w:rPr>
      </w:pPr>
      <w:bookmarkStart w:id="799" w:name="_Toc2773_WPSOffice_Level3"/>
      <w:r>
        <w:rPr>
          <w:rFonts w:hint="eastAsia" w:ascii="宋体" w:hAnsi="宋体" w:eastAsia="宋体" w:cs="宋体"/>
          <w:b/>
          <w:bCs/>
          <w:color w:val="auto"/>
          <w:sz w:val="30"/>
          <w:szCs w:val="30"/>
          <w:highlight w:val="none"/>
          <w:lang w:val="zh-CN"/>
        </w:rPr>
        <w:t>投标人基本情况一览表</w:t>
      </w:r>
      <w:bookmarkEnd w:id="799"/>
    </w:p>
    <w:p w14:paraId="1F6667F1">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2C2D2B1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747A02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0C2194C4">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64E16B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CE24C7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52DC7A7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5E0CF96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（4）法人代表：__________________________________________</w:t>
      </w:r>
    </w:p>
    <w:p w14:paraId="4C81851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5227C21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13767D7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383171D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48D5BB2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95E869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0EFB736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28238AB">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A2C482A">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3CDCB079">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4851D8E2">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4FBA6DB9">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79E8A4F7">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77254334">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（3）东莞市内设有分支机构情况介绍[应提供该分支机构的多证合一营业执照原件扫描件等证明材料]（若无前述分支机构的无需介绍）。</w:t>
      </w:r>
    </w:p>
    <w:p w14:paraId="45000F2D">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024AE05D">
      <w:pPr>
        <w:autoSpaceDE w:val="0"/>
        <w:autoSpaceDN w:val="0"/>
        <w:adjustRightInd w:val="0"/>
        <w:spacing w:line="360" w:lineRule="auto"/>
        <w:ind w:firstLine="420" w:firstLineChars="200"/>
        <w:rPr>
          <w:rFonts w:ascii="宋体" w:hAnsi="宋体" w:eastAsia="宋体" w:cs="宋体"/>
          <w:color w:val="auto"/>
          <w:szCs w:val="24"/>
          <w:highlight w:val="none"/>
        </w:rPr>
      </w:pPr>
    </w:p>
    <w:p w14:paraId="1D555BA4">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486DD14">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DCB26B3">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7FADB604">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3A2D965B">
      <w:pPr>
        <w:tabs>
          <w:tab w:val="left" w:pos="567"/>
        </w:tabs>
        <w:autoSpaceDE w:val="0"/>
        <w:autoSpaceDN w:val="0"/>
        <w:adjustRightInd w:val="0"/>
        <w:spacing w:line="360" w:lineRule="auto"/>
        <w:ind w:left="357" w:leftChars="-100" w:hanging="567"/>
        <w:jc w:val="left"/>
        <w:outlineLvl w:val="3"/>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800" w:name="_Toc104991882"/>
      <w:bookmarkStart w:id="801" w:name="_Toc102860424"/>
      <w:bookmarkStart w:id="802" w:name="_Toc94107216"/>
      <w:bookmarkStart w:id="803" w:name="_Toc140596935"/>
      <w:bookmarkStart w:id="804" w:name="_Toc285"/>
      <w:bookmarkStart w:id="805" w:name="_Toc10443"/>
      <w:bookmarkStart w:id="806" w:name="_Toc195714389"/>
      <w:bookmarkStart w:id="807" w:name="_Toc4023"/>
      <w:bookmarkStart w:id="808" w:name="_Toc29014"/>
      <w:bookmarkStart w:id="809" w:name="_Toc102860080"/>
      <w:bookmarkStart w:id="810" w:name="_Toc142508375"/>
      <w:bookmarkStart w:id="811" w:name="_Toc9051_WPSOffice_Level2"/>
      <w:bookmarkStart w:id="812" w:name="_Toc533708128"/>
      <w:bookmarkStart w:id="813" w:name="_Toc486167715"/>
      <w:bookmarkStart w:id="814" w:name="_Toc1977733"/>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lang w:val="zh-CN"/>
        </w:rPr>
        <w:t>、投标人财务状况表格式</w:t>
      </w:r>
      <w:bookmarkEnd w:id="800"/>
      <w:bookmarkEnd w:id="801"/>
      <w:bookmarkEnd w:id="802"/>
      <w:bookmarkEnd w:id="803"/>
      <w:bookmarkEnd w:id="804"/>
      <w:bookmarkEnd w:id="805"/>
      <w:bookmarkEnd w:id="806"/>
      <w:bookmarkEnd w:id="807"/>
      <w:bookmarkEnd w:id="808"/>
      <w:bookmarkEnd w:id="809"/>
      <w:bookmarkEnd w:id="810"/>
    </w:p>
    <w:p w14:paraId="2CAF6B18">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A4358B6">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6935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74CE78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6E475B0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2C52854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6BADCD1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674ECC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1757F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34C801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2</w:t>
            </w:r>
          </w:p>
        </w:tc>
        <w:tc>
          <w:tcPr>
            <w:tcW w:w="1944" w:type="dxa"/>
            <w:vAlign w:val="center"/>
          </w:tcPr>
          <w:p w14:paraId="04144E4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54E62D0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45B9144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D28838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0FF3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ABD570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p>
        </w:tc>
        <w:tc>
          <w:tcPr>
            <w:tcW w:w="1944" w:type="dxa"/>
            <w:vAlign w:val="center"/>
          </w:tcPr>
          <w:p w14:paraId="6CDBC50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571B04A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458212B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2C6ECCF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9322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CF4755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4</w:t>
            </w:r>
          </w:p>
        </w:tc>
        <w:tc>
          <w:tcPr>
            <w:tcW w:w="1944" w:type="dxa"/>
            <w:vAlign w:val="center"/>
          </w:tcPr>
          <w:p w14:paraId="42BD503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629394C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0596249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0BC45EA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3E41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DECAAC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689B457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36D845D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731C8397">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53D3E32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24476E19">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2D3612E4">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1871F4EE">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C140E87">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A4933F5">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7F0083BE">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6CE18318">
      <w:pPr>
        <w:autoSpaceDE w:val="0"/>
        <w:autoSpaceDN w:val="0"/>
        <w:adjustRightInd w:val="0"/>
        <w:spacing w:line="360" w:lineRule="auto"/>
        <w:ind w:firstLine="6274" w:firstLineChars="2976"/>
        <w:rPr>
          <w:rFonts w:ascii="宋体" w:hAnsi="宋体" w:eastAsia="宋体" w:cs="宋体"/>
          <w:b/>
          <w:bCs/>
          <w:color w:val="auto"/>
          <w:kern w:val="0"/>
          <w:szCs w:val="21"/>
          <w:highlight w:val="none"/>
        </w:rPr>
        <w:sectPr>
          <w:footerReference r:id="rId9" w:type="first"/>
          <w:footerReference r:id="rId8" w:type="default"/>
          <w:pgSz w:w="11907" w:h="16840"/>
          <w:pgMar w:top="1701" w:right="1418" w:bottom="851" w:left="1418" w:header="720" w:footer="720" w:gutter="0"/>
          <w:pgNumType w:fmt="decimal"/>
          <w:cols w:space="720" w:num="1"/>
          <w:titlePg/>
          <w:docGrid w:linePitch="326" w:charSpace="0"/>
        </w:sectPr>
      </w:pPr>
    </w:p>
    <w:bookmarkEnd w:id="811"/>
    <w:bookmarkEnd w:id="812"/>
    <w:bookmarkEnd w:id="813"/>
    <w:bookmarkEnd w:id="814"/>
    <w:p w14:paraId="70C1FF6C">
      <w:pPr>
        <w:tabs>
          <w:tab w:val="left" w:pos="567"/>
        </w:tabs>
        <w:autoSpaceDE w:val="0"/>
        <w:autoSpaceDN w:val="0"/>
        <w:adjustRightInd w:val="0"/>
        <w:spacing w:line="360" w:lineRule="auto"/>
        <w:jc w:val="left"/>
        <w:outlineLvl w:val="3"/>
        <w:rPr>
          <w:rFonts w:ascii="宋体" w:hAnsi="宋体" w:eastAsia="宋体" w:cs="宋体"/>
          <w:b/>
          <w:color w:val="auto"/>
          <w:kern w:val="0"/>
          <w:sz w:val="32"/>
          <w:szCs w:val="32"/>
          <w:highlight w:val="none"/>
          <w:lang w:val="zh-CN"/>
        </w:rPr>
      </w:pPr>
      <w:bookmarkStart w:id="815" w:name="_Toc104991883"/>
      <w:bookmarkStart w:id="816" w:name="_Toc533708130"/>
      <w:bookmarkStart w:id="817" w:name="_Toc486167716"/>
      <w:bookmarkStart w:id="818" w:name="_Toc739_WPSOffice_Level2"/>
      <w:bookmarkStart w:id="819" w:name="_Toc140596936"/>
      <w:bookmarkStart w:id="820" w:name="_Toc102860425"/>
      <w:bookmarkStart w:id="821" w:name="_Toc142508376"/>
      <w:bookmarkStart w:id="822" w:name="_Toc94107217"/>
      <w:bookmarkStart w:id="823" w:name="_Toc26821"/>
      <w:bookmarkStart w:id="824" w:name="_Toc1977736"/>
      <w:bookmarkStart w:id="825" w:name="_Toc102860081"/>
      <w:bookmarkStart w:id="826" w:name="_Toc333"/>
      <w:bookmarkStart w:id="827" w:name="_Toc17995"/>
      <w:bookmarkStart w:id="828" w:name="_Toc6028"/>
      <w:bookmarkStart w:id="829" w:name="_Toc195714390"/>
      <w:r>
        <w:rPr>
          <w:rFonts w:hint="eastAsia" w:ascii="宋体" w:hAnsi="宋体" w:eastAsia="宋体" w:cs="宋体"/>
          <w:b/>
          <w:color w:val="auto"/>
          <w:kern w:val="0"/>
          <w:sz w:val="32"/>
          <w:szCs w:val="32"/>
          <w:highlight w:val="none"/>
          <w:lang w:val="en-US" w:eastAsia="zh-CN"/>
        </w:rPr>
        <w:t>七</w:t>
      </w:r>
      <w:r>
        <w:rPr>
          <w:rFonts w:hint="eastAsia" w:ascii="宋体" w:hAnsi="宋体" w:eastAsia="宋体" w:cs="宋体"/>
          <w:b/>
          <w:color w:val="auto"/>
          <w:kern w:val="0"/>
          <w:sz w:val="32"/>
          <w:szCs w:val="32"/>
          <w:highlight w:val="none"/>
          <w:lang w:val="zh-CN"/>
        </w:rPr>
        <w:t>、合同条款偏离表格式</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2364F3E4">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830" w:name="_Toc26412_WPSOffice_Level3"/>
      <w:r>
        <w:rPr>
          <w:rFonts w:hint="eastAsia" w:ascii="宋体" w:hAnsi="宋体" w:eastAsia="宋体" w:cs="宋体"/>
          <w:b/>
          <w:bCs/>
          <w:color w:val="auto"/>
          <w:kern w:val="0"/>
          <w:sz w:val="28"/>
          <w:szCs w:val="30"/>
          <w:highlight w:val="none"/>
          <w:lang w:val="zh-CN"/>
        </w:rPr>
        <w:t>东莞市供水计量设施更新项目(2025年计量仪表采购)－旋翼式远传水表</w:t>
      </w:r>
    </w:p>
    <w:p w14:paraId="2A82E9FD">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830"/>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7141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7CC4010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5BEF66A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6DE7513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787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6FFDED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0844452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E803A4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7393FDB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3F47402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055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E9AA6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698057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第一条</w:t>
            </w:r>
          </w:p>
        </w:tc>
        <w:tc>
          <w:tcPr>
            <w:tcW w:w="3055" w:type="dxa"/>
            <w:vAlign w:val="center"/>
          </w:tcPr>
          <w:p w14:paraId="77EED7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14:paraId="555E6E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FDE503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7BB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D35C9C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53D63A8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第二条</w:t>
            </w:r>
          </w:p>
        </w:tc>
        <w:tc>
          <w:tcPr>
            <w:tcW w:w="3055" w:type="dxa"/>
            <w:vAlign w:val="center"/>
          </w:tcPr>
          <w:p w14:paraId="5FD579E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合同</w:t>
            </w:r>
            <w:r>
              <w:rPr>
                <w:rFonts w:hint="eastAsia" w:ascii="宋体" w:hAnsi="宋体" w:eastAsia="宋体" w:cs="Times New Roman"/>
                <w:color w:val="auto"/>
                <w:kern w:val="0"/>
                <w:szCs w:val="21"/>
                <w:highlight w:val="none"/>
                <w:lang w:val="en-US" w:eastAsia="zh-CN"/>
              </w:rPr>
              <w:t>暂定价</w:t>
            </w:r>
          </w:p>
        </w:tc>
        <w:tc>
          <w:tcPr>
            <w:tcW w:w="1346" w:type="dxa"/>
            <w:vAlign w:val="center"/>
          </w:tcPr>
          <w:p w14:paraId="32E4A7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9E4EA4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768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72623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E97AAE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第三条</w:t>
            </w:r>
          </w:p>
        </w:tc>
        <w:tc>
          <w:tcPr>
            <w:tcW w:w="3055" w:type="dxa"/>
            <w:vAlign w:val="center"/>
          </w:tcPr>
          <w:p w14:paraId="1976B8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合同组成</w:t>
            </w:r>
          </w:p>
        </w:tc>
        <w:tc>
          <w:tcPr>
            <w:tcW w:w="1346" w:type="dxa"/>
            <w:vAlign w:val="center"/>
          </w:tcPr>
          <w:p w14:paraId="614AFD9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EDDF8E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212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14:paraId="2673F89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698DA9E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第四条</w:t>
            </w:r>
          </w:p>
        </w:tc>
        <w:tc>
          <w:tcPr>
            <w:tcW w:w="3055" w:type="dxa"/>
            <w:vAlign w:val="center"/>
          </w:tcPr>
          <w:p w14:paraId="27532B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技术要求</w:t>
            </w:r>
          </w:p>
        </w:tc>
        <w:tc>
          <w:tcPr>
            <w:tcW w:w="1346" w:type="dxa"/>
            <w:vAlign w:val="center"/>
          </w:tcPr>
          <w:p w14:paraId="2B18814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8FBD7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422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B1C92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524AEBF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第五条</w:t>
            </w:r>
          </w:p>
        </w:tc>
        <w:tc>
          <w:tcPr>
            <w:tcW w:w="3055" w:type="dxa"/>
            <w:vAlign w:val="center"/>
          </w:tcPr>
          <w:p w14:paraId="4F5F2B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质量保证</w:t>
            </w:r>
          </w:p>
        </w:tc>
        <w:tc>
          <w:tcPr>
            <w:tcW w:w="1346" w:type="dxa"/>
            <w:vAlign w:val="center"/>
          </w:tcPr>
          <w:p w14:paraId="61FA4DF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BDE6A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825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371F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11390A1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第六条</w:t>
            </w:r>
          </w:p>
        </w:tc>
        <w:tc>
          <w:tcPr>
            <w:tcW w:w="3055" w:type="dxa"/>
            <w:vAlign w:val="center"/>
          </w:tcPr>
          <w:p w14:paraId="73AFD02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包装、运输与装卸</w:t>
            </w:r>
          </w:p>
        </w:tc>
        <w:tc>
          <w:tcPr>
            <w:tcW w:w="1346" w:type="dxa"/>
            <w:vAlign w:val="center"/>
          </w:tcPr>
          <w:p w14:paraId="0995CCD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8E444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820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CF3D4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3AF6B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第七条</w:t>
            </w:r>
          </w:p>
        </w:tc>
        <w:tc>
          <w:tcPr>
            <w:tcW w:w="3055" w:type="dxa"/>
            <w:vAlign w:val="center"/>
          </w:tcPr>
          <w:p w14:paraId="7B46509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保险</w:t>
            </w:r>
          </w:p>
        </w:tc>
        <w:tc>
          <w:tcPr>
            <w:tcW w:w="1346" w:type="dxa"/>
            <w:vAlign w:val="center"/>
          </w:tcPr>
          <w:p w14:paraId="6A7E45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87BFBF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39E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92E23B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60826A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第八条</w:t>
            </w:r>
          </w:p>
        </w:tc>
        <w:tc>
          <w:tcPr>
            <w:tcW w:w="3055" w:type="dxa"/>
            <w:vAlign w:val="center"/>
          </w:tcPr>
          <w:p w14:paraId="202CC3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交货约定</w:t>
            </w:r>
          </w:p>
        </w:tc>
        <w:tc>
          <w:tcPr>
            <w:tcW w:w="1346" w:type="dxa"/>
            <w:vAlign w:val="center"/>
          </w:tcPr>
          <w:p w14:paraId="7410AA3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B0D56F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A33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456A55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52E40E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第九条</w:t>
            </w:r>
          </w:p>
        </w:tc>
        <w:tc>
          <w:tcPr>
            <w:tcW w:w="3055" w:type="dxa"/>
            <w:vAlign w:val="center"/>
          </w:tcPr>
          <w:p w14:paraId="2837E79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w:t>
            </w:r>
          </w:p>
        </w:tc>
        <w:tc>
          <w:tcPr>
            <w:tcW w:w="1346" w:type="dxa"/>
            <w:vAlign w:val="center"/>
          </w:tcPr>
          <w:p w14:paraId="264508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87F501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9BC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7C21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0C1A15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第十条</w:t>
            </w:r>
          </w:p>
        </w:tc>
        <w:tc>
          <w:tcPr>
            <w:tcW w:w="3055" w:type="dxa"/>
            <w:vAlign w:val="center"/>
          </w:tcPr>
          <w:p w14:paraId="349D85C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价款的支付</w:t>
            </w:r>
          </w:p>
        </w:tc>
        <w:tc>
          <w:tcPr>
            <w:tcW w:w="1346" w:type="dxa"/>
            <w:vAlign w:val="center"/>
          </w:tcPr>
          <w:p w14:paraId="398AD06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CB46D8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252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E3CA43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485C3D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第十一条</w:t>
            </w:r>
          </w:p>
        </w:tc>
        <w:tc>
          <w:tcPr>
            <w:tcW w:w="3055" w:type="dxa"/>
            <w:vAlign w:val="center"/>
          </w:tcPr>
          <w:p w14:paraId="744366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技术服务和培训</w:t>
            </w:r>
          </w:p>
        </w:tc>
        <w:tc>
          <w:tcPr>
            <w:tcW w:w="1346" w:type="dxa"/>
            <w:vAlign w:val="center"/>
          </w:tcPr>
          <w:p w14:paraId="52B8B3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A30FF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C8A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E03A0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75F9AB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第十二条</w:t>
            </w:r>
          </w:p>
        </w:tc>
        <w:tc>
          <w:tcPr>
            <w:tcW w:w="3055" w:type="dxa"/>
            <w:vAlign w:val="center"/>
          </w:tcPr>
          <w:p w14:paraId="245FCF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6FA7784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C83903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1FF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DFA7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5C70DAA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第十三条</w:t>
            </w:r>
          </w:p>
        </w:tc>
        <w:tc>
          <w:tcPr>
            <w:tcW w:w="3055" w:type="dxa"/>
            <w:vAlign w:val="center"/>
          </w:tcPr>
          <w:p w14:paraId="4A2FE52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订单全款保障独立银行保函</w:t>
            </w:r>
          </w:p>
        </w:tc>
        <w:tc>
          <w:tcPr>
            <w:tcW w:w="1346" w:type="dxa"/>
            <w:vAlign w:val="center"/>
          </w:tcPr>
          <w:p w14:paraId="71DDC3D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AA6A0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8DF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9F8B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0301798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第十四条</w:t>
            </w:r>
          </w:p>
        </w:tc>
        <w:tc>
          <w:tcPr>
            <w:tcW w:w="3055" w:type="dxa"/>
            <w:vAlign w:val="center"/>
          </w:tcPr>
          <w:p w14:paraId="7601601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技术资料</w:t>
            </w:r>
          </w:p>
        </w:tc>
        <w:tc>
          <w:tcPr>
            <w:tcW w:w="1346" w:type="dxa"/>
            <w:vAlign w:val="center"/>
          </w:tcPr>
          <w:p w14:paraId="13FA48A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77EF62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0EA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C5967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308800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第十五条</w:t>
            </w:r>
          </w:p>
        </w:tc>
        <w:tc>
          <w:tcPr>
            <w:tcW w:w="3055" w:type="dxa"/>
            <w:vAlign w:val="center"/>
          </w:tcPr>
          <w:p w14:paraId="1450863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权利保证</w:t>
            </w:r>
          </w:p>
        </w:tc>
        <w:tc>
          <w:tcPr>
            <w:tcW w:w="1346" w:type="dxa"/>
            <w:vAlign w:val="center"/>
          </w:tcPr>
          <w:p w14:paraId="5AE51DB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BB678B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2ED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4C92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341AA40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第十六条</w:t>
            </w:r>
          </w:p>
        </w:tc>
        <w:tc>
          <w:tcPr>
            <w:tcW w:w="3055" w:type="dxa"/>
            <w:vAlign w:val="center"/>
          </w:tcPr>
          <w:p w14:paraId="5D795B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2C9DA9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5FD2E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77D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0797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14:paraId="30FB528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第十七条</w:t>
            </w:r>
          </w:p>
        </w:tc>
        <w:tc>
          <w:tcPr>
            <w:tcW w:w="3055" w:type="dxa"/>
            <w:vAlign w:val="center"/>
          </w:tcPr>
          <w:p w14:paraId="1B18E6E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索赔</w:t>
            </w:r>
          </w:p>
        </w:tc>
        <w:tc>
          <w:tcPr>
            <w:tcW w:w="1346" w:type="dxa"/>
            <w:vAlign w:val="center"/>
          </w:tcPr>
          <w:p w14:paraId="153FB3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5060E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218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A4DD0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14:paraId="0AE9536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第十八条</w:t>
            </w:r>
          </w:p>
        </w:tc>
        <w:tc>
          <w:tcPr>
            <w:tcW w:w="3055" w:type="dxa"/>
            <w:vAlign w:val="center"/>
          </w:tcPr>
          <w:p w14:paraId="16C7822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083F0F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E90E62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6CF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957D0A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14:paraId="2117E5F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第十九条</w:t>
            </w:r>
          </w:p>
        </w:tc>
        <w:tc>
          <w:tcPr>
            <w:tcW w:w="3055" w:type="dxa"/>
            <w:vAlign w:val="center"/>
          </w:tcPr>
          <w:p w14:paraId="0DF98B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4D5D2BF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522C25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6E0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C9D15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14:paraId="0E24EC6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第二十条</w:t>
            </w:r>
          </w:p>
        </w:tc>
        <w:tc>
          <w:tcPr>
            <w:tcW w:w="3055" w:type="dxa"/>
            <w:vAlign w:val="center"/>
          </w:tcPr>
          <w:p w14:paraId="1FA9700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679BD4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B08945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ADB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D1AF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5D8E20C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附件2</w:t>
            </w:r>
          </w:p>
        </w:tc>
        <w:tc>
          <w:tcPr>
            <w:tcW w:w="3055" w:type="dxa"/>
            <w:vAlign w:val="center"/>
          </w:tcPr>
          <w:p w14:paraId="656DC1E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《供货货物清单》（模版）</w:t>
            </w:r>
          </w:p>
        </w:tc>
        <w:tc>
          <w:tcPr>
            <w:tcW w:w="1346" w:type="dxa"/>
            <w:vAlign w:val="center"/>
          </w:tcPr>
          <w:p w14:paraId="3B1378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281E0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5F0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5DCD2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5C3035D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附件4</w:t>
            </w:r>
          </w:p>
        </w:tc>
        <w:tc>
          <w:tcPr>
            <w:tcW w:w="3055" w:type="dxa"/>
            <w:vAlign w:val="center"/>
          </w:tcPr>
          <w:p w14:paraId="29147E9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3A9E97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9B0C8B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291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A2925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07CA7EBC">
            <w:pPr>
              <w:pStyle w:val="69"/>
              <w:keepNext w:val="0"/>
              <w:keepLines w:val="0"/>
              <w:suppressLineNumbers w:val="0"/>
              <w:snapToGrid w:val="0"/>
              <w:spacing w:before="120" w:beforeLines="50" w:beforeAutospacing="0" w:after="0" w:afterAutospacing="0" w:line="360" w:lineRule="auto"/>
              <w:ind w:left="0" w:right="0" w:firstLine="0" w:firstLineChars="0"/>
              <w:jc w:val="center"/>
              <w:rPr>
                <w:rFonts w:hint="eastAsia"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一</w:t>
            </w:r>
          </w:p>
        </w:tc>
        <w:tc>
          <w:tcPr>
            <w:tcW w:w="3055" w:type="dxa"/>
            <w:vAlign w:val="center"/>
          </w:tcPr>
          <w:p w14:paraId="7C665DE5">
            <w:pPr>
              <w:pStyle w:val="69"/>
              <w:keepNext w:val="0"/>
              <w:keepLines w:val="0"/>
              <w:suppressLineNumbers w:val="0"/>
              <w:snapToGrid w:val="0"/>
              <w:spacing w:before="120" w:beforeLines="50" w:beforeAutospacing="0" w:after="0" w:afterAutospacing="0" w:line="360" w:lineRule="auto"/>
              <w:ind w:left="0" w:right="0" w:firstLine="0" w:firstLineChars="0"/>
              <w:jc w:val="center"/>
              <w:rPr>
                <w:rFonts w:hint="default" w:ascii="宋体" w:hAnsi="宋体" w:eastAsia="宋体" w:cs="宋体"/>
                <w:color w:val="auto"/>
                <w:kern w:val="0"/>
                <w:szCs w:val="21"/>
                <w:highlight w:val="none"/>
              </w:rPr>
            </w:pPr>
            <w:r>
              <w:rPr>
                <w:rFonts w:hint="eastAsia" w:ascii="宋体" w:eastAsia="宋体" w:cs="宋体"/>
                <w:color w:val="auto"/>
                <w:kern w:val="2"/>
                <w:sz w:val="21"/>
                <w:szCs w:val="21"/>
                <w:highlight w:val="none"/>
              </w:rPr>
              <w:t>不可撤销银行履约保函</w:t>
            </w:r>
          </w:p>
        </w:tc>
        <w:tc>
          <w:tcPr>
            <w:tcW w:w="1346" w:type="dxa"/>
            <w:vAlign w:val="center"/>
          </w:tcPr>
          <w:p w14:paraId="77D55D7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6C04B2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537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C21C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28FC2BD3">
            <w:pPr>
              <w:pStyle w:val="69"/>
              <w:keepNext w:val="0"/>
              <w:keepLines w:val="0"/>
              <w:suppressLineNumbers w:val="0"/>
              <w:snapToGrid w:val="0"/>
              <w:spacing w:before="120" w:beforeLines="50" w:beforeAutospacing="0" w:after="0" w:afterAutospacing="0" w:line="360" w:lineRule="auto"/>
              <w:ind w:left="0" w:right="0" w:firstLine="0" w:firstLineChars="0"/>
              <w:jc w:val="center"/>
              <w:rPr>
                <w:rFonts w:hint="eastAsia" w:ascii="宋体" w:hAnsi="宋体" w:eastAsia="宋体" w:cs="宋体"/>
                <w:color w:val="auto"/>
                <w:kern w:val="0"/>
                <w:szCs w:val="21"/>
                <w:highlight w:val="none"/>
              </w:rPr>
            </w:pPr>
            <w:r>
              <w:rPr>
                <w:rFonts w:hint="eastAsia" w:ascii="宋体" w:eastAsia="宋体" w:cs="宋体"/>
                <w:color w:val="auto"/>
                <w:kern w:val="2"/>
                <w:sz w:val="21"/>
                <w:szCs w:val="21"/>
                <w:highlight w:val="none"/>
              </w:rPr>
              <w:t>二</w:t>
            </w:r>
          </w:p>
        </w:tc>
        <w:tc>
          <w:tcPr>
            <w:tcW w:w="3055" w:type="dxa"/>
            <w:vAlign w:val="center"/>
          </w:tcPr>
          <w:p w14:paraId="24AFA85B">
            <w:pPr>
              <w:pStyle w:val="69"/>
              <w:keepNext w:val="0"/>
              <w:keepLines w:val="0"/>
              <w:suppressLineNumbers w:val="0"/>
              <w:snapToGrid w:val="0"/>
              <w:spacing w:before="120" w:beforeLines="50" w:beforeAutospacing="0" w:after="0" w:afterAutospacing="0" w:line="360" w:lineRule="auto"/>
              <w:ind w:left="0" w:right="0" w:firstLine="0" w:firstLineChars="0"/>
              <w:jc w:val="center"/>
              <w:rPr>
                <w:rFonts w:hint="default" w:ascii="宋体" w:hAnsi="宋体" w:eastAsia="宋体" w:cs="宋体"/>
                <w:color w:val="auto"/>
                <w:kern w:val="0"/>
                <w:szCs w:val="21"/>
                <w:highlight w:val="none"/>
              </w:rPr>
            </w:pPr>
            <w:r>
              <w:rPr>
                <w:rFonts w:hint="eastAsia" w:ascii="宋体" w:eastAsia="宋体" w:cs="宋体"/>
                <w:color w:val="auto"/>
                <w:kern w:val="2"/>
                <w:sz w:val="21"/>
                <w:szCs w:val="21"/>
                <w:highlight w:val="none"/>
              </w:rPr>
              <w:t>履约保证保险凭证</w:t>
            </w:r>
          </w:p>
        </w:tc>
        <w:tc>
          <w:tcPr>
            <w:tcW w:w="1346" w:type="dxa"/>
            <w:vAlign w:val="center"/>
          </w:tcPr>
          <w:p w14:paraId="32231F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B22515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B8E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18B4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14:paraId="3A287F3A">
            <w:pPr>
              <w:pStyle w:val="69"/>
              <w:keepNext w:val="0"/>
              <w:keepLines w:val="0"/>
              <w:suppressLineNumbers w:val="0"/>
              <w:snapToGrid w:val="0"/>
              <w:spacing w:before="120" w:beforeLines="50" w:beforeAutospacing="0" w:after="0" w:afterAutospacing="0" w:line="360" w:lineRule="auto"/>
              <w:ind w:left="0" w:right="0" w:firstLine="0" w:firstLineChars="0"/>
              <w:jc w:val="center"/>
              <w:rPr>
                <w:rFonts w:hint="eastAsia" w:ascii="宋体" w:hAnsi="宋体" w:eastAsia="宋体" w:cs="宋体"/>
                <w:color w:val="auto"/>
                <w:kern w:val="0"/>
                <w:szCs w:val="21"/>
                <w:highlight w:val="none"/>
              </w:rPr>
            </w:pPr>
            <w:r>
              <w:rPr>
                <w:rFonts w:hint="eastAsia" w:ascii="宋体" w:eastAsia="宋体" w:cs="宋体"/>
                <w:color w:val="auto"/>
                <w:kern w:val="2"/>
                <w:sz w:val="21"/>
                <w:szCs w:val="21"/>
                <w:highlight w:val="none"/>
              </w:rPr>
              <w:t>三</w:t>
            </w:r>
          </w:p>
        </w:tc>
        <w:tc>
          <w:tcPr>
            <w:tcW w:w="3055" w:type="dxa"/>
            <w:vAlign w:val="center"/>
          </w:tcPr>
          <w:p w14:paraId="3301E84A">
            <w:pPr>
              <w:pStyle w:val="69"/>
              <w:keepNext w:val="0"/>
              <w:keepLines w:val="0"/>
              <w:suppressLineNumbers w:val="0"/>
              <w:snapToGrid w:val="0"/>
              <w:spacing w:before="120" w:beforeLines="50" w:beforeAutospacing="0" w:after="0" w:afterAutospacing="0" w:line="360" w:lineRule="auto"/>
              <w:ind w:left="0" w:right="0" w:firstLine="0" w:firstLineChars="0"/>
              <w:jc w:val="center"/>
              <w:rPr>
                <w:rFonts w:hint="default" w:ascii="宋体" w:hAnsi="宋体" w:eastAsia="宋体" w:cs="宋体"/>
                <w:color w:val="auto"/>
                <w:kern w:val="0"/>
                <w:szCs w:val="21"/>
                <w:highlight w:val="none"/>
              </w:rPr>
            </w:pPr>
            <w:r>
              <w:rPr>
                <w:rFonts w:hint="eastAsia" w:ascii="宋体" w:eastAsia="宋体" w:cs="宋体"/>
                <w:color w:val="auto"/>
                <w:kern w:val="2"/>
                <w:sz w:val="21"/>
                <w:szCs w:val="21"/>
                <w:highlight w:val="none"/>
              </w:rPr>
              <w:t>担保公司履约担保书</w:t>
            </w:r>
          </w:p>
        </w:tc>
        <w:tc>
          <w:tcPr>
            <w:tcW w:w="1346" w:type="dxa"/>
            <w:vAlign w:val="center"/>
          </w:tcPr>
          <w:p w14:paraId="3E48C5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ED9DCF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F99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EFFC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w:t>
            </w:r>
          </w:p>
        </w:tc>
        <w:tc>
          <w:tcPr>
            <w:tcW w:w="1425" w:type="dxa"/>
            <w:vAlign w:val="center"/>
          </w:tcPr>
          <w:p w14:paraId="03F389F0">
            <w:pPr>
              <w:pStyle w:val="69"/>
              <w:keepNext w:val="0"/>
              <w:keepLines w:val="0"/>
              <w:suppressLineNumbers w:val="0"/>
              <w:snapToGrid w:val="0"/>
              <w:spacing w:before="120" w:beforeLines="50" w:beforeAutospacing="0" w:after="0" w:afterAutospacing="0" w:line="360" w:lineRule="auto"/>
              <w:ind w:left="0" w:right="0" w:firstLine="0" w:firstLineChars="0"/>
              <w:jc w:val="center"/>
              <w:rPr>
                <w:rFonts w:hint="eastAsia" w:ascii="宋体" w:eastAsia="宋体" w:cs="宋体"/>
                <w:color w:val="auto"/>
                <w:kern w:val="2"/>
                <w:sz w:val="21"/>
                <w:szCs w:val="21"/>
                <w:highlight w:val="none"/>
                <w:lang w:val="en-US" w:eastAsia="zh-CN"/>
              </w:rPr>
            </w:pPr>
            <w:r>
              <w:rPr>
                <w:rFonts w:hint="eastAsia" w:ascii="宋体" w:eastAsia="宋体" w:cs="宋体"/>
                <w:color w:val="auto"/>
                <w:kern w:val="2"/>
                <w:sz w:val="21"/>
                <w:szCs w:val="21"/>
                <w:highlight w:val="none"/>
                <w:lang w:val="en-US" w:eastAsia="zh-CN"/>
              </w:rPr>
              <w:t>四</w:t>
            </w:r>
          </w:p>
        </w:tc>
        <w:tc>
          <w:tcPr>
            <w:tcW w:w="3055" w:type="dxa"/>
            <w:vAlign w:val="center"/>
          </w:tcPr>
          <w:p w14:paraId="5A2D8267">
            <w:pPr>
              <w:pStyle w:val="69"/>
              <w:keepNext w:val="0"/>
              <w:keepLines w:val="0"/>
              <w:suppressLineNumbers w:val="0"/>
              <w:snapToGrid w:val="0"/>
              <w:spacing w:before="120" w:beforeLines="50" w:beforeAutospacing="0" w:after="0" w:afterAutospacing="0" w:line="360" w:lineRule="auto"/>
              <w:ind w:left="0" w:right="0" w:firstLine="0" w:firstLineChars="0"/>
              <w:jc w:val="center"/>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订单全款保障独立银行保函</w:t>
            </w:r>
          </w:p>
        </w:tc>
        <w:tc>
          <w:tcPr>
            <w:tcW w:w="1346" w:type="dxa"/>
            <w:vAlign w:val="center"/>
          </w:tcPr>
          <w:p w14:paraId="292A94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19EDD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0FA0D85A">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231D4642">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7415207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326D6C53">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66299EB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339552E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62C720D9">
      <w:pPr>
        <w:spacing w:line="360" w:lineRule="auto"/>
        <w:ind w:left="357" w:leftChars="-100" w:hanging="567" w:hangingChars="270"/>
        <w:rPr>
          <w:rFonts w:ascii="宋体" w:hAnsi="宋体" w:eastAsia="宋体" w:cs="宋体"/>
          <w:color w:val="auto"/>
          <w:szCs w:val="21"/>
          <w:highlight w:val="none"/>
        </w:rPr>
      </w:pPr>
    </w:p>
    <w:p w14:paraId="203E0406">
      <w:pPr>
        <w:spacing w:line="360" w:lineRule="auto"/>
        <w:ind w:left="357" w:leftChars="-100" w:hanging="567" w:hangingChars="270"/>
        <w:rPr>
          <w:rFonts w:ascii="宋体" w:hAnsi="宋体" w:eastAsia="宋体" w:cs="宋体"/>
          <w:color w:val="auto"/>
          <w:szCs w:val="21"/>
          <w:highlight w:val="none"/>
        </w:rPr>
      </w:pPr>
    </w:p>
    <w:p w14:paraId="68DE409D">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1FE8B706">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F3C503B">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5A28D0B">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0C7138B0">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321BE321">
      <w:pPr>
        <w:tabs>
          <w:tab w:val="left" w:pos="567"/>
        </w:tabs>
        <w:autoSpaceDE w:val="0"/>
        <w:autoSpaceDN w:val="0"/>
        <w:adjustRightInd w:val="0"/>
        <w:spacing w:line="360" w:lineRule="auto"/>
        <w:jc w:val="left"/>
        <w:outlineLvl w:val="3"/>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831" w:name="_Toc195714391"/>
      <w:bookmarkStart w:id="832" w:name="_Toc31371"/>
      <w:bookmarkStart w:id="833" w:name="_Toc102860426"/>
      <w:bookmarkStart w:id="834" w:name="_Toc104991884"/>
      <w:bookmarkStart w:id="835" w:name="_Toc102860082"/>
      <w:bookmarkStart w:id="836" w:name="_Toc13179"/>
      <w:bookmarkStart w:id="837" w:name="_Toc142508377"/>
      <w:bookmarkStart w:id="838" w:name="_Toc94107218"/>
      <w:bookmarkStart w:id="839" w:name="_Toc29505"/>
      <w:bookmarkStart w:id="840" w:name="_Toc5473"/>
      <w:bookmarkStart w:id="841" w:name="_Toc140596937"/>
      <w:bookmarkStart w:id="842" w:name="_Toc486167717"/>
      <w:bookmarkStart w:id="843" w:name="_Toc27980_WPSOffice_Level2"/>
      <w:r>
        <w:rPr>
          <w:rFonts w:hint="eastAsia" w:ascii="宋体" w:hAnsi="宋体" w:eastAsia="宋体" w:cs="宋体"/>
          <w:b/>
          <w:bCs/>
          <w:color w:val="auto"/>
          <w:kern w:val="0"/>
          <w:sz w:val="30"/>
          <w:szCs w:val="30"/>
          <w:highlight w:val="none"/>
          <w:lang w:val="en-US" w:eastAsia="zh-CN"/>
        </w:rPr>
        <w:t>八</w:t>
      </w:r>
      <w:r>
        <w:rPr>
          <w:rFonts w:hint="eastAsia" w:ascii="宋体" w:hAnsi="宋体" w:eastAsia="宋体" w:cs="宋体"/>
          <w:b/>
          <w:color w:val="auto"/>
          <w:kern w:val="0"/>
          <w:sz w:val="32"/>
          <w:szCs w:val="32"/>
          <w:highlight w:val="none"/>
        </w:rPr>
        <w:t>、业绩表格式</w:t>
      </w:r>
      <w:bookmarkEnd w:id="831"/>
      <w:bookmarkEnd w:id="832"/>
      <w:bookmarkEnd w:id="833"/>
      <w:bookmarkEnd w:id="834"/>
      <w:bookmarkEnd w:id="835"/>
      <w:bookmarkEnd w:id="836"/>
      <w:bookmarkEnd w:id="837"/>
      <w:bookmarkEnd w:id="838"/>
      <w:bookmarkEnd w:id="839"/>
      <w:bookmarkEnd w:id="840"/>
      <w:bookmarkEnd w:id="841"/>
    </w:p>
    <w:p w14:paraId="06A671FC">
      <w:pPr>
        <w:autoSpaceDE w:val="0"/>
        <w:autoSpaceDN w:val="0"/>
        <w:adjustRightInd w:val="0"/>
        <w:spacing w:line="360" w:lineRule="auto"/>
        <w:jc w:val="center"/>
        <w:outlineLvl w:val="9"/>
        <w:rPr>
          <w:rFonts w:ascii="宋体" w:hAnsi="宋体" w:eastAsia="宋体" w:cs="Times New Roman"/>
          <w:b/>
          <w:bCs/>
          <w:color w:val="auto"/>
          <w:sz w:val="30"/>
          <w:szCs w:val="30"/>
          <w:highlight w:val="none"/>
        </w:rPr>
      </w:pPr>
      <w:bookmarkStart w:id="844" w:name="_Toc21352"/>
      <w:bookmarkStart w:id="845" w:name="_Toc195714393"/>
      <w:r>
        <w:rPr>
          <w:rFonts w:hint="eastAsia" w:ascii="宋体" w:hAnsi="宋体" w:eastAsia="宋体" w:cs="宋体"/>
          <w:b/>
          <w:bCs/>
          <w:color w:val="auto"/>
          <w:sz w:val="30"/>
          <w:szCs w:val="30"/>
          <w:highlight w:val="none"/>
          <w:lang w:bidi="ar"/>
        </w:rPr>
        <w:t xml:space="preserve"> 2022年1月1日</w:t>
      </w:r>
      <w:r>
        <w:rPr>
          <w:rFonts w:hint="eastAsia" w:ascii="宋体" w:hAnsi="宋体" w:eastAsia="宋体" w:cs="宋体"/>
          <w:b/>
          <w:bCs/>
          <w:color w:val="auto"/>
          <w:sz w:val="30"/>
          <w:szCs w:val="30"/>
          <w:highlight w:val="none"/>
          <w:lang w:val="en-US" w:eastAsia="zh-CN" w:bidi="ar"/>
        </w:rPr>
        <w:t>以来</w:t>
      </w:r>
      <w:r>
        <w:rPr>
          <w:rFonts w:hint="eastAsia" w:ascii="宋体" w:hAnsi="宋体" w:eastAsia="宋体" w:cs="宋体"/>
          <w:b/>
          <w:bCs/>
          <w:color w:val="auto"/>
          <w:sz w:val="30"/>
          <w:szCs w:val="30"/>
          <w:highlight w:val="none"/>
          <w:lang w:bidi="ar"/>
        </w:rPr>
        <w:t>（合同签订日期为2022年1月1日或以后）投标品牌</w:t>
      </w:r>
      <w:r>
        <w:rPr>
          <w:rFonts w:hint="eastAsia" w:ascii="宋体" w:hAnsi="宋体" w:eastAsia="宋体" w:cs="宋体"/>
          <w:b/>
          <w:bCs/>
          <w:color w:val="auto"/>
          <w:sz w:val="30"/>
          <w:szCs w:val="30"/>
          <w:highlight w:val="none"/>
          <w:lang w:eastAsia="zh-CN" w:bidi="ar"/>
        </w:rPr>
        <w:t>旋翼式远传水表</w:t>
      </w:r>
      <w:r>
        <w:rPr>
          <w:rFonts w:hint="eastAsia" w:ascii="宋体" w:hAnsi="宋体" w:eastAsia="宋体" w:cs="宋体"/>
          <w:b/>
          <w:bCs/>
          <w:color w:val="auto"/>
          <w:sz w:val="30"/>
          <w:szCs w:val="30"/>
          <w:highlight w:val="none"/>
          <w:lang w:val="en-US" w:eastAsia="zh-CN" w:bidi="ar"/>
        </w:rPr>
        <w:t>在国内的销售</w:t>
      </w:r>
      <w:r>
        <w:rPr>
          <w:rFonts w:hint="eastAsia" w:ascii="宋体" w:hAnsi="宋体" w:eastAsia="宋体" w:cs="宋体"/>
          <w:b/>
          <w:bCs/>
          <w:color w:val="auto"/>
          <w:sz w:val="30"/>
          <w:szCs w:val="30"/>
          <w:highlight w:val="none"/>
          <w:lang w:bidi="ar"/>
        </w:rPr>
        <w:t>业绩表</w:t>
      </w:r>
      <w:bookmarkEnd w:id="844"/>
      <w:bookmarkEnd w:id="845"/>
    </w:p>
    <w:tbl>
      <w:tblPr>
        <w:tblStyle w:val="44"/>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025"/>
        <w:gridCol w:w="2544"/>
        <w:gridCol w:w="935"/>
        <w:gridCol w:w="937"/>
        <w:gridCol w:w="937"/>
        <w:gridCol w:w="1105"/>
        <w:gridCol w:w="1145"/>
        <w:gridCol w:w="1004"/>
      </w:tblGrid>
      <w:tr w14:paraId="6896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atLeast"/>
          <w:jc w:val="center"/>
        </w:trPr>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6D95DF8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00B3839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7A4A6CE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E21AFE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合同标的货物品牌</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F4E9A6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合同金额（万元）</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01955CB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lang w:bidi="ar"/>
              </w:rPr>
              <w:t>签</w:t>
            </w:r>
            <w:r>
              <w:rPr>
                <w:rFonts w:hint="eastAsia" w:ascii="宋体" w:hAnsi="宋体" w:eastAsia="宋体" w:cs="宋体"/>
                <w:color w:val="auto"/>
                <w:szCs w:val="21"/>
                <w:highlight w:val="none"/>
                <w:lang w:val="en-US" w:eastAsia="zh-CN" w:bidi="ar"/>
              </w:rPr>
              <w:t>订</w:t>
            </w:r>
            <w:r>
              <w:rPr>
                <w:rFonts w:hint="eastAsia" w:ascii="宋体" w:hAnsi="宋体" w:eastAsia="宋体" w:cs="宋体"/>
                <w:color w:val="auto"/>
                <w:szCs w:val="21"/>
                <w:highlight w:val="none"/>
                <w:lang w:bidi="ar"/>
              </w:rPr>
              <w:t>日期</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1FB101D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购</w:t>
            </w:r>
            <w:r>
              <w:rPr>
                <w:rFonts w:hint="eastAsia" w:ascii="宋体" w:hAnsi="宋体" w:eastAsia="宋体" w:cs="宋体"/>
                <w:color w:val="auto"/>
                <w:szCs w:val="21"/>
                <w:highlight w:val="none"/>
                <w:lang w:bidi="ar"/>
              </w:rPr>
              <w:t>买方联系人及电话</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44EA072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tc>
      </w:tr>
      <w:tr w14:paraId="5BDE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atLeast"/>
          <w:jc w:val="center"/>
        </w:trPr>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6E1C4F8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68276A9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36EE18B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0772C1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CF2250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0EEBF2F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23C4F87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1F9BD6F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363F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atLeast"/>
          <w:jc w:val="center"/>
        </w:trPr>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0645663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20AA8CB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1B0D293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02A487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E7FE2A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32EA46B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7A48E5F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6D47AD8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3E4B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atLeast"/>
          <w:jc w:val="center"/>
        </w:trPr>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7CD3630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3A28911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37B488A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5A4FDD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B39BB8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3B8E709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42B6A02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584C1C0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bl>
    <w:p w14:paraId="2100D33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05C5695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备注：</w:t>
      </w:r>
    </w:p>
    <w:p w14:paraId="3219766D">
      <w:pPr>
        <w:autoSpaceDE w:val="0"/>
        <w:autoSpaceDN w:val="0"/>
        <w:adjustRightInd w:val="0"/>
        <w:snapToGrid w:val="0"/>
        <w:spacing w:line="360" w:lineRule="auto"/>
        <w:ind w:left="481" w:leftChars="-41" w:hanging="567" w:hangingChars="270"/>
        <w:jc w:val="left"/>
        <w:rPr>
          <w:rFonts w:ascii="宋体" w:hAnsi="宋体" w:eastAsia="宋体" w:cs="Times New Roman"/>
          <w:b/>
          <w:bCs/>
          <w:color w:val="auto"/>
          <w:szCs w:val="21"/>
          <w:highlight w:val="none"/>
        </w:rPr>
      </w:pPr>
      <w:r>
        <w:rPr>
          <w:rFonts w:hint="eastAsia" w:ascii="宋体" w:hAnsi="宋体" w:eastAsia="宋体" w:cs="宋体"/>
          <w:color w:val="auto"/>
          <w:szCs w:val="21"/>
          <w:highlight w:val="none"/>
          <w:lang w:bidi="ar"/>
        </w:rPr>
        <w:t>（1）业绩按单项合同金额从高到低的方式排列；</w:t>
      </w:r>
      <w:r>
        <w:rPr>
          <w:rFonts w:hint="eastAsia" w:ascii="宋体" w:hAnsi="宋体" w:eastAsia="宋体" w:cs="宋体"/>
          <w:b/>
          <w:bCs/>
          <w:color w:val="auto"/>
          <w:szCs w:val="21"/>
          <w:highlight w:val="none"/>
          <w:lang w:bidi="ar"/>
        </w:rPr>
        <w:t>同一个单项合同的业绩可以同时在资格业绩和评分业绩重复放置；</w:t>
      </w:r>
    </w:p>
    <w:p w14:paraId="57125277">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1"/>
          <w:highlight w:val="none"/>
          <w:lang w:eastAsia="zh-CN"/>
        </w:rPr>
      </w:pPr>
      <w:r>
        <w:rPr>
          <w:rFonts w:hint="eastAsia" w:ascii="宋体" w:hAnsi="宋体" w:eastAsia="宋体" w:cs="宋体"/>
          <w:color w:val="auto"/>
          <w:szCs w:val="21"/>
          <w:highlight w:val="none"/>
          <w:lang w:bidi="ar"/>
        </w:rPr>
        <w:t>（</w:t>
      </w:r>
      <w:r>
        <w:rPr>
          <w:rFonts w:hint="eastAsia" w:ascii="宋体" w:hAnsi="宋体" w:eastAsia="宋体" w:cs="Times New Roman"/>
          <w:color w:val="auto"/>
          <w:szCs w:val="21"/>
          <w:highlight w:val="none"/>
          <w:lang w:bidi="ar"/>
        </w:rPr>
        <w:t>2</w:t>
      </w:r>
      <w:r>
        <w:rPr>
          <w:rFonts w:hint="eastAsia" w:ascii="宋体" w:hAnsi="宋体" w:eastAsia="宋体" w:cs="宋体"/>
          <w:color w:val="auto"/>
          <w:szCs w:val="21"/>
          <w:highlight w:val="none"/>
          <w:lang w:bidi="ar"/>
        </w:rPr>
        <w:t>）业绩须同时提供⑴投标品牌</w:t>
      </w:r>
      <w:r>
        <w:rPr>
          <w:rFonts w:hint="eastAsia" w:ascii="宋体" w:hAnsi="宋体" w:eastAsia="宋体" w:cs="宋体"/>
          <w:color w:val="auto"/>
          <w:szCs w:val="21"/>
          <w:highlight w:val="none"/>
          <w:lang w:eastAsia="zh-CN" w:bidi="ar"/>
        </w:rPr>
        <w:t>旋翼式远传水表</w:t>
      </w:r>
      <w:r>
        <w:rPr>
          <w:rFonts w:hint="eastAsia" w:ascii="宋体" w:hAnsi="宋体" w:eastAsia="宋体" w:cs="宋体"/>
          <w:color w:val="auto"/>
          <w:szCs w:val="21"/>
          <w:highlight w:val="none"/>
          <w:lang w:bidi="ar"/>
        </w:rPr>
        <w:t>销售合同复印件（合同卖方可为投标品牌</w:t>
      </w:r>
      <w:r>
        <w:rPr>
          <w:rFonts w:hint="eastAsia" w:ascii="宋体" w:hAnsi="宋体" w:eastAsia="宋体" w:cs="宋体"/>
          <w:color w:val="auto"/>
          <w:szCs w:val="21"/>
          <w:highlight w:val="none"/>
          <w:lang w:eastAsia="zh-CN" w:bidi="ar"/>
        </w:rPr>
        <w:t>旋翼式远传水表</w:t>
      </w:r>
      <w:r>
        <w:rPr>
          <w:rFonts w:hint="eastAsia" w:ascii="宋体" w:hAnsi="宋体" w:eastAsia="宋体" w:cs="宋体"/>
          <w:color w:val="auto"/>
          <w:szCs w:val="21"/>
          <w:highlight w:val="none"/>
          <w:lang w:bidi="ar"/>
        </w:rPr>
        <w:t>的制造商，也可为投标品牌</w:t>
      </w:r>
      <w:r>
        <w:rPr>
          <w:rFonts w:hint="eastAsia" w:ascii="宋体" w:hAnsi="宋体" w:eastAsia="宋体" w:cs="宋体"/>
          <w:color w:val="auto"/>
          <w:szCs w:val="21"/>
          <w:highlight w:val="none"/>
          <w:lang w:eastAsia="zh-CN" w:bidi="ar"/>
        </w:rPr>
        <w:t>旋翼式远传水表</w:t>
      </w:r>
      <w:r>
        <w:rPr>
          <w:rFonts w:hint="eastAsia" w:ascii="宋体" w:hAnsi="宋体" w:eastAsia="宋体" w:cs="宋体"/>
          <w:color w:val="auto"/>
          <w:szCs w:val="21"/>
          <w:highlight w:val="none"/>
          <w:lang w:bidi="ar"/>
        </w:rPr>
        <w:t>的代理商/经销商</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需显示合同买方公章），⑵已供货产品任意一张发票复印件（发票开具日期须在本项目招标公告发布之日前），否则不得分</w:t>
      </w:r>
      <w:r>
        <w:rPr>
          <w:rFonts w:hint="eastAsia" w:ascii="宋体" w:hAnsi="宋体" w:eastAsia="宋体" w:cs="宋体"/>
          <w:color w:val="auto"/>
          <w:szCs w:val="21"/>
          <w:highlight w:val="none"/>
          <w:lang w:eastAsia="zh-CN" w:bidi="ar"/>
        </w:rPr>
        <w:t>；</w:t>
      </w:r>
    </w:p>
    <w:p w14:paraId="1BE3FF67">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（3）若合同无法反映评分条件（合同签订日期为2022年1月1日或以后，合同标的必须包含投标品牌</w:t>
      </w:r>
      <w:r>
        <w:rPr>
          <w:rFonts w:hint="eastAsia" w:ascii="宋体" w:hAnsi="宋体" w:eastAsia="宋体" w:cs="宋体"/>
          <w:color w:val="auto"/>
          <w:szCs w:val="21"/>
          <w:highlight w:val="none"/>
          <w:lang w:eastAsia="zh-CN" w:bidi="ar"/>
        </w:rPr>
        <w:t>旋翼式远传水表</w:t>
      </w:r>
      <w:r>
        <w:rPr>
          <w:rFonts w:hint="eastAsia" w:ascii="宋体" w:hAnsi="宋体" w:eastAsia="宋体" w:cs="宋体"/>
          <w:color w:val="auto"/>
          <w:szCs w:val="21"/>
          <w:highlight w:val="none"/>
          <w:lang w:bidi="ar"/>
        </w:rPr>
        <w:t>、合同金额）的，还需提供产品购买方出具的书面补充说明文件复印件作为辅助证明（需显示购买方公章），否则不得分；</w:t>
      </w:r>
    </w:p>
    <w:p w14:paraId="70316B8A">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4</w:t>
      </w:r>
      <w:r>
        <w:rPr>
          <w:rFonts w:hint="eastAsia" w:ascii="宋体" w:hAnsi="宋体" w:eastAsia="宋体" w:cs="宋体"/>
          <w:color w:val="auto"/>
          <w:szCs w:val="21"/>
          <w:highlight w:val="none"/>
          <w:lang w:eastAsia="zh-CN" w:bidi="ar"/>
        </w:rPr>
        <w:t>）若业绩为框架式协议或资格入围无明确金额的合同，必须同时提供合同期限内已供货发票金额统计表和发票复印件；</w:t>
      </w:r>
    </w:p>
    <w:p w14:paraId="0CF74506">
      <w:pPr>
        <w:autoSpaceDE/>
        <w:autoSpaceDN/>
        <w:adjustRightInd/>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eastAsia="zh-CN" w:bidi="ar"/>
        </w:rPr>
        <w:t>）</w:t>
      </w:r>
      <w:r>
        <w:rPr>
          <w:rFonts w:hint="eastAsia" w:ascii="宋体" w:hAnsi="宋体" w:eastAsia="宋体" w:cs="宋体"/>
          <w:b/>
          <w:bCs/>
          <w:color w:val="auto"/>
          <w:szCs w:val="21"/>
          <w:highlight w:val="none"/>
          <w:lang w:bidi="ar"/>
        </w:rPr>
        <w:t>未按上述要求在此格式下提供证明材料的业绩，或在此格式下所附材料无法证明填报项目符合本项评分要求的业绩，在评标时将不予考虑。</w:t>
      </w:r>
    </w:p>
    <w:p w14:paraId="397E7985">
      <w:pPr>
        <w:autoSpaceDE w:val="0"/>
        <w:autoSpaceDN w:val="0"/>
        <w:adjustRightInd w:val="0"/>
        <w:spacing w:line="360" w:lineRule="auto"/>
        <w:ind w:firstLine="5040" w:firstLineChars="24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25EAB1FD">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AC77939">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15D4909">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3AB5E490">
      <w:pPr>
        <w:widowControl/>
        <w:autoSpaceDE w:val="0"/>
        <w:autoSpaceDN w:val="0"/>
        <w:adjustRightInd w:val="0"/>
        <w:spacing w:line="360" w:lineRule="auto"/>
        <w:ind w:left="0" w:leftChars="0"/>
        <w:jc w:val="center"/>
        <w:rPr>
          <w:rFonts w:ascii="宋体" w:hAnsi="宋体" w:eastAsia="宋体" w:cs="宋体"/>
          <w:b/>
          <w:bCs/>
          <w:color w:val="auto"/>
          <w:kern w:val="0"/>
          <w:sz w:val="30"/>
          <w:szCs w:val="30"/>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bookmarkEnd w:id="842"/>
      <w:bookmarkEnd w:id="843"/>
      <w:bookmarkStart w:id="846" w:name="_Toc140596939"/>
      <w:bookmarkStart w:id="847" w:name="_Toc142508379"/>
      <w:bookmarkStart w:id="848" w:name="_Toc24616"/>
      <w:bookmarkStart w:id="849" w:name="_Toc2007"/>
      <w:bookmarkStart w:id="850" w:name="_Toc1977738"/>
      <w:bookmarkStart w:id="851" w:name="_Toc102860084"/>
      <w:bookmarkStart w:id="852" w:name="_Toc29652"/>
      <w:bookmarkStart w:id="853" w:name="_Toc94107221"/>
      <w:bookmarkStart w:id="854" w:name="_Toc102860428"/>
      <w:bookmarkStart w:id="855" w:name="_Toc104991886"/>
      <w:bookmarkStart w:id="856" w:name="_Toc533708134"/>
      <w:bookmarkStart w:id="857" w:name="_Toc486167721"/>
    </w:p>
    <w:p w14:paraId="70EBE42E">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bookmarkStart w:id="858" w:name="_Toc8888"/>
      <w:bookmarkStart w:id="859" w:name="_Toc30436"/>
      <w:bookmarkStart w:id="860" w:name="_Toc25869"/>
      <w:bookmarkStart w:id="861" w:name="_Toc8243"/>
      <w:bookmarkStart w:id="862" w:name="_Toc6121"/>
      <w:bookmarkStart w:id="863" w:name="_Toc18474"/>
      <w:bookmarkStart w:id="864" w:name="_Toc25310"/>
      <w:r>
        <w:rPr>
          <w:rFonts w:hint="eastAsia" w:ascii="宋体" w:hAnsi="宋体" w:eastAsia="宋体" w:cs="宋体"/>
          <w:b/>
          <w:color w:val="auto"/>
          <w:kern w:val="0"/>
          <w:sz w:val="32"/>
          <w:szCs w:val="32"/>
          <w:highlight w:val="none"/>
          <w:lang w:val="zh-CN"/>
        </w:rPr>
        <w:t>附表：已供货产品发票金额统计表</w:t>
      </w:r>
      <w:bookmarkEnd w:id="858"/>
      <w:bookmarkEnd w:id="859"/>
      <w:bookmarkEnd w:id="860"/>
      <w:bookmarkEnd w:id="861"/>
      <w:bookmarkEnd w:id="862"/>
      <w:bookmarkEnd w:id="863"/>
      <w:bookmarkEnd w:id="864"/>
    </w:p>
    <w:tbl>
      <w:tblPr>
        <w:tblStyle w:val="44"/>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27C7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33BF69CD">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default" w:ascii="宋体" w:hAnsi="宋体"/>
                <w:color w:val="auto"/>
                <w:sz w:val="21"/>
                <w:szCs w:val="21"/>
                <w:highlight w:val="none"/>
              </w:rPr>
              <w:t>项目名称</w:t>
            </w:r>
          </w:p>
        </w:tc>
        <w:tc>
          <w:tcPr>
            <w:tcW w:w="5503" w:type="dxa"/>
            <w:gridSpan w:val="5"/>
            <w:noWrap w:val="0"/>
            <w:vAlign w:val="center"/>
          </w:tcPr>
          <w:p w14:paraId="69518D2A">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r>
      <w:tr w14:paraId="5E79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75925AE7">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合同约定的供货期</w:t>
            </w:r>
          </w:p>
        </w:tc>
        <w:tc>
          <w:tcPr>
            <w:tcW w:w="5503" w:type="dxa"/>
            <w:gridSpan w:val="5"/>
            <w:noWrap w:val="0"/>
            <w:vAlign w:val="center"/>
          </w:tcPr>
          <w:p w14:paraId="1BE397F8">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r>
      <w:tr w14:paraId="464F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0C81015D">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发票抬头（</w:t>
            </w:r>
            <w:r>
              <w:rPr>
                <w:rFonts w:hint="eastAsia" w:ascii="宋体" w:hAnsi="宋体"/>
                <w:color w:val="auto"/>
                <w:sz w:val="21"/>
                <w:highlight w:val="none"/>
              </w:rPr>
              <w:t>合同买方）</w:t>
            </w:r>
          </w:p>
        </w:tc>
        <w:tc>
          <w:tcPr>
            <w:tcW w:w="5503" w:type="dxa"/>
            <w:gridSpan w:val="5"/>
            <w:noWrap w:val="0"/>
            <w:vAlign w:val="center"/>
          </w:tcPr>
          <w:p w14:paraId="1B11D358">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r>
      <w:tr w14:paraId="3A50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41A252B2">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序号</w:t>
            </w:r>
          </w:p>
        </w:tc>
        <w:tc>
          <w:tcPr>
            <w:tcW w:w="3202" w:type="dxa"/>
            <w:noWrap w:val="0"/>
            <w:vAlign w:val="center"/>
          </w:tcPr>
          <w:p w14:paraId="7DFCEB71">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发票名目</w:t>
            </w:r>
          </w:p>
        </w:tc>
        <w:tc>
          <w:tcPr>
            <w:tcW w:w="1416" w:type="dxa"/>
            <w:noWrap w:val="0"/>
            <w:vAlign w:val="center"/>
          </w:tcPr>
          <w:p w14:paraId="002FADF3">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发票金额（单位：万元）</w:t>
            </w:r>
          </w:p>
        </w:tc>
        <w:tc>
          <w:tcPr>
            <w:tcW w:w="1274" w:type="dxa"/>
            <w:noWrap w:val="0"/>
            <w:vAlign w:val="center"/>
          </w:tcPr>
          <w:p w14:paraId="38F35094">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发票号码</w:t>
            </w:r>
          </w:p>
        </w:tc>
        <w:tc>
          <w:tcPr>
            <w:tcW w:w="1558" w:type="dxa"/>
            <w:noWrap w:val="0"/>
            <w:vAlign w:val="center"/>
          </w:tcPr>
          <w:p w14:paraId="0EE0A611">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发票所属时期</w:t>
            </w:r>
          </w:p>
        </w:tc>
        <w:tc>
          <w:tcPr>
            <w:tcW w:w="1241" w:type="dxa"/>
            <w:noWrap w:val="0"/>
            <w:vAlign w:val="center"/>
          </w:tcPr>
          <w:p w14:paraId="25203388">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备注</w:t>
            </w:r>
          </w:p>
        </w:tc>
      </w:tr>
      <w:tr w14:paraId="2492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F8A60F8">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default" w:ascii="宋体" w:hAnsi="宋体"/>
                <w:color w:val="auto"/>
                <w:sz w:val="21"/>
                <w:szCs w:val="21"/>
                <w:highlight w:val="none"/>
              </w:rPr>
              <w:t>1</w:t>
            </w:r>
          </w:p>
        </w:tc>
        <w:tc>
          <w:tcPr>
            <w:tcW w:w="3202" w:type="dxa"/>
            <w:noWrap w:val="0"/>
            <w:vAlign w:val="center"/>
          </w:tcPr>
          <w:p w14:paraId="17EDA34F">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416" w:type="dxa"/>
            <w:noWrap w:val="0"/>
            <w:vAlign w:val="center"/>
          </w:tcPr>
          <w:p w14:paraId="5CAAF445">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274" w:type="dxa"/>
            <w:noWrap w:val="0"/>
            <w:vAlign w:val="center"/>
          </w:tcPr>
          <w:p w14:paraId="43DBA2C3">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558" w:type="dxa"/>
            <w:noWrap w:val="0"/>
            <w:vAlign w:val="center"/>
          </w:tcPr>
          <w:p w14:paraId="57FAC97E">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241" w:type="dxa"/>
            <w:noWrap w:val="0"/>
            <w:vAlign w:val="center"/>
          </w:tcPr>
          <w:p w14:paraId="554D8661">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r>
      <w:tr w14:paraId="79D4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33D0099">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default" w:ascii="宋体" w:hAnsi="宋体"/>
                <w:color w:val="auto"/>
                <w:sz w:val="21"/>
                <w:szCs w:val="21"/>
                <w:highlight w:val="none"/>
              </w:rPr>
              <w:t>2</w:t>
            </w:r>
          </w:p>
        </w:tc>
        <w:tc>
          <w:tcPr>
            <w:tcW w:w="3202" w:type="dxa"/>
            <w:noWrap w:val="0"/>
            <w:vAlign w:val="center"/>
          </w:tcPr>
          <w:p w14:paraId="3401380B">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416" w:type="dxa"/>
            <w:noWrap w:val="0"/>
            <w:vAlign w:val="center"/>
          </w:tcPr>
          <w:p w14:paraId="0785C8FA">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274" w:type="dxa"/>
            <w:noWrap w:val="0"/>
            <w:vAlign w:val="center"/>
          </w:tcPr>
          <w:p w14:paraId="4720F36E">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558" w:type="dxa"/>
            <w:noWrap w:val="0"/>
            <w:vAlign w:val="center"/>
          </w:tcPr>
          <w:p w14:paraId="4D9BA194">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241" w:type="dxa"/>
            <w:noWrap w:val="0"/>
            <w:vAlign w:val="center"/>
          </w:tcPr>
          <w:p w14:paraId="2C547026">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r>
      <w:tr w14:paraId="3CF0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1D849F3">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3</w:t>
            </w:r>
          </w:p>
        </w:tc>
        <w:tc>
          <w:tcPr>
            <w:tcW w:w="3202" w:type="dxa"/>
            <w:noWrap w:val="0"/>
            <w:vAlign w:val="center"/>
          </w:tcPr>
          <w:p w14:paraId="33F00A21">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416" w:type="dxa"/>
            <w:noWrap w:val="0"/>
            <w:vAlign w:val="center"/>
          </w:tcPr>
          <w:p w14:paraId="427562ED">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274" w:type="dxa"/>
            <w:noWrap w:val="0"/>
            <w:vAlign w:val="center"/>
          </w:tcPr>
          <w:p w14:paraId="5919576D">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558" w:type="dxa"/>
            <w:noWrap w:val="0"/>
            <w:vAlign w:val="center"/>
          </w:tcPr>
          <w:p w14:paraId="1D5FEBE3">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241" w:type="dxa"/>
            <w:noWrap w:val="0"/>
            <w:vAlign w:val="center"/>
          </w:tcPr>
          <w:p w14:paraId="15E1CFD3">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r>
      <w:tr w14:paraId="091F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E685BD0">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w:t>
            </w:r>
          </w:p>
        </w:tc>
        <w:tc>
          <w:tcPr>
            <w:tcW w:w="3202" w:type="dxa"/>
            <w:noWrap w:val="0"/>
            <w:vAlign w:val="center"/>
          </w:tcPr>
          <w:p w14:paraId="5EE80248">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416" w:type="dxa"/>
            <w:noWrap w:val="0"/>
            <w:vAlign w:val="center"/>
          </w:tcPr>
          <w:p w14:paraId="04E0CCC1">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274" w:type="dxa"/>
            <w:noWrap w:val="0"/>
            <w:vAlign w:val="center"/>
          </w:tcPr>
          <w:p w14:paraId="282D92CA">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558" w:type="dxa"/>
            <w:noWrap w:val="0"/>
            <w:vAlign w:val="center"/>
          </w:tcPr>
          <w:p w14:paraId="0E16E075">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241" w:type="dxa"/>
            <w:noWrap w:val="0"/>
            <w:vAlign w:val="center"/>
          </w:tcPr>
          <w:p w14:paraId="5B694647">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r>
      <w:tr w14:paraId="2DAC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756802CC">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发票金额合计（单位：万元）</w:t>
            </w:r>
          </w:p>
        </w:tc>
        <w:tc>
          <w:tcPr>
            <w:tcW w:w="5489" w:type="dxa"/>
            <w:gridSpan w:val="4"/>
            <w:noWrap w:val="0"/>
            <w:vAlign w:val="center"/>
          </w:tcPr>
          <w:p w14:paraId="448FC029">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r>
    </w:tbl>
    <w:p w14:paraId="42C6A0BC">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21"/>
          <w:szCs w:val="21"/>
          <w:highlight w:val="none"/>
          <w:lang w:val="en-US" w:eastAsia="zh-CN"/>
        </w:rPr>
      </w:pPr>
    </w:p>
    <w:p w14:paraId="6BA95340">
      <w:pPr>
        <w:tabs>
          <w:tab w:val="left" w:pos="567"/>
        </w:tabs>
        <w:autoSpaceDE w:val="0"/>
        <w:autoSpaceDN w:val="0"/>
        <w:adjustRightInd w:val="0"/>
        <w:spacing w:line="360" w:lineRule="auto"/>
        <w:jc w:val="left"/>
        <w:outlineLvl w:val="2"/>
        <w:rPr>
          <w:rFonts w:hint="eastAsia" w:ascii="宋体" w:hAnsi="宋体" w:eastAsia="宋体" w:cs="宋体"/>
          <w:b w:val="0"/>
          <w:bCs/>
          <w:color w:val="auto"/>
          <w:kern w:val="0"/>
          <w:sz w:val="21"/>
          <w:szCs w:val="21"/>
          <w:highlight w:val="none"/>
          <w:lang w:val="en-US" w:eastAsia="zh-CN"/>
        </w:rPr>
      </w:pPr>
      <w:bookmarkStart w:id="865" w:name="_Toc6076"/>
      <w:bookmarkStart w:id="866" w:name="_Toc6915"/>
      <w:bookmarkStart w:id="867" w:name="_Toc8408"/>
      <w:bookmarkStart w:id="868" w:name="_Toc18513"/>
      <w:bookmarkStart w:id="869" w:name="_Toc4525"/>
      <w:bookmarkStart w:id="870" w:name="_Toc2204"/>
      <w:bookmarkStart w:id="871" w:name="_Toc22278"/>
      <w:bookmarkStart w:id="872" w:name="_Toc12021"/>
      <w:r>
        <w:rPr>
          <w:rFonts w:hint="eastAsia" w:ascii="宋体" w:hAnsi="宋体" w:eastAsia="宋体" w:cs="宋体"/>
          <w:b w:val="0"/>
          <w:bCs/>
          <w:color w:val="auto"/>
          <w:kern w:val="0"/>
          <w:sz w:val="21"/>
          <w:szCs w:val="21"/>
          <w:highlight w:val="none"/>
          <w:lang w:val="en-US" w:eastAsia="zh-CN"/>
        </w:rPr>
        <w:t>备注：</w:t>
      </w:r>
      <w:bookmarkEnd w:id="865"/>
      <w:bookmarkEnd w:id="866"/>
      <w:bookmarkEnd w:id="867"/>
      <w:bookmarkEnd w:id="868"/>
      <w:bookmarkEnd w:id="869"/>
      <w:bookmarkEnd w:id="870"/>
      <w:bookmarkEnd w:id="871"/>
      <w:bookmarkEnd w:id="872"/>
    </w:p>
    <w:p w14:paraId="05908719">
      <w:pPr>
        <w:tabs>
          <w:tab w:val="left" w:pos="567"/>
        </w:tabs>
        <w:autoSpaceDE w:val="0"/>
        <w:autoSpaceDN w:val="0"/>
        <w:adjustRightInd w:val="0"/>
        <w:spacing w:line="360" w:lineRule="auto"/>
        <w:jc w:val="left"/>
        <w:outlineLvl w:val="2"/>
        <w:rPr>
          <w:rFonts w:hint="eastAsia" w:ascii="宋体" w:hAnsi="宋体" w:eastAsia="宋体" w:cs="宋体"/>
          <w:b w:val="0"/>
          <w:bCs/>
          <w:color w:val="auto"/>
          <w:kern w:val="0"/>
          <w:sz w:val="21"/>
          <w:szCs w:val="21"/>
          <w:highlight w:val="none"/>
          <w:lang w:val="en-US" w:eastAsia="zh-CN"/>
        </w:rPr>
      </w:pPr>
      <w:bookmarkStart w:id="873" w:name="_Toc9974"/>
      <w:bookmarkStart w:id="874" w:name="_Toc30632"/>
      <w:bookmarkStart w:id="875" w:name="_Toc23284"/>
      <w:bookmarkStart w:id="876" w:name="_Toc13421"/>
      <w:bookmarkStart w:id="877" w:name="_Toc13245"/>
      <w:bookmarkStart w:id="878" w:name="_Toc1657"/>
      <w:bookmarkStart w:id="879" w:name="_Toc30492"/>
      <w:bookmarkStart w:id="880" w:name="_Toc21896"/>
      <w:r>
        <w:rPr>
          <w:rFonts w:hint="eastAsia" w:ascii="宋体" w:hAnsi="宋体" w:eastAsia="宋体" w:cs="宋体"/>
          <w:b w:val="0"/>
          <w:bCs/>
          <w:color w:val="auto"/>
          <w:kern w:val="0"/>
          <w:sz w:val="21"/>
          <w:szCs w:val="21"/>
          <w:highlight w:val="none"/>
          <w:lang w:val="en-US" w:eastAsia="zh-CN"/>
        </w:rPr>
        <w:t>（1）本统计表及供货发票复印件应后附于合同复印件；</w:t>
      </w:r>
      <w:bookmarkEnd w:id="873"/>
      <w:bookmarkEnd w:id="874"/>
      <w:bookmarkEnd w:id="875"/>
      <w:bookmarkEnd w:id="876"/>
      <w:bookmarkEnd w:id="877"/>
      <w:bookmarkEnd w:id="878"/>
      <w:bookmarkEnd w:id="879"/>
      <w:bookmarkEnd w:id="880"/>
    </w:p>
    <w:p w14:paraId="5D9A81D5">
      <w:pPr>
        <w:tabs>
          <w:tab w:val="left" w:pos="567"/>
        </w:tabs>
        <w:autoSpaceDE w:val="0"/>
        <w:autoSpaceDN w:val="0"/>
        <w:adjustRightInd w:val="0"/>
        <w:spacing w:line="360" w:lineRule="auto"/>
        <w:ind w:left="420" w:hanging="420" w:hangingChars="200"/>
        <w:jc w:val="left"/>
        <w:outlineLvl w:val="2"/>
        <w:rPr>
          <w:rFonts w:hint="eastAsia" w:ascii="宋体" w:hAnsi="宋体" w:eastAsia="宋体" w:cs="宋体"/>
          <w:b w:val="0"/>
          <w:bCs/>
          <w:color w:val="auto"/>
          <w:kern w:val="0"/>
          <w:sz w:val="21"/>
          <w:szCs w:val="21"/>
          <w:highlight w:val="none"/>
          <w:lang w:val="en-US" w:eastAsia="zh-CN"/>
        </w:rPr>
      </w:pPr>
      <w:bookmarkStart w:id="881" w:name="_Toc85"/>
      <w:bookmarkStart w:id="882" w:name="_Toc17367"/>
      <w:bookmarkStart w:id="883" w:name="_Toc29856"/>
      <w:bookmarkStart w:id="884" w:name="_Toc26479"/>
      <w:bookmarkStart w:id="885" w:name="_Toc28449"/>
      <w:bookmarkStart w:id="886" w:name="_Toc28598"/>
      <w:bookmarkStart w:id="887" w:name="_Toc29203"/>
      <w:bookmarkStart w:id="888" w:name="_Toc17208"/>
      <w:r>
        <w:rPr>
          <w:rFonts w:hint="eastAsia" w:ascii="宋体" w:hAnsi="宋体" w:eastAsia="宋体" w:cs="宋体"/>
          <w:b w:val="0"/>
          <w:bCs/>
          <w:color w:val="auto"/>
          <w:kern w:val="0"/>
          <w:sz w:val="21"/>
          <w:szCs w:val="21"/>
          <w:highlight w:val="none"/>
          <w:lang w:val="en-US" w:eastAsia="zh-CN"/>
        </w:rPr>
        <w:t>（2）发票抬头应为合同买方，收款人应为合同卖方，且发票名目、所属时期应与合同约定内容一致，否则不计分。</w:t>
      </w:r>
      <w:bookmarkEnd w:id="881"/>
      <w:bookmarkEnd w:id="882"/>
      <w:bookmarkEnd w:id="883"/>
      <w:bookmarkEnd w:id="884"/>
      <w:bookmarkEnd w:id="885"/>
      <w:bookmarkEnd w:id="886"/>
      <w:bookmarkEnd w:id="887"/>
      <w:bookmarkEnd w:id="888"/>
    </w:p>
    <w:p w14:paraId="546A8D9E">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7A06E710">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p w14:paraId="3903A061">
      <w:pPr>
        <w:rPr>
          <w:rFonts w:ascii="宋体" w:hAnsi="宋体" w:eastAsia="宋体" w:cs="宋体"/>
          <w:b/>
          <w:bCs/>
          <w:color w:val="auto"/>
          <w:kern w:val="0"/>
          <w:sz w:val="32"/>
          <w:szCs w:val="32"/>
          <w:highlight w:val="none"/>
          <w:lang w:val="zh-CN"/>
        </w:rPr>
      </w:pPr>
    </w:p>
    <w:p w14:paraId="49ADEFE9">
      <w:pPr>
        <w:rPr>
          <w:rFonts w:hint="eastAsia" w:ascii="宋体" w:hAnsi="宋体" w:eastAsia="宋体" w:cs="宋体"/>
          <w:b/>
          <w:bCs/>
          <w:color w:val="auto"/>
          <w:kern w:val="0"/>
          <w:sz w:val="32"/>
          <w:szCs w:val="32"/>
          <w:highlight w:val="none"/>
          <w:lang w:val="en-US" w:eastAsia="zh-CN"/>
        </w:rPr>
      </w:pPr>
      <w:bookmarkStart w:id="889" w:name="_Toc28042"/>
      <w:bookmarkStart w:id="890" w:name="_Toc195714398"/>
      <w:r>
        <w:rPr>
          <w:rFonts w:hint="eastAsia" w:ascii="宋体" w:hAnsi="宋体" w:eastAsia="宋体" w:cs="宋体"/>
          <w:b/>
          <w:bCs/>
          <w:color w:val="auto"/>
          <w:kern w:val="0"/>
          <w:sz w:val="32"/>
          <w:szCs w:val="32"/>
          <w:highlight w:val="none"/>
          <w:lang w:val="en-US" w:eastAsia="zh-CN"/>
        </w:rPr>
        <w:br w:type="page"/>
      </w:r>
    </w:p>
    <w:p w14:paraId="790E21F4">
      <w:pPr>
        <w:tabs>
          <w:tab w:val="left" w:pos="567"/>
        </w:tabs>
        <w:autoSpaceDE w:val="0"/>
        <w:autoSpaceDN w:val="0"/>
        <w:adjustRightInd w:val="0"/>
        <w:spacing w:line="360" w:lineRule="auto"/>
        <w:ind w:left="357" w:leftChars="-100" w:hanging="567"/>
        <w:jc w:val="left"/>
        <w:outlineLvl w:val="3"/>
        <w:rPr>
          <w:rFonts w:ascii="宋体" w:hAnsi="宋体" w:eastAsia="宋体" w:cs="宋体"/>
          <w:b/>
          <w:color w:val="auto"/>
          <w:kern w:val="0"/>
          <w:sz w:val="32"/>
          <w:szCs w:val="32"/>
          <w:highlight w:val="none"/>
        </w:rPr>
        <w:sectPr>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bCs/>
          <w:color w:val="auto"/>
          <w:kern w:val="0"/>
          <w:sz w:val="32"/>
          <w:szCs w:val="32"/>
          <w:highlight w:val="none"/>
          <w:lang w:val="en-US" w:eastAsia="zh-CN"/>
        </w:rPr>
        <w:t>九</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bookmarkEnd w:id="846"/>
      <w:bookmarkEnd w:id="847"/>
      <w:bookmarkEnd w:id="848"/>
      <w:bookmarkEnd w:id="849"/>
      <w:bookmarkEnd w:id="850"/>
      <w:bookmarkEnd w:id="851"/>
      <w:bookmarkEnd w:id="852"/>
      <w:bookmarkEnd w:id="853"/>
      <w:bookmarkEnd w:id="854"/>
      <w:bookmarkEnd w:id="855"/>
      <w:bookmarkEnd w:id="889"/>
      <w:bookmarkEnd w:id="890"/>
    </w:p>
    <w:p w14:paraId="3DCA74A2">
      <w:pPr>
        <w:keepNext w:val="0"/>
        <w:keepLines w:val="0"/>
        <w:pageBreakBefore w:val="0"/>
        <w:widowControl w:val="0"/>
        <w:kinsoku/>
        <w:wordWrap/>
        <w:overflowPunct/>
        <w:topLinePunct w:val="0"/>
        <w:autoSpaceDE/>
        <w:autoSpaceDN/>
        <w:bidi w:val="0"/>
        <w:adjustRightInd/>
        <w:snapToGrid/>
        <w:jc w:val="center"/>
        <w:textAlignment w:val="auto"/>
        <w:outlineLvl w:val="3"/>
        <w:rPr>
          <w:rFonts w:ascii="宋体" w:hAnsi="宋体" w:eastAsia="宋体" w:cs="宋体"/>
          <w:b/>
          <w:color w:val="auto"/>
          <w:kern w:val="0"/>
          <w:sz w:val="32"/>
          <w:szCs w:val="32"/>
          <w:highlight w:val="none"/>
        </w:rPr>
      </w:pPr>
      <w:bookmarkStart w:id="891" w:name="_Toc195714399"/>
      <w:bookmarkStart w:id="892" w:name="_Toc4972"/>
      <w:bookmarkStart w:id="893" w:name="_Toc102860429"/>
      <w:bookmarkStart w:id="894" w:name="_Toc104991887"/>
      <w:bookmarkStart w:id="895" w:name="_Toc27482"/>
      <w:bookmarkStart w:id="896" w:name="_Toc31916"/>
      <w:bookmarkStart w:id="897" w:name="_Toc142508380"/>
      <w:bookmarkStart w:id="898" w:name="_Toc140596940"/>
      <w:bookmarkStart w:id="899" w:name="_Toc1977739"/>
      <w:bookmarkStart w:id="900" w:name="_Toc102860085"/>
      <w:bookmarkStart w:id="901" w:name="_Toc18038"/>
      <w:bookmarkStart w:id="902" w:name="_Toc94107222"/>
      <w:r>
        <w:rPr>
          <w:rFonts w:hint="eastAsia" w:ascii="宋体" w:hAnsi="宋体" w:eastAsia="宋体" w:cs="宋体"/>
          <w:b/>
          <w:color w:val="auto"/>
          <w:kern w:val="0"/>
          <w:sz w:val="32"/>
          <w:szCs w:val="32"/>
          <w:highlight w:val="none"/>
        </w:rPr>
        <w:t>二  技术标格式</w:t>
      </w:r>
      <w:bookmarkEnd w:id="891"/>
      <w:bookmarkEnd w:id="892"/>
    </w:p>
    <w:p w14:paraId="6A1A1EEF">
      <w:pPr>
        <w:jc w:val="left"/>
        <w:rPr>
          <w:rFonts w:ascii="宋体" w:hAnsi="宋体" w:eastAsia="宋体" w:cs="宋体"/>
          <w:b/>
          <w:color w:val="auto"/>
          <w:kern w:val="0"/>
          <w:sz w:val="32"/>
          <w:szCs w:val="32"/>
          <w:highlight w:val="none"/>
        </w:rPr>
      </w:pPr>
    </w:p>
    <w:bookmarkEnd w:id="856"/>
    <w:bookmarkEnd w:id="893"/>
    <w:bookmarkEnd w:id="894"/>
    <w:bookmarkEnd w:id="895"/>
    <w:bookmarkEnd w:id="896"/>
    <w:bookmarkEnd w:id="897"/>
    <w:bookmarkEnd w:id="898"/>
    <w:bookmarkEnd w:id="899"/>
    <w:bookmarkEnd w:id="900"/>
    <w:bookmarkEnd w:id="901"/>
    <w:bookmarkEnd w:id="902"/>
    <w:p w14:paraId="1E346C65">
      <w:pPr>
        <w:pStyle w:val="21"/>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br w:type="page"/>
      </w:r>
      <w:bookmarkEnd w:id="857"/>
      <w:bookmarkStart w:id="903" w:name="_Toc1977740"/>
      <w:bookmarkStart w:id="904" w:name="_Toc104991888"/>
      <w:bookmarkStart w:id="905" w:name="_Toc533708135"/>
      <w:bookmarkStart w:id="906" w:name="_Toc102860086"/>
      <w:bookmarkStart w:id="907" w:name="_Toc140596941"/>
      <w:bookmarkStart w:id="908" w:name="_Toc142508381"/>
      <w:bookmarkStart w:id="909" w:name="_Toc94107223"/>
      <w:bookmarkStart w:id="910" w:name="_Toc102860430"/>
    </w:p>
    <w:p w14:paraId="6C4CF67C">
      <w:pPr>
        <w:pStyle w:val="21"/>
        <w:spacing w:line="360" w:lineRule="auto"/>
        <w:jc w:val="center"/>
        <w:rPr>
          <w:rFonts w:ascii="宋体" w:hAnsi="宋体" w:cs="宋体"/>
          <w:b/>
          <w:color w:val="auto"/>
          <w:kern w:val="0"/>
          <w:szCs w:val="21"/>
          <w:highlight w:val="none"/>
        </w:rPr>
      </w:pPr>
    </w:p>
    <w:p w14:paraId="592472B5">
      <w:pPr>
        <w:pStyle w:val="21"/>
        <w:spacing w:line="360" w:lineRule="auto"/>
        <w:jc w:val="center"/>
        <w:rPr>
          <w:rFonts w:ascii="宋体" w:hAnsi="宋体" w:cs="宋体"/>
          <w:b/>
          <w:color w:val="auto"/>
          <w:kern w:val="0"/>
          <w:szCs w:val="21"/>
          <w:highlight w:val="none"/>
        </w:rPr>
      </w:pPr>
    </w:p>
    <w:p w14:paraId="56AA6338">
      <w:pPr>
        <w:pStyle w:val="21"/>
        <w:spacing w:line="360" w:lineRule="auto"/>
        <w:jc w:val="center"/>
        <w:rPr>
          <w:rFonts w:ascii="宋体" w:hAnsi="宋体" w:cs="宋体"/>
          <w:b/>
          <w:color w:val="auto"/>
          <w:kern w:val="0"/>
          <w:szCs w:val="21"/>
          <w:highlight w:val="none"/>
        </w:rPr>
      </w:pPr>
    </w:p>
    <w:p w14:paraId="41EE98ED">
      <w:pPr>
        <w:pStyle w:val="21"/>
        <w:spacing w:line="360" w:lineRule="auto"/>
        <w:jc w:val="center"/>
        <w:rPr>
          <w:rFonts w:ascii="宋体" w:hAnsi="宋体" w:cs="宋体"/>
          <w:b/>
          <w:color w:val="auto"/>
          <w:kern w:val="0"/>
          <w:szCs w:val="21"/>
          <w:highlight w:val="none"/>
        </w:rPr>
      </w:pPr>
    </w:p>
    <w:p w14:paraId="22A34EB0">
      <w:pPr>
        <w:pStyle w:val="21"/>
        <w:spacing w:line="360" w:lineRule="auto"/>
        <w:jc w:val="center"/>
        <w:rPr>
          <w:rFonts w:ascii="宋体" w:hAnsi="宋体" w:cs="宋体"/>
          <w:b/>
          <w:color w:val="auto"/>
          <w:kern w:val="0"/>
          <w:szCs w:val="21"/>
          <w:highlight w:val="none"/>
        </w:rPr>
      </w:pPr>
    </w:p>
    <w:p w14:paraId="20EFB520">
      <w:pPr>
        <w:pStyle w:val="21"/>
        <w:spacing w:line="360" w:lineRule="auto"/>
        <w:jc w:val="center"/>
        <w:rPr>
          <w:rFonts w:ascii="宋体" w:hAnsi="宋体" w:cs="宋体"/>
          <w:b/>
          <w:color w:val="auto"/>
          <w:kern w:val="0"/>
          <w:szCs w:val="21"/>
          <w:highlight w:val="none"/>
        </w:rPr>
      </w:pPr>
    </w:p>
    <w:p w14:paraId="5A86C76B">
      <w:pPr>
        <w:pStyle w:val="21"/>
        <w:spacing w:line="360" w:lineRule="auto"/>
        <w:jc w:val="center"/>
        <w:rPr>
          <w:rFonts w:ascii="宋体" w:hAnsi="宋体" w:cs="宋体"/>
          <w:b/>
          <w:color w:val="auto"/>
          <w:kern w:val="0"/>
          <w:szCs w:val="21"/>
          <w:highlight w:val="none"/>
        </w:rPr>
      </w:pPr>
    </w:p>
    <w:p w14:paraId="0D277D53">
      <w:pPr>
        <w:pStyle w:val="21"/>
        <w:spacing w:line="360" w:lineRule="auto"/>
        <w:jc w:val="center"/>
        <w:rPr>
          <w:rFonts w:ascii="宋体" w:hAnsi="宋体" w:cs="宋体"/>
          <w:b/>
          <w:color w:val="auto"/>
          <w:kern w:val="0"/>
          <w:szCs w:val="21"/>
          <w:highlight w:val="none"/>
        </w:rPr>
      </w:pPr>
    </w:p>
    <w:p w14:paraId="461DBB76">
      <w:pPr>
        <w:pStyle w:val="21"/>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23BCFFC0">
      <w:pPr>
        <w:pStyle w:val="21"/>
        <w:spacing w:line="360" w:lineRule="auto"/>
        <w:rPr>
          <w:rFonts w:ascii="宋体" w:hAnsi="宋体" w:cs="宋体"/>
          <w:color w:val="auto"/>
          <w:highlight w:val="none"/>
        </w:rPr>
      </w:pPr>
    </w:p>
    <w:p w14:paraId="3B805A43">
      <w:pPr>
        <w:pStyle w:val="21"/>
        <w:spacing w:line="360" w:lineRule="auto"/>
        <w:rPr>
          <w:rFonts w:ascii="宋体" w:hAnsi="宋体" w:cs="宋体"/>
          <w:color w:val="auto"/>
          <w:highlight w:val="none"/>
        </w:rPr>
      </w:pPr>
    </w:p>
    <w:p w14:paraId="7D013E34">
      <w:pPr>
        <w:pStyle w:val="21"/>
        <w:spacing w:line="360" w:lineRule="auto"/>
        <w:rPr>
          <w:rFonts w:ascii="宋体" w:hAnsi="宋体" w:cs="宋体"/>
          <w:color w:val="auto"/>
          <w:highlight w:val="none"/>
        </w:rPr>
      </w:pPr>
    </w:p>
    <w:p w14:paraId="219E3CCC">
      <w:pPr>
        <w:pStyle w:val="21"/>
        <w:spacing w:line="360" w:lineRule="auto"/>
        <w:rPr>
          <w:rFonts w:ascii="宋体" w:hAnsi="宋体" w:cs="宋体"/>
          <w:color w:val="auto"/>
          <w:highlight w:val="none"/>
        </w:rPr>
      </w:pPr>
    </w:p>
    <w:p w14:paraId="66ECEA31">
      <w:pPr>
        <w:pStyle w:val="21"/>
        <w:spacing w:line="360" w:lineRule="auto"/>
        <w:rPr>
          <w:rFonts w:ascii="宋体" w:hAnsi="宋体" w:cs="宋体"/>
          <w:color w:val="auto"/>
          <w:highlight w:val="none"/>
        </w:rPr>
      </w:pPr>
    </w:p>
    <w:p w14:paraId="01EC33C3">
      <w:pPr>
        <w:pStyle w:val="21"/>
        <w:spacing w:line="360" w:lineRule="auto"/>
        <w:rPr>
          <w:rFonts w:ascii="宋体" w:hAnsi="宋体" w:cs="宋体"/>
          <w:color w:val="auto"/>
          <w:highlight w:val="none"/>
        </w:rPr>
      </w:pPr>
    </w:p>
    <w:p w14:paraId="4AAC821A">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407480E2">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79664049">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投标文件技术标 </w:t>
      </w:r>
    </w:p>
    <w:p w14:paraId="6D71BA83">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4E8C5E01">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2AB70252">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233B39EA">
      <w:pPr>
        <w:pStyle w:val="21"/>
        <w:spacing w:line="360" w:lineRule="auto"/>
        <w:rPr>
          <w:rFonts w:ascii="宋体" w:hAnsi="宋体" w:cs="宋体"/>
          <w:color w:val="auto"/>
          <w:highlight w:val="none"/>
        </w:rPr>
      </w:pPr>
    </w:p>
    <w:p w14:paraId="01E7F613">
      <w:pPr>
        <w:pStyle w:val="21"/>
        <w:spacing w:line="360" w:lineRule="auto"/>
        <w:rPr>
          <w:rFonts w:ascii="宋体" w:hAnsi="宋体" w:cs="宋体"/>
          <w:color w:val="auto"/>
          <w:highlight w:val="none"/>
        </w:rPr>
      </w:pPr>
      <w:r>
        <w:rPr>
          <w:rFonts w:hint="eastAsia" w:ascii="宋体" w:hAnsi="宋体" w:cs="宋体"/>
          <w:color w:val="auto"/>
          <w:highlight w:val="none"/>
        </w:rPr>
        <w:br w:type="page"/>
      </w:r>
    </w:p>
    <w:p w14:paraId="2E83F23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center"/>
        <w:textAlignment w:val="auto"/>
        <w:outlineLvl w:val="3"/>
        <w:rPr>
          <w:rFonts w:ascii="宋体" w:hAnsi="宋体" w:eastAsia="宋体" w:cs="宋体"/>
          <w:b/>
          <w:color w:val="auto"/>
          <w:kern w:val="0"/>
          <w:sz w:val="24"/>
          <w:szCs w:val="24"/>
          <w:highlight w:val="none"/>
        </w:rPr>
      </w:pPr>
      <w:bookmarkStart w:id="911" w:name="_Toc14054"/>
      <w:bookmarkStart w:id="912" w:name="_Toc195714400"/>
      <w:r>
        <w:rPr>
          <w:rFonts w:hint="eastAsia" w:ascii="宋体" w:hAnsi="宋体" w:eastAsia="宋体" w:cs="宋体"/>
          <w:b/>
          <w:color w:val="auto"/>
          <w:kern w:val="0"/>
          <w:sz w:val="24"/>
          <w:szCs w:val="24"/>
          <w:highlight w:val="none"/>
        </w:rPr>
        <w:t>目录</w:t>
      </w:r>
      <w:bookmarkEnd w:id="911"/>
      <w:bookmarkEnd w:id="912"/>
    </w:p>
    <w:p w14:paraId="2426B8A9">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一、用户需求的响应程度；</w:t>
      </w:r>
    </w:p>
    <w:p w14:paraId="549CBF30">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1、投标人所投产品DN15-DN50旋翼式远传水表需具有计量器具型式批准证书（须提供有效期内的证书扫描件）；</w:t>
      </w:r>
    </w:p>
    <w:p w14:paraId="0F480789">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2、关于“★2.2.14”条款的承诺函（投标人自行编写）；</w:t>
      </w:r>
    </w:p>
    <w:p w14:paraId="0437238A">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3、关于“★2.3.8”条款的承诺函（投标人自行编写）；</w:t>
      </w:r>
    </w:p>
    <w:p w14:paraId="2BA98355">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4、关于“★2.3.11”条款的承诺函（投标人自行编写）；</w:t>
      </w:r>
    </w:p>
    <w:p w14:paraId="750B8D6A">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5、关于“★2.3.12”条款的承诺函（投标人自行编写）；</w:t>
      </w:r>
    </w:p>
    <w:p w14:paraId="28A72674">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6、关于“▲2.3.5”条款的证明材料（投标人投标阶段需就上述事项提供相关水表用户使用情况及证明材料）；</w:t>
      </w:r>
    </w:p>
    <w:p w14:paraId="4E8715C2">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二、供货货物清单表（货物明细中包含的货物名称、品牌、产地、规格、型号、数量的内容）；</w:t>
      </w:r>
    </w:p>
    <w:p w14:paraId="2419277F">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三、研发能力及产品先进性的证明材料；</w:t>
      </w:r>
    </w:p>
    <w:p w14:paraId="2E24D36C">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四、投标产品的设计及性能的证明材料；</w:t>
      </w:r>
    </w:p>
    <w:p w14:paraId="2D28D9B8">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五、生产制造能力的证明材料；</w:t>
      </w:r>
    </w:p>
    <w:p w14:paraId="3CED5BBE">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、售后服务方案；</w:t>
      </w:r>
    </w:p>
    <w:p w14:paraId="3AC89947">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投标人认为有必要提供的其它材料（不做强制要求）。</w:t>
      </w:r>
    </w:p>
    <w:p w14:paraId="27BBCEC2">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884E13B">
      <w:pPr>
        <w:tabs>
          <w:tab w:val="left" w:pos="567"/>
        </w:tabs>
        <w:autoSpaceDE w:val="0"/>
        <w:autoSpaceDN w:val="0"/>
        <w:adjustRightInd w:val="0"/>
        <w:spacing w:line="360" w:lineRule="auto"/>
        <w:jc w:val="left"/>
        <w:outlineLvl w:val="3"/>
        <w:rPr>
          <w:rFonts w:ascii="宋体" w:hAnsi="宋体" w:eastAsia="宋体" w:cs="宋体"/>
          <w:b/>
          <w:color w:val="auto"/>
          <w:kern w:val="0"/>
          <w:sz w:val="30"/>
          <w:szCs w:val="30"/>
          <w:highlight w:val="none"/>
        </w:rPr>
      </w:pPr>
      <w:bookmarkStart w:id="913" w:name="_Toc30448"/>
      <w:bookmarkStart w:id="914" w:name="_Toc24129"/>
      <w:bookmarkStart w:id="915" w:name="_Toc27934"/>
      <w:bookmarkStart w:id="916" w:name="_Toc195714401"/>
      <w:bookmarkStart w:id="917" w:name="_Toc18999"/>
      <w:r>
        <w:rPr>
          <w:rFonts w:hint="eastAsia" w:ascii="宋体" w:hAnsi="宋体" w:eastAsia="宋体" w:cs="宋体"/>
          <w:b/>
          <w:color w:val="auto"/>
          <w:kern w:val="0"/>
          <w:sz w:val="30"/>
          <w:szCs w:val="30"/>
          <w:highlight w:val="none"/>
        </w:rPr>
        <w:t>一、</w:t>
      </w:r>
      <w:bookmarkEnd w:id="903"/>
      <w:bookmarkEnd w:id="904"/>
      <w:bookmarkEnd w:id="905"/>
      <w:bookmarkEnd w:id="906"/>
      <w:bookmarkEnd w:id="907"/>
      <w:bookmarkEnd w:id="908"/>
      <w:bookmarkEnd w:id="909"/>
      <w:bookmarkEnd w:id="910"/>
      <w:bookmarkEnd w:id="913"/>
      <w:bookmarkEnd w:id="914"/>
      <w:bookmarkEnd w:id="915"/>
      <w:bookmarkEnd w:id="916"/>
      <w:bookmarkEnd w:id="917"/>
      <w:r>
        <w:rPr>
          <w:rFonts w:hint="eastAsia" w:ascii="宋体" w:hAnsi="宋体" w:eastAsia="宋体" w:cs="宋体"/>
          <w:b/>
          <w:color w:val="auto"/>
          <w:kern w:val="0"/>
          <w:sz w:val="30"/>
          <w:szCs w:val="30"/>
          <w:highlight w:val="none"/>
        </w:rPr>
        <w:t>用户需求的响应程度</w:t>
      </w:r>
    </w:p>
    <w:p w14:paraId="753E92A8">
      <w:pPr>
        <w:spacing w:before="120" w:after="120" w:line="360" w:lineRule="auto"/>
        <w:jc w:val="both"/>
        <w:rPr>
          <w:rFonts w:hint="eastAsia" w:ascii="宋体" w:hAnsi="宋体" w:eastAsia="宋体" w:cs="宋体"/>
          <w:b/>
          <w:color w:val="auto"/>
          <w:kern w:val="0"/>
          <w:sz w:val="30"/>
          <w:szCs w:val="30"/>
          <w:highlight w:val="none"/>
          <w:lang w:val="zh-CN"/>
        </w:rPr>
      </w:pPr>
      <w:bookmarkStart w:id="918" w:name="_Toc17449_WPSOffice_Level3"/>
      <w:r>
        <w:rPr>
          <w:rFonts w:hint="eastAsia" w:ascii="宋体" w:hAnsi="宋体" w:eastAsia="宋体" w:cs="宋体"/>
          <w:b/>
          <w:color w:val="auto"/>
          <w:kern w:val="0"/>
          <w:sz w:val="30"/>
          <w:szCs w:val="30"/>
          <w:highlight w:val="none"/>
          <w:lang w:val="en-US" w:eastAsia="zh-CN"/>
        </w:rPr>
        <w:t xml:space="preserve">1-1 </w:t>
      </w:r>
      <w:r>
        <w:rPr>
          <w:rFonts w:hint="eastAsia" w:ascii="宋体" w:hAnsi="宋体" w:eastAsia="宋体" w:cs="宋体"/>
          <w:b/>
          <w:color w:val="auto"/>
          <w:kern w:val="0"/>
          <w:sz w:val="30"/>
          <w:szCs w:val="30"/>
          <w:highlight w:val="none"/>
          <w:lang w:val="zh-CN"/>
        </w:rPr>
        <w:t>用户需求偏离表</w:t>
      </w:r>
    </w:p>
    <w:p w14:paraId="19C2E2F7">
      <w:pPr>
        <w:spacing w:before="120" w:after="120"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kern w:val="0"/>
          <w:sz w:val="30"/>
          <w:szCs w:val="30"/>
          <w:highlight w:val="none"/>
          <w:lang w:val="zh-CN"/>
        </w:rPr>
        <w:t>用户需求偏离表</w:t>
      </w:r>
      <w:bookmarkEnd w:id="918"/>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952"/>
        <w:gridCol w:w="4578"/>
        <w:gridCol w:w="600"/>
        <w:gridCol w:w="2824"/>
        <w:gridCol w:w="838"/>
      </w:tblGrid>
      <w:tr w14:paraId="49ED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8" w:type="pct"/>
            <w:vMerge w:val="restart"/>
            <w:vAlign w:val="center"/>
          </w:tcPr>
          <w:p w14:paraId="256BA77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2666" w:type="pct"/>
            <w:gridSpan w:val="2"/>
            <w:vAlign w:val="center"/>
          </w:tcPr>
          <w:p w14:paraId="755D608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054" w:type="pct"/>
            <w:gridSpan w:val="3"/>
            <w:vAlign w:val="center"/>
          </w:tcPr>
          <w:p w14:paraId="1400846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3788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8" w:type="pct"/>
            <w:vMerge w:val="continue"/>
            <w:vAlign w:val="center"/>
          </w:tcPr>
          <w:p w14:paraId="325273B1">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 w:val="18"/>
                <w:szCs w:val="18"/>
                <w:highlight w:val="none"/>
              </w:rPr>
            </w:pPr>
          </w:p>
        </w:tc>
        <w:tc>
          <w:tcPr>
            <w:tcW w:w="459" w:type="pct"/>
            <w:vAlign w:val="center"/>
          </w:tcPr>
          <w:p w14:paraId="1ED95BB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2207" w:type="pct"/>
            <w:vAlign w:val="center"/>
          </w:tcPr>
          <w:p w14:paraId="5FD45B5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289" w:type="pct"/>
            <w:vAlign w:val="center"/>
          </w:tcPr>
          <w:p w14:paraId="776C5A2B">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361" w:type="pct"/>
            <w:vAlign w:val="center"/>
          </w:tcPr>
          <w:p w14:paraId="75A46E27">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404" w:type="pct"/>
            <w:vAlign w:val="center"/>
          </w:tcPr>
          <w:p w14:paraId="408D8A8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135F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78" w:type="pct"/>
            <w:vAlign w:val="center"/>
          </w:tcPr>
          <w:p w14:paraId="16CC355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bookmarkStart w:id="919" w:name="_Toc195714402"/>
            <w:bookmarkStart w:id="920" w:name="_Toc32583"/>
            <w:r>
              <w:rPr>
                <w:rFonts w:hint="eastAsia" w:ascii="宋体" w:hAnsi="宋体" w:eastAsia="宋体" w:cs="宋体"/>
                <w:color w:val="auto"/>
                <w:kern w:val="0"/>
                <w:sz w:val="18"/>
                <w:szCs w:val="18"/>
                <w:highlight w:val="none"/>
                <w:lang w:val="en-US" w:eastAsia="zh-CN"/>
              </w:rPr>
              <w:t>1</w:t>
            </w:r>
          </w:p>
        </w:tc>
        <w:tc>
          <w:tcPr>
            <w:tcW w:w="459" w:type="pct"/>
            <w:vAlign w:val="center"/>
          </w:tcPr>
          <w:p w14:paraId="3BCA338E">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w:t>
            </w:r>
          </w:p>
        </w:tc>
        <w:tc>
          <w:tcPr>
            <w:tcW w:w="2207" w:type="pct"/>
            <w:vAlign w:val="center"/>
          </w:tcPr>
          <w:p w14:paraId="03291B22">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eastAsia" w:ascii="宋体" w:hAnsi="宋体" w:eastAsia="宋体"/>
                <w:color w:val="auto"/>
                <w:sz w:val="18"/>
                <w:szCs w:val="18"/>
                <w:highlight w:val="none"/>
              </w:rPr>
              <w:t>项目概况</w:t>
            </w:r>
          </w:p>
        </w:tc>
        <w:tc>
          <w:tcPr>
            <w:tcW w:w="289" w:type="pct"/>
            <w:vAlign w:val="center"/>
          </w:tcPr>
          <w:p w14:paraId="63C732F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01D3924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3EC53DC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4263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5F11E34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459" w:type="pct"/>
            <w:vAlign w:val="center"/>
          </w:tcPr>
          <w:p w14:paraId="443D3A09">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一</w:t>
            </w:r>
          </w:p>
        </w:tc>
        <w:tc>
          <w:tcPr>
            <w:tcW w:w="2207" w:type="pct"/>
            <w:vAlign w:val="center"/>
          </w:tcPr>
          <w:p w14:paraId="4F03CE06">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总体要求</w:t>
            </w:r>
          </w:p>
        </w:tc>
        <w:tc>
          <w:tcPr>
            <w:tcW w:w="289" w:type="pct"/>
            <w:vAlign w:val="center"/>
          </w:tcPr>
          <w:p w14:paraId="4E1165A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276CBA5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2E080AB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3ED4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169D19E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65019F20">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7D94F250">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水表技术要求</w:t>
            </w:r>
          </w:p>
        </w:tc>
        <w:tc>
          <w:tcPr>
            <w:tcW w:w="289" w:type="pct"/>
            <w:vAlign w:val="center"/>
          </w:tcPr>
          <w:p w14:paraId="2ED3E23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1A93CC2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64BDB6F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7C18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21FD269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0A89E9E0">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三</w:t>
            </w:r>
          </w:p>
        </w:tc>
        <w:tc>
          <w:tcPr>
            <w:tcW w:w="2207" w:type="pct"/>
            <w:vAlign w:val="center"/>
          </w:tcPr>
          <w:p w14:paraId="70010002">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物联网终端传输规约要求</w:t>
            </w:r>
          </w:p>
        </w:tc>
        <w:tc>
          <w:tcPr>
            <w:tcW w:w="289" w:type="pct"/>
            <w:vAlign w:val="center"/>
          </w:tcPr>
          <w:p w14:paraId="195800B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06E667D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5F422DA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261F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0F12AFE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43CA8EF7">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四</w:t>
            </w:r>
          </w:p>
        </w:tc>
        <w:tc>
          <w:tcPr>
            <w:tcW w:w="2207" w:type="pct"/>
            <w:vAlign w:val="center"/>
          </w:tcPr>
          <w:p w14:paraId="0103E898">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售后服务及质保期</w:t>
            </w:r>
          </w:p>
        </w:tc>
        <w:tc>
          <w:tcPr>
            <w:tcW w:w="289" w:type="pct"/>
            <w:vAlign w:val="center"/>
          </w:tcPr>
          <w:p w14:paraId="19F157E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4789307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22B3325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770B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65A44E7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1145956D">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五</w:t>
            </w:r>
          </w:p>
        </w:tc>
        <w:tc>
          <w:tcPr>
            <w:tcW w:w="2207" w:type="pct"/>
            <w:vAlign w:val="center"/>
          </w:tcPr>
          <w:p w14:paraId="79C3F6B5">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货款结算方式</w:t>
            </w:r>
          </w:p>
        </w:tc>
        <w:tc>
          <w:tcPr>
            <w:tcW w:w="289" w:type="pct"/>
            <w:vAlign w:val="center"/>
          </w:tcPr>
          <w:p w14:paraId="3C7202E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5293BB8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26EF1FB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2506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10477CA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2867DCEA">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六</w:t>
            </w:r>
          </w:p>
        </w:tc>
        <w:tc>
          <w:tcPr>
            <w:tcW w:w="2207" w:type="pct"/>
            <w:vAlign w:val="center"/>
          </w:tcPr>
          <w:p w14:paraId="3D2CDC0F">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货款支付方式</w:t>
            </w:r>
          </w:p>
        </w:tc>
        <w:tc>
          <w:tcPr>
            <w:tcW w:w="289" w:type="pct"/>
            <w:vAlign w:val="center"/>
          </w:tcPr>
          <w:p w14:paraId="5285585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2086C05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1E27C6F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34E3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447997F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43496B35">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七</w:t>
            </w:r>
          </w:p>
        </w:tc>
        <w:tc>
          <w:tcPr>
            <w:tcW w:w="2207" w:type="pct"/>
            <w:vAlign w:val="center"/>
          </w:tcPr>
          <w:p w14:paraId="555802E5">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预算表</w:t>
            </w:r>
          </w:p>
        </w:tc>
        <w:tc>
          <w:tcPr>
            <w:tcW w:w="289" w:type="pct"/>
            <w:vAlign w:val="center"/>
          </w:tcPr>
          <w:p w14:paraId="0EC681E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74FB226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7E349DF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6CD7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0D69590F">
            <w:pPr>
              <w:keepNext/>
              <w:keepLines/>
              <w:suppressLineNumbers w:val="0"/>
              <w:spacing w:before="0" w:beforeAutospacing="0" w:after="0" w:afterAutospacing="0" w:line="400" w:lineRule="exact"/>
              <w:ind w:left="0" w:right="0"/>
              <w:jc w:val="left"/>
              <w:outlineLvl w:val="2"/>
              <w:rPr>
                <w:rFonts w:hint="default" w:ascii="宋体" w:hAnsi="宋体" w:eastAsia="宋体" w:cs="宋体"/>
                <w:color w:val="auto"/>
                <w:kern w:val="0"/>
                <w:sz w:val="18"/>
                <w:szCs w:val="18"/>
                <w:highlight w:val="none"/>
              </w:rPr>
            </w:pPr>
            <w:bookmarkStart w:id="921" w:name="_Toc13052"/>
            <w:bookmarkStart w:id="922" w:name="_Toc17449"/>
            <w:bookmarkStart w:id="923" w:name="_Toc19300"/>
            <w:bookmarkStart w:id="924" w:name="_Toc17184"/>
            <w:bookmarkStart w:id="925" w:name="_Toc4125"/>
            <w:r>
              <w:rPr>
                <w:rFonts w:hint="eastAsia" w:ascii="宋体" w:hAnsi="宋体" w:eastAsia="宋体" w:cs="宋体"/>
                <w:color w:val="auto"/>
                <w:kern w:val="0"/>
                <w:sz w:val="18"/>
                <w:szCs w:val="18"/>
                <w:highlight w:val="none"/>
              </w:rPr>
              <w:t>用户需求书“★”条款汇总：</w:t>
            </w:r>
            <w:bookmarkEnd w:id="919"/>
            <w:bookmarkEnd w:id="920"/>
            <w:bookmarkEnd w:id="921"/>
            <w:bookmarkEnd w:id="922"/>
            <w:bookmarkEnd w:id="923"/>
            <w:bookmarkEnd w:id="924"/>
            <w:bookmarkEnd w:id="925"/>
          </w:p>
        </w:tc>
      </w:tr>
      <w:tr w14:paraId="7A66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06CE233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459" w:type="pct"/>
            <w:vAlign w:val="center"/>
          </w:tcPr>
          <w:p w14:paraId="1B6BB7AC">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一</w:t>
            </w:r>
          </w:p>
        </w:tc>
        <w:tc>
          <w:tcPr>
            <w:tcW w:w="2207" w:type="pct"/>
            <w:vAlign w:val="center"/>
          </w:tcPr>
          <w:p w14:paraId="4B1A5A14">
            <w:pPr>
              <w:keepNext w:val="0"/>
              <w:keepLines w:val="0"/>
              <w:suppressLineNumbers w:val="0"/>
              <w:spacing w:before="0" w:beforeAutospacing="0" w:after="0" w:afterAutospacing="0" w:line="360" w:lineRule="auto"/>
              <w:ind w:left="0" w:right="0"/>
              <w:rPr>
                <w:rFonts w:hint="eastAsia" w:ascii="宋体" w:hAnsi="宋体" w:eastAsia="宋体"/>
                <w:color w:val="auto"/>
                <w:sz w:val="18"/>
                <w:szCs w:val="18"/>
                <w:highlight w:val="none"/>
              </w:rPr>
            </w:pPr>
            <w:r>
              <w:rPr>
                <w:rFonts w:hint="eastAsia" w:ascii="宋体" w:hAnsi="宋体" w:eastAsia="宋体" w:cstheme="minorBidi"/>
                <w:color w:val="auto"/>
                <w:kern w:val="2"/>
                <w:sz w:val="18"/>
                <w:szCs w:val="18"/>
                <w:highlight w:val="none"/>
                <w:lang w:val="en-US" w:eastAsia="zh-CN"/>
              </w:rPr>
              <w:t>★</w:t>
            </w:r>
            <w:r>
              <w:rPr>
                <w:rFonts w:hint="eastAsia" w:ascii="宋体" w:hAnsi="宋体" w:eastAsia="宋体" w:cstheme="minorBidi"/>
                <w:color w:val="auto"/>
                <w:sz w:val="18"/>
                <w:szCs w:val="18"/>
                <w:highlight w:val="none"/>
              </w:rPr>
              <w:t>投标人所投产品</w:t>
            </w:r>
            <w:r>
              <w:rPr>
                <w:rFonts w:hint="eastAsia" w:ascii="宋体" w:hAnsi="宋体" w:eastAsia="宋体" w:cstheme="minorBidi"/>
                <w:color w:val="auto"/>
                <w:sz w:val="18"/>
                <w:szCs w:val="18"/>
                <w:highlight w:val="none"/>
                <w:lang w:val="en-US" w:eastAsia="zh-CN"/>
              </w:rPr>
              <w:t>DN15-DN50旋翼式远传水表</w:t>
            </w:r>
            <w:r>
              <w:rPr>
                <w:rFonts w:hint="eastAsia" w:ascii="宋体" w:hAnsi="宋体" w:eastAsia="宋体" w:cstheme="minorBidi"/>
                <w:color w:val="auto"/>
                <w:sz w:val="18"/>
                <w:szCs w:val="18"/>
                <w:highlight w:val="none"/>
              </w:rPr>
              <w:t>需具有计量器具型式批准证书</w:t>
            </w:r>
            <w:r>
              <w:rPr>
                <w:rFonts w:hint="eastAsia" w:ascii="宋体" w:hAnsi="宋体" w:eastAsia="宋体" w:cstheme="minorBidi"/>
                <w:b/>
                <w:bCs/>
                <w:color w:val="auto"/>
                <w:sz w:val="18"/>
                <w:szCs w:val="18"/>
                <w:highlight w:val="none"/>
              </w:rPr>
              <w:t>（须提供有效期内的证书扫描件）</w:t>
            </w:r>
            <w:r>
              <w:rPr>
                <w:rFonts w:hint="eastAsia" w:ascii="宋体" w:hAnsi="宋体" w:eastAsia="宋体" w:cstheme="minorBidi"/>
                <w:b w:val="0"/>
                <w:bCs w:val="0"/>
                <w:color w:val="auto"/>
                <w:sz w:val="18"/>
                <w:szCs w:val="18"/>
                <w:highlight w:val="none"/>
                <w:lang w:eastAsia="zh-CN"/>
              </w:rPr>
              <w:t>。</w:t>
            </w:r>
          </w:p>
        </w:tc>
        <w:tc>
          <w:tcPr>
            <w:tcW w:w="289" w:type="pct"/>
            <w:vAlign w:val="center"/>
          </w:tcPr>
          <w:p w14:paraId="58C8C66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3548914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6ABBE6A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6347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29EE07A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2</w:t>
            </w:r>
          </w:p>
        </w:tc>
        <w:tc>
          <w:tcPr>
            <w:tcW w:w="459" w:type="pct"/>
            <w:vAlign w:val="center"/>
          </w:tcPr>
          <w:p w14:paraId="35BDD228">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2E1D59F5">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★2.1.3 防护等级：IP68。</w:t>
            </w:r>
          </w:p>
        </w:tc>
        <w:tc>
          <w:tcPr>
            <w:tcW w:w="289" w:type="pct"/>
            <w:vAlign w:val="center"/>
          </w:tcPr>
          <w:p w14:paraId="2889972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038831D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05999DE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5D20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7B97533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42A33C97">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5E64A0E9">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★2.2.2 水表准确度等级：2级。</w:t>
            </w:r>
          </w:p>
        </w:tc>
        <w:tc>
          <w:tcPr>
            <w:tcW w:w="289" w:type="pct"/>
            <w:vAlign w:val="center"/>
          </w:tcPr>
          <w:p w14:paraId="5975811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578C00B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4DC31D5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7881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8" w:type="pct"/>
            <w:vAlign w:val="center"/>
          </w:tcPr>
          <w:p w14:paraId="4099C4A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5CFE1C99">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eastAsia" w:ascii="宋体" w:hAnsi="宋体" w:eastAsia="宋体"/>
                <w:bCs/>
                <w:color w:val="auto"/>
                <w:sz w:val="18"/>
                <w:szCs w:val="18"/>
                <w:highlight w:val="none"/>
                <w:lang w:val="en-US" w:eastAsia="zh-CN"/>
              </w:rPr>
              <w:t>二</w:t>
            </w:r>
          </w:p>
        </w:tc>
        <w:tc>
          <w:tcPr>
            <w:tcW w:w="2207" w:type="pct"/>
            <w:vAlign w:val="center"/>
          </w:tcPr>
          <w:p w14:paraId="7DF466D8">
            <w:pPr>
              <w:keepNext w:val="0"/>
              <w:keepLines w:val="0"/>
              <w:suppressLineNumbers w:val="0"/>
              <w:spacing w:before="0" w:beforeAutospacing="0" w:after="0" w:afterAutospacing="0" w:line="360" w:lineRule="auto"/>
              <w:ind w:left="0" w:right="0"/>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★2.2.4 流量参数要求</w:t>
            </w:r>
          </w:p>
          <w:tbl>
            <w:tblPr>
              <w:tblStyle w:val="44"/>
              <w:tblW w:w="45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681"/>
              <w:gridCol w:w="681"/>
              <w:gridCol w:w="1161"/>
              <w:gridCol w:w="1031"/>
            </w:tblGrid>
            <w:tr w14:paraId="1FB9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170E36B">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旋翼式远传水表</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74489735">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公称口径</w:t>
                  </w:r>
                </w:p>
                <w:p w14:paraId="3941CB9D">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DN(mm)</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11800089">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常用流量</w:t>
                  </w:r>
                </w:p>
                <w:p w14:paraId="173612C7">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Q3（m³/h）</w:t>
                  </w:r>
                </w:p>
              </w:tc>
              <w:tc>
                <w:tcPr>
                  <w:tcW w:w="1472" w:type="pct"/>
                  <w:tcBorders>
                    <w:top w:val="single" w:color="auto" w:sz="4" w:space="0"/>
                    <w:left w:val="single" w:color="auto" w:sz="4" w:space="0"/>
                    <w:bottom w:val="single" w:color="auto" w:sz="4" w:space="0"/>
                    <w:right w:val="single" w:color="auto" w:sz="4" w:space="0"/>
                    <w:tl2br w:val="nil"/>
                    <w:tr2bl w:val="nil"/>
                  </w:tcBorders>
                  <w:noWrap/>
                  <w:vAlign w:val="center"/>
                </w:tcPr>
                <w:p w14:paraId="4958DAC3">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常用流量/最小流量</w:t>
                  </w:r>
                </w:p>
                <w:p w14:paraId="432F8A67">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Q3/Q1</w:t>
                  </w:r>
                </w:p>
              </w:tc>
              <w:tc>
                <w:tcPr>
                  <w:tcW w:w="1308" w:type="pct"/>
                  <w:tcBorders>
                    <w:top w:val="single" w:color="auto" w:sz="4" w:space="0"/>
                    <w:left w:val="single" w:color="auto" w:sz="4" w:space="0"/>
                    <w:bottom w:val="single" w:color="auto" w:sz="4" w:space="0"/>
                    <w:right w:val="single" w:color="auto" w:sz="4" w:space="0"/>
                    <w:tl2br w:val="nil"/>
                    <w:tr2bl w:val="nil"/>
                  </w:tcBorders>
                  <w:noWrap/>
                  <w:vAlign w:val="center"/>
                </w:tcPr>
                <w:p w14:paraId="1783455E">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分界流量/最小流量</w:t>
                  </w:r>
                  <w:r>
                    <w:rPr>
                      <w:rFonts w:hint="eastAsia" w:ascii="宋体" w:hAnsi="宋体" w:eastAsia="宋体" w:cs="宋体"/>
                      <w:color w:val="auto"/>
                      <w:kern w:val="0"/>
                      <w:sz w:val="20"/>
                      <w:szCs w:val="20"/>
                      <w:highlight w:val="none"/>
                    </w:rPr>
                    <w:t>Q2/Q1</w:t>
                  </w:r>
                </w:p>
              </w:tc>
            </w:tr>
            <w:tr w14:paraId="698C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CC877DD">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2847F052">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55110422">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2.5</w:t>
                  </w:r>
                </w:p>
              </w:tc>
              <w:tc>
                <w:tcPr>
                  <w:tcW w:w="1472" w:type="pct"/>
                  <w:tcBorders>
                    <w:top w:val="single" w:color="auto" w:sz="4" w:space="0"/>
                    <w:left w:val="single" w:color="auto" w:sz="4" w:space="0"/>
                    <w:bottom w:val="single" w:color="auto" w:sz="4" w:space="0"/>
                    <w:right w:val="single" w:color="auto" w:sz="4" w:space="0"/>
                    <w:tl2br w:val="nil"/>
                    <w:tr2bl w:val="nil"/>
                  </w:tcBorders>
                  <w:noWrap/>
                  <w:vAlign w:val="center"/>
                </w:tcPr>
                <w:p w14:paraId="734C4077">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08" w:type="pct"/>
                  <w:tcBorders>
                    <w:top w:val="single" w:color="auto" w:sz="4" w:space="0"/>
                    <w:left w:val="single" w:color="auto" w:sz="4" w:space="0"/>
                    <w:bottom w:val="single" w:color="auto" w:sz="4" w:space="0"/>
                    <w:right w:val="single" w:color="auto" w:sz="4" w:space="0"/>
                    <w:tl2br w:val="nil"/>
                    <w:tr2bl w:val="nil"/>
                  </w:tcBorders>
                  <w:noWrap/>
                  <w:vAlign w:val="center"/>
                </w:tcPr>
                <w:p w14:paraId="68A63F2D">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r w14:paraId="5D36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D2D4535">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0FCB6B50">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7A9757AD">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472" w:type="pct"/>
                  <w:tcBorders>
                    <w:top w:val="single" w:color="auto" w:sz="4" w:space="0"/>
                    <w:left w:val="single" w:color="auto" w:sz="4" w:space="0"/>
                    <w:bottom w:val="single" w:color="auto" w:sz="4" w:space="0"/>
                    <w:right w:val="single" w:color="auto" w:sz="4" w:space="0"/>
                    <w:tl2br w:val="nil"/>
                    <w:tr2bl w:val="nil"/>
                  </w:tcBorders>
                  <w:noWrap/>
                  <w:vAlign w:val="center"/>
                </w:tcPr>
                <w:p w14:paraId="2597ED0C">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08" w:type="pct"/>
                  <w:tcBorders>
                    <w:top w:val="single" w:color="auto" w:sz="4" w:space="0"/>
                    <w:left w:val="single" w:color="auto" w:sz="4" w:space="0"/>
                    <w:bottom w:val="single" w:color="auto" w:sz="4" w:space="0"/>
                    <w:right w:val="single" w:color="auto" w:sz="4" w:space="0"/>
                    <w:tl2br w:val="nil"/>
                    <w:tr2bl w:val="nil"/>
                  </w:tcBorders>
                  <w:noWrap/>
                  <w:vAlign w:val="center"/>
                </w:tcPr>
                <w:p w14:paraId="05C95101">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r w14:paraId="458D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8E1FA10">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6D3015A5">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25</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7F1D4990">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6.3</w:t>
                  </w:r>
                </w:p>
              </w:tc>
              <w:tc>
                <w:tcPr>
                  <w:tcW w:w="1472" w:type="pct"/>
                  <w:tcBorders>
                    <w:top w:val="single" w:color="auto" w:sz="4" w:space="0"/>
                    <w:left w:val="single" w:color="auto" w:sz="4" w:space="0"/>
                    <w:bottom w:val="single" w:color="auto" w:sz="4" w:space="0"/>
                    <w:right w:val="single" w:color="auto" w:sz="4" w:space="0"/>
                    <w:tl2br w:val="nil"/>
                    <w:tr2bl w:val="nil"/>
                  </w:tcBorders>
                  <w:noWrap/>
                  <w:vAlign w:val="center"/>
                </w:tcPr>
                <w:p w14:paraId="5017BCD3">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08" w:type="pct"/>
                  <w:tcBorders>
                    <w:top w:val="single" w:color="auto" w:sz="4" w:space="0"/>
                    <w:left w:val="single" w:color="auto" w:sz="4" w:space="0"/>
                    <w:bottom w:val="single" w:color="auto" w:sz="4" w:space="0"/>
                    <w:right w:val="single" w:color="auto" w:sz="4" w:space="0"/>
                    <w:tl2br w:val="nil"/>
                    <w:tr2bl w:val="nil"/>
                  </w:tcBorders>
                  <w:noWrap/>
                  <w:vAlign w:val="center"/>
                </w:tcPr>
                <w:p w14:paraId="69E49B91">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r w14:paraId="710C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CC2CB70">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081EB9EA">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40</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6F856402">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472" w:type="pct"/>
                  <w:tcBorders>
                    <w:top w:val="single" w:color="auto" w:sz="4" w:space="0"/>
                    <w:left w:val="single" w:color="auto" w:sz="4" w:space="0"/>
                    <w:bottom w:val="single" w:color="auto" w:sz="4" w:space="0"/>
                    <w:right w:val="single" w:color="auto" w:sz="4" w:space="0"/>
                    <w:tl2br w:val="nil"/>
                    <w:tr2bl w:val="nil"/>
                  </w:tcBorders>
                  <w:noWrap/>
                  <w:vAlign w:val="center"/>
                </w:tcPr>
                <w:p w14:paraId="4F3EA50D">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08" w:type="pct"/>
                  <w:tcBorders>
                    <w:top w:val="single" w:color="auto" w:sz="4" w:space="0"/>
                    <w:left w:val="single" w:color="auto" w:sz="4" w:space="0"/>
                    <w:bottom w:val="single" w:color="auto" w:sz="4" w:space="0"/>
                    <w:right w:val="single" w:color="auto" w:sz="4" w:space="0"/>
                    <w:tl2br w:val="nil"/>
                    <w:tr2bl w:val="nil"/>
                  </w:tcBorders>
                  <w:noWrap/>
                  <w:vAlign w:val="center"/>
                </w:tcPr>
                <w:p w14:paraId="49796FA4">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r w14:paraId="0B7C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55945DC">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1AC4428E">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702AE6D1">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25</w:t>
                  </w:r>
                </w:p>
              </w:tc>
              <w:tc>
                <w:tcPr>
                  <w:tcW w:w="1472" w:type="pct"/>
                  <w:tcBorders>
                    <w:top w:val="single" w:color="auto" w:sz="4" w:space="0"/>
                    <w:left w:val="single" w:color="auto" w:sz="4" w:space="0"/>
                    <w:bottom w:val="single" w:color="auto" w:sz="4" w:space="0"/>
                    <w:right w:val="single" w:color="auto" w:sz="4" w:space="0"/>
                    <w:tl2br w:val="nil"/>
                    <w:tr2bl w:val="nil"/>
                  </w:tcBorders>
                  <w:noWrap/>
                  <w:vAlign w:val="center"/>
                </w:tcPr>
                <w:p w14:paraId="19642F2C">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08" w:type="pct"/>
                  <w:tcBorders>
                    <w:top w:val="single" w:color="auto" w:sz="4" w:space="0"/>
                    <w:left w:val="single" w:color="auto" w:sz="4" w:space="0"/>
                    <w:bottom w:val="single" w:color="auto" w:sz="4" w:space="0"/>
                    <w:right w:val="single" w:color="auto" w:sz="4" w:space="0"/>
                    <w:tl2br w:val="nil"/>
                    <w:tr2bl w:val="nil"/>
                  </w:tcBorders>
                  <w:noWrap/>
                  <w:vAlign w:val="center"/>
                </w:tcPr>
                <w:p w14:paraId="6A4454FC">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bl>
          <w:p w14:paraId="6D2AB546">
            <w:pPr>
              <w:keepNext w:val="0"/>
              <w:keepLines w:val="0"/>
              <w:suppressLineNumbers w:val="0"/>
              <w:spacing w:before="0" w:beforeAutospacing="0" w:after="0" w:afterAutospacing="0" w:line="360" w:lineRule="auto"/>
              <w:ind w:left="0" w:right="0"/>
              <w:rPr>
                <w:rFonts w:hint="eastAsia" w:ascii="宋体" w:hAnsi="宋体" w:eastAsia="宋体"/>
                <w:color w:val="auto"/>
                <w:sz w:val="18"/>
                <w:szCs w:val="18"/>
                <w:highlight w:val="none"/>
              </w:rPr>
            </w:pPr>
          </w:p>
        </w:tc>
        <w:tc>
          <w:tcPr>
            <w:tcW w:w="289" w:type="pct"/>
            <w:vAlign w:val="center"/>
          </w:tcPr>
          <w:p w14:paraId="0E3B1A1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2595EE3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50A5074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986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78" w:type="pct"/>
            <w:vAlign w:val="center"/>
          </w:tcPr>
          <w:p w14:paraId="00CA3A1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4D2160FE">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58EEC358">
            <w:pPr>
              <w:keepNext w:val="0"/>
              <w:keepLines w:val="0"/>
              <w:suppressLineNumbers w:val="0"/>
              <w:spacing w:before="0" w:beforeAutospacing="0" w:after="0" w:afterAutospacing="0" w:line="360" w:lineRule="auto"/>
              <w:ind w:left="0" w:right="0"/>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★2.2.6 水表应印有“东莞水务集团供水公司L0G0+客服热线96968”字样（具体样式中标后由招标人提供），其中印刷费计入投标报价。</w:t>
            </w:r>
          </w:p>
          <w:p w14:paraId="69585F23">
            <w:pPr>
              <w:keepNext w:val="0"/>
              <w:keepLines w:val="0"/>
              <w:suppressLineNumbers w:val="0"/>
              <w:spacing w:before="0" w:beforeAutospacing="0" w:after="0" w:afterAutospacing="0" w:line="360" w:lineRule="auto"/>
              <w:ind w:left="0" w:right="0"/>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水表外壳、指示装置或铭牌、不可分离的表盖上，应集中或分散标明计量参数、流向箭头、公称口径、制造年月和编号等信息。</w:t>
            </w:r>
          </w:p>
        </w:tc>
        <w:tc>
          <w:tcPr>
            <w:tcW w:w="289" w:type="pct"/>
            <w:vAlign w:val="center"/>
          </w:tcPr>
          <w:p w14:paraId="0F120A3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715488D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2F53F87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08E3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78" w:type="pct"/>
            <w:vAlign w:val="center"/>
          </w:tcPr>
          <w:p w14:paraId="00D6E50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20EE09E3">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26B4252A">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★2.2.14 首次检定：投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投标阶段需就上述事项提供相关承诺文件）。</w:t>
            </w:r>
          </w:p>
        </w:tc>
        <w:tc>
          <w:tcPr>
            <w:tcW w:w="289" w:type="pct"/>
            <w:vAlign w:val="center"/>
          </w:tcPr>
          <w:p w14:paraId="3B96A82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6F5E06C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77FB668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577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7BF6169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66EDF75D">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38ADB91A">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★2.3.8 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b/>
                <w:bCs/>
                <w:color w:val="auto"/>
                <w:sz w:val="18"/>
                <w:szCs w:val="18"/>
                <w:highlight w:val="none"/>
              </w:rPr>
              <w:t>（投标阶段需就上述事项提供产品说明书和相关承诺文件）</w:t>
            </w:r>
            <w:r>
              <w:rPr>
                <w:rFonts w:hint="eastAsia" w:ascii="宋体" w:hAnsi="宋体" w:eastAsia="宋体"/>
                <w:color w:val="auto"/>
                <w:sz w:val="18"/>
                <w:szCs w:val="18"/>
                <w:highlight w:val="none"/>
              </w:rPr>
              <w:t>。</w:t>
            </w:r>
          </w:p>
        </w:tc>
        <w:tc>
          <w:tcPr>
            <w:tcW w:w="289" w:type="pct"/>
            <w:vAlign w:val="center"/>
          </w:tcPr>
          <w:p w14:paraId="0943412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46B1920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2141A11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336D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356FA95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67E93CEC">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223F3936">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★2.3.11 远传模块的通讯协议需符合招标人物联网终端传输规约的有关要求</w:t>
            </w:r>
            <w:r>
              <w:rPr>
                <w:rFonts w:hint="eastAsia" w:ascii="宋体" w:hAnsi="宋体" w:eastAsia="宋体"/>
                <w:b/>
                <w:bCs/>
                <w:color w:val="auto"/>
                <w:sz w:val="18"/>
                <w:szCs w:val="18"/>
                <w:highlight w:val="none"/>
              </w:rPr>
              <w:t>（投标阶段需就上述事项提供相关承诺文件）</w:t>
            </w:r>
            <w:r>
              <w:rPr>
                <w:rFonts w:hint="eastAsia" w:ascii="宋体" w:hAnsi="宋体" w:eastAsia="宋体"/>
                <w:color w:val="auto"/>
                <w:sz w:val="18"/>
                <w:szCs w:val="18"/>
                <w:highlight w:val="none"/>
              </w:rPr>
              <w:t>。</w:t>
            </w:r>
          </w:p>
        </w:tc>
        <w:tc>
          <w:tcPr>
            <w:tcW w:w="289" w:type="pct"/>
            <w:vAlign w:val="center"/>
          </w:tcPr>
          <w:p w14:paraId="2314F17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672AEAD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14E8D1E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0D8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6CB0262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459" w:type="pct"/>
            <w:vAlign w:val="center"/>
          </w:tcPr>
          <w:p w14:paraId="70B02E61">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2E3C8AB7">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★2.3.12 平台对接：所有数据按招标人要求无缝融合到招标人指定的智能水表管理系统，中标人需无偿配合远传水表的接入工作</w:t>
            </w:r>
            <w:r>
              <w:rPr>
                <w:rFonts w:hint="eastAsia" w:ascii="宋体" w:hAnsi="宋体" w:eastAsia="宋体"/>
                <w:b/>
                <w:bCs/>
                <w:color w:val="auto"/>
                <w:sz w:val="18"/>
                <w:szCs w:val="18"/>
                <w:highlight w:val="none"/>
              </w:rPr>
              <w:t>（投标阶段需就上述事项提供可无缝接入招标人所指定的系统管理平台的承诺函）</w:t>
            </w:r>
            <w:r>
              <w:rPr>
                <w:rFonts w:hint="eastAsia" w:ascii="宋体" w:hAnsi="宋体" w:eastAsia="宋体"/>
                <w:color w:val="auto"/>
                <w:sz w:val="18"/>
                <w:szCs w:val="18"/>
                <w:highlight w:val="none"/>
              </w:rPr>
              <w:t>。</w:t>
            </w:r>
          </w:p>
        </w:tc>
        <w:tc>
          <w:tcPr>
            <w:tcW w:w="289" w:type="pct"/>
            <w:vAlign w:val="center"/>
          </w:tcPr>
          <w:p w14:paraId="08D3E44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2D986BA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4067401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7F4D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29661DE4">
            <w:pPr>
              <w:keepNext/>
              <w:keepLines/>
              <w:suppressLineNumbers w:val="0"/>
              <w:spacing w:before="0" w:beforeAutospacing="0" w:after="0" w:afterAutospacing="0" w:line="400" w:lineRule="exact"/>
              <w:ind w:left="0" w:right="0"/>
              <w:jc w:val="left"/>
              <w:outlineLvl w:val="2"/>
              <w:rPr>
                <w:rFonts w:hint="default" w:ascii="宋体" w:hAnsi="宋体" w:eastAsia="宋体" w:cs="宋体"/>
                <w:color w:val="auto"/>
                <w:kern w:val="0"/>
                <w:sz w:val="18"/>
                <w:szCs w:val="18"/>
                <w:highlight w:val="none"/>
              </w:rPr>
            </w:pPr>
            <w:bookmarkStart w:id="926" w:name="_Toc8535"/>
            <w:bookmarkStart w:id="927" w:name="_Toc2096"/>
            <w:bookmarkStart w:id="928" w:name="_Toc31100"/>
            <w:bookmarkStart w:id="929" w:name="_Toc30975"/>
            <w:r>
              <w:rPr>
                <w:rFonts w:hint="eastAsia" w:ascii="宋体" w:hAnsi="宋体" w:eastAsia="宋体" w:cs="宋体"/>
                <w:color w:val="auto"/>
                <w:kern w:val="0"/>
                <w:sz w:val="18"/>
                <w:szCs w:val="18"/>
                <w:highlight w:val="none"/>
              </w:rPr>
              <w:t>用户需求书“</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0"/>
                <w:sz w:val="18"/>
                <w:szCs w:val="18"/>
                <w:highlight w:val="none"/>
              </w:rPr>
              <w:t>”条款汇总：</w:t>
            </w:r>
            <w:bookmarkEnd w:id="926"/>
            <w:bookmarkEnd w:id="927"/>
            <w:bookmarkEnd w:id="928"/>
            <w:bookmarkEnd w:id="929"/>
          </w:p>
        </w:tc>
      </w:tr>
      <w:tr w14:paraId="3757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1114006D">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459" w:type="pct"/>
            <w:vAlign w:val="center"/>
          </w:tcPr>
          <w:p w14:paraId="3CA258AB">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3A51EE2F">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▲2.1.4 电磁环境等</w:t>
            </w:r>
            <w:r>
              <w:rPr>
                <w:rFonts w:hint="eastAsia" w:ascii="宋体" w:hAnsi="宋体" w:eastAsia="宋体" w:cs="宋体"/>
                <w:color w:val="auto"/>
                <w:sz w:val="18"/>
                <w:szCs w:val="18"/>
                <w:highlight w:val="none"/>
              </w:rPr>
              <w:t>级：</w:t>
            </w:r>
            <w:r>
              <w:rPr>
                <w:rFonts w:hint="eastAsia" w:ascii="宋体" w:hAnsi="宋体" w:eastAsia="宋体" w:cs="宋体"/>
                <w:color w:val="auto"/>
                <w:kern w:val="2"/>
                <w:sz w:val="18"/>
                <w:szCs w:val="18"/>
                <w:highlight w:val="none"/>
                <w:lang w:bidi="ar"/>
              </w:rPr>
              <w:t>不低于E1</w:t>
            </w:r>
            <w:r>
              <w:rPr>
                <w:rFonts w:hint="eastAsia" w:ascii="宋体" w:hAnsi="宋体" w:eastAsia="宋体" w:cs="宋体"/>
                <w:color w:val="auto"/>
                <w:sz w:val="18"/>
                <w:szCs w:val="18"/>
                <w:highlight w:val="none"/>
              </w:rPr>
              <w:t>级。</w:t>
            </w:r>
          </w:p>
        </w:tc>
        <w:tc>
          <w:tcPr>
            <w:tcW w:w="289" w:type="pct"/>
            <w:vAlign w:val="center"/>
          </w:tcPr>
          <w:p w14:paraId="5B6B48C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642A06A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0FA835D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54B0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032C4C4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459" w:type="pct"/>
            <w:vAlign w:val="center"/>
          </w:tcPr>
          <w:p w14:paraId="4FA36269">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4B4F5855">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▲2.2.12数据输出应采取无磁传感技术。</w:t>
            </w:r>
          </w:p>
        </w:tc>
        <w:tc>
          <w:tcPr>
            <w:tcW w:w="289" w:type="pct"/>
            <w:vAlign w:val="center"/>
          </w:tcPr>
          <w:p w14:paraId="1D463AB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3D259D0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1FB6755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3D2A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022D333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222AE41A">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233E3A88">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▲2.2.13 环境等级：C级或O级（安装在室外的固定水表），水表须完全防磁，在任何外磁场干扰下不影响水表的正常计量性能。</w:t>
            </w:r>
          </w:p>
        </w:tc>
        <w:tc>
          <w:tcPr>
            <w:tcW w:w="289" w:type="pct"/>
            <w:vAlign w:val="center"/>
          </w:tcPr>
          <w:p w14:paraId="2F8A1B4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71106D7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70CA7E1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E48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0DBBCD3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16B3FB10">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4BAD17A2">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▲2.3.2 数据采集：支持采集累计正、反向累计流量数据，数据采集精确到L位，支持时钟同步功能、倒流报警和低电压报警等功能。默认每日周期上报：上报前一天24小时的数据记录，水量数据采集周期为30分钟/次。可通过应用平台进行高频率上报周期设置，最小做到1小时周期上报。</w:t>
            </w:r>
          </w:p>
        </w:tc>
        <w:tc>
          <w:tcPr>
            <w:tcW w:w="289" w:type="pct"/>
            <w:vAlign w:val="center"/>
          </w:tcPr>
          <w:p w14:paraId="3F589C1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2442A40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098DCE5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230B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19F4A40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7C196F44">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13572ED0">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▲2.3.5 日数据传输成功率≥99% ，抄读准确率≥99.9%</w:t>
            </w:r>
            <w:r>
              <w:rPr>
                <w:rFonts w:hint="eastAsia" w:ascii="宋体" w:hAnsi="宋体" w:eastAsia="宋体"/>
                <w:b/>
                <w:bCs/>
                <w:color w:val="auto"/>
                <w:sz w:val="18"/>
                <w:szCs w:val="18"/>
                <w:highlight w:val="none"/>
              </w:rPr>
              <w:t>（投标人投标阶段需就上述事项提供相关水表用户使用情况及证明材料）</w:t>
            </w:r>
            <w:r>
              <w:rPr>
                <w:rFonts w:hint="eastAsia" w:ascii="宋体" w:hAnsi="宋体" w:eastAsia="宋体"/>
                <w:color w:val="auto"/>
                <w:sz w:val="18"/>
                <w:szCs w:val="18"/>
                <w:highlight w:val="none"/>
              </w:rPr>
              <w:t>。</w:t>
            </w:r>
          </w:p>
        </w:tc>
        <w:tc>
          <w:tcPr>
            <w:tcW w:w="289" w:type="pct"/>
            <w:vAlign w:val="center"/>
          </w:tcPr>
          <w:p w14:paraId="0D35186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2EC6FEB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64B9416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bl>
    <w:p w14:paraId="635104FE">
      <w:pPr>
        <w:spacing w:line="360" w:lineRule="auto"/>
        <w:rPr>
          <w:rFonts w:ascii="宋体" w:hAnsi="宋体" w:eastAsia="宋体" w:cs="宋体"/>
          <w:color w:val="auto"/>
          <w:szCs w:val="21"/>
          <w:highlight w:val="none"/>
        </w:rPr>
      </w:pPr>
    </w:p>
    <w:p w14:paraId="09B468C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380C395">
      <w:pPr>
        <w:spacing w:line="360" w:lineRule="auto"/>
        <w:ind w:left="605" w:leftChars="18" w:hanging="567" w:hangingChars="270"/>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szCs w:val="21"/>
          <w:highlight w:val="none"/>
          <w:u w:val="single"/>
          <w:lang w:eastAsia="zh-CN"/>
        </w:rPr>
        <w:t>。</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或</w:t>
      </w: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u w:val="single"/>
          <w:lang w:val="en-US" w:eastAsia="zh-CN"/>
        </w:rPr>
        <w:t>条款，</w:t>
      </w:r>
      <w:r>
        <w:rPr>
          <w:rFonts w:hint="eastAsia" w:ascii="宋体" w:hAnsi="宋体" w:eastAsia="宋体" w:cs="宋体"/>
          <w:b/>
          <w:color w:val="auto"/>
          <w:szCs w:val="21"/>
          <w:highlight w:val="none"/>
          <w:u w:val="single"/>
        </w:rPr>
        <w:t>须逐条逐项、如实地填写“偏离情况”，未填写“★”条款</w:t>
      </w:r>
      <w:r>
        <w:rPr>
          <w:rFonts w:hint="eastAsia" w:ascii="宋体" w:hAnsi="宋体" w:eastAsia="宋体" w:cs="宋体"/>
          <w:b/>
          <w:color w:val="auto"/>
          <w:szCs w:val="21"/>
          <w:highlight w:val="none"/>
          <w:u w:val="single"/>
          <w:lang w:val="en-US" w:eastAsia="zh-CN"/>
        </w:rPr>
        <w:t>及</w:t>
      </w: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u w:val="single"/>
          <w:lang w:val="en-US" w:eastAsia="zh-CN"/>
        </w:rPr>
        <w:t>条款</w:t>
      </w:r>
      <w:r>
        <w:rPr>
          <w:rFonts w:hint="eastAsia" w:ascii="宋体" w:hAnsi="宋体" w:eastAsia="宋体" w:cs="宋体"/>
          <w:b/>
          <w:color w:val="auto"/>
          <w:szCs w:val="21"/>
          <w:highlight w:val="none"/>
          <w:u w:val="single"/>
        </w:rPr>
        <w:t>以外的条款的，视为完全满足招标文件要求。</w:t>
      </w:r>
    </w:p>
    <w:p w14:paraId="292EC22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CA2D5EA">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119E75A3">
      <w:pPr>
        <w:spacing w:line="360" w:lineRule="auto"/>
        <w:ind w:left="607" w:leftChars="18" w:hanging="569" w:hangingChars="270"/>
        <w:rPr>
          <w:rFonts w:ascii="宋体" w:hAnsi="宋体" w:eastAsia="宋体" w:cs="Times New Roman"/>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w:t>
      </w:r>
      <w:r>
        <w:rPr>
          <w:rFonts w:hint="eastAsia" w:ascii="宋体" w:hAnsi="宋体" w:eastAsia="宋体" w:cs="Times New Roman"/>
          <w:b/>
          <w:color w:val="auto"/>
          <w:kern w:val="0"/>
          <w:szCs w:val="21"/>
          <w:highlight w:val="none"/>
          <w:u w:val="single"/>
        </w:rPr>
        <w:t>商务</w:t>
      </w:r>
      <w:r>
        <w:rPr>
          <w:rFonts w:ascii="宋体" w:hAnsi="宋体" w:eastAsia="宋体" w:cs="Times New Roman"/>
          <w:b/>
          <w:color w:val="auto"/>
          <w:kern w:val="0"/>
          <w:szCs w:val="21"/>
          <w:highlight w:val="none"/>
          <w:u w:val="single"/>
        </w:rPr>
        <w:t>要求或</w:t>
      </w:r>
      <w:r>
        <w:rPr>
          <w:rFonts w:hint="eastAsia" w:ascii="宋体" w:hAnsi="宋体" w:eastAsia="宋体" w:cs="Times New Roman"/>
          <w:b/>
          <w:color w:val="auto"/>
          <w:kern w:val="0"/>
          <w:szCs w:val="21"/>
          <w:highlight w:val="none"/>
          <w:u w:val="single"/>
        </w:rPr>
        <w:t>技术</w:t>
      </w:r>
      <w:r>
        <w:rPr>
          <w:rFonts w:ascii="宋体" w:hAnsi="宋体" w:eastAsia="宋体" w:cs="Times New Roman"/>
          <w:b/>
          <w:color w:val="auto"/>
          <w:kern w:val="0"/>
          <w:szCs w:val="21"/>
          <w:highlight w:val="none"/>
          <w:u w:val="single"/>
        </w:rPr>
        <w:t>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w:t>
      </w:r>
      <w:r>
        <w:rPr>
          <w:rFonts w:hint="eastAsia" w:ascii="宋体" w:hAnsi="宋体" w:eastAsia="宋体" w:cs="Times New Roman"/>
          <w:b/>
          <w:color w:val="auto"/>
          <w:kern w:val="0"/>
          <w:szCs w:val="21"/>
          <w:highlight w:val="none"/>
          <w:u w:val="single"/>
        </w:rPr>
        <w:t>条款</w:t>
      </w:r>
      <w:r>
        <w:rPr>
          <w:rFonts w:ascii="宋体" w:hAnsi="宋体" w:eastAsia="宋体" w:cs="Times New Roman"/>
          <w:b/>
          <w:color w:val="auto"/>
          <w:kern w:val="0"/>
          <w:szCs w:val="21"/>
          <w:highlight w:val="none"/>
          <w:u w:val="single"/>
        </w:rPr>
        <w:t>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34FF9340">
      <w:pPr>
        <w:spacing w:line="360" w:lineRule="auto"/>
        <w:ind w:left="607" w:leftChars="18" w:hanging="569" w:hangingChars="27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w:t>
      </w:r>
      <w:r>
        <w:rPr>
          <w:rFonts w:ascii="宋体" w:hAnsi="宋体" w:eastAsia="宋体" w:cs="Times New Roman"/>
          <w:b/>
          <w:color w:val="auto"/>
          <w:kern w:val="0"/>
          <w:szCs w:val="21"/>
          <w:highlight w:val="none"/>
          <w:u w:val="single"/>
        </w:rPr>
        <w:t>凡标有</w:t>
      </w:r>
      <w:r>
        <w:rPr>
          <w:rFonts w:hint="eastAsia" w:ascii="宋体" w:hAnsi="宋体" w:eastAsia="宋体" w:cs="宋体"/>
          <w:b/>
          <w:color w:val="auto"/>
          <w:szCs w:val="21"/>
          <w:highlight w:val="none"/>
          <w:u w:val="single"/>
        </w:rPr>
        <w:t>“▲”标志的条款为评审的重要指标，投标人若有“▲”条款未响应或负偏离，将导致其响应性评审扣分，并不会按无效响应处理。投标人若有非“▲”条款未响应或负偏离，将导致其响应性评审扣分，并不会按无效响应处理。</w:t>
      </w:r>
    </w:p>
    <w:p w14:paraId="59F09C54">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01AA2DA7">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426E47C8">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F61874B">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7A841FD">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3A29C8FF">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4DB8695A">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930" w:name="_Toc140596949"/>
      <w:bookmarkStart w:id="931" w:name="_Toc142508389"/>
      <w:bookmarkStart w:id="932" w:name="_Toc102860438"/>
      <w:bookmarkStart w:id="933" w:name="_Toc102860094"/>
      <w:bookmarkStart w:id="934" w:name="_Toc104991896"/>
      <w:bookmarkStart w:id="935" w:name="_Toc533708139"/>
    </w:p>
    <w:p w14:paraId="01398813">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1-1 投标人所投产品DN15-DN50旋翼式远传水表需具有计量器具型式批准证书（须提供有效期内的证书扫描件）。</w:t>
      </w:r>
    </w:p>
    <w:p w14:paraId="2CF1E862">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1292C5C">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 首次检定：投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投标阶段需就上述事项提供相关承诺文件）。</w:t>
      </w:r>
    </w:p>
    <w:p w14:paraId="21A1F2C7">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82106CD">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 水表远传模块采用无线通讯，应取得工信部颁发的入网许可证、无线电核准证书，通讯方式：支持NB-IoT无线物联网远传通讯。采用东莞本地通信运营商的通讯网络实现数据传输，并提供属地化日常通信运维服务（投标阶段需就上述事项提供产品说明书和相关承诺文件）。</w:t>
      </w:r>
    </w:p>
    <w:p w14:paraId="79CB71E5">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F67896B">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1-4 远传模块的通讯协议需符合招标人物联网终端传输规约的有关要求（投标阶段需就上述事项提供相关承诺文件）。</w:t>
      </w:r>
    </w:p>
    <w:p w14:paraId="323830FA">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EAED551">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1-5 平台对接：所有数据按招标人要求无缝融合到招标人指定的智能水表管理系统，中标人需无偿配合远传水表的接入工作（投标阶段需就上述事项提供可无缝接入招标人所指定的系统管理平台的承诺函）。</w:t>
      </w:r>
    </w:p>
    <w:p w14:paraId="5B951A75">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D55C53C">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1-6 日数据传输成功率≥99% ，抄读准确率≥99.9%（投标人投标阶段需就上述事项提供相关水表用户使用情况及证明材料）。</w:t>
      </w:r>
    </w:p>
    <w:p w14:paraId="45A0BA07">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C1B4C5F">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二</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eastAsia="zh-CN"/>
        </w:rPr>
        <w:t>供货货物清单表</w:t>
      </w:r>
      <w:r>
        <w:rPr>
          <w:rFonts w:hint="eastAsia" w:ascii="宋体" w:hAnsi="宋体" w:eastAsia="宋体" w:cs="宋体"/>
          <w:b/>
          <w:color w:val="auto"/>
          <w:kern w:val="0"/>
          <w:sz w:val="30"/>
          <w:szCs w:val="30"/>
          <w:highlight w:val="none"/>
          <w:lang w:val="en-US" w:eastAsia="zh-CN"/>
        </w:rPr>
        <w:t>格式</w:t>
      </w:r>
    </w:p>
    <w:p w14:paraId="7DCA1778">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11D2646A">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44"/>
        <w:tblW w:w="10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171"/>
        <w:gridCol w:w="1092"/>
        <w:gridCol w:w="833"/>
        <w:gridCol w:w="850"/>
        <w:gridCol w:w="1212"/>
        <w:gridCol w:w="700"/>
        <w:gridCol w:w="1190"/>
        <w:gridCol w:w="969"/>
        <w:gridCol w:w="1281"/>
        <w:gridCol w:w="510"/>
      </w:tblGrid>
      <w:tr w14:paraId="5F66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65" w:type="dxa"/>
            <w:gridSpan w:val="11"/>
            <w:tcBorders>
              <w:top w:val="single" w:color="auto" w:sz="4" w:space="0"/>
              <w:left w:val="single" w:color="auto" w:sz="4" w:space="0"/>
              <w:bottom w:val="single" w:color="auto" w:sz="4" w:space="0"/>
              <w:right w:val="single" w:color="auto" w:sz="4" w:space="0"/>
            </w:tcBorders>
            <w:noWrap w:val="0"/>
            <w:vAlign w:val="center"/>
          </w:tcPr>
          <w:p w14:paraId="44F5DCAE">
            <w:pPr>
              <w:keepNext w:val="0"/>
              <w:keepLines w:val="0"/>
              <w:suppressLineNumbers w:val="0"/>
              <w:spacing w:before="0" w:beforeAutospacing="0" w:after="0" w:afterAutospacing="0"/>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1057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25980BF3">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71" w:type="dxa"/>
            <w:tcBorders>
              <w:top w:val="single" w:color="auto" w:sz="4" w:space="0"/>
              <w:left w:val="single" w:color="auto" w:sz="4" w:space="0"/>
              <w:bottom w:val="single" w:color="auto" w:sz="4" w:space="0"/>
              <w:right w:val="single" w:color="auto" w:sz="4" w:space="0"/>
            </w:tcBorders>
            <w:noWrap w:val="0"/>
            <w:vAlign w:val="center"/>
          </w:tcPr>
          <w:p w14:paraId="0A198ABB">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DB70FC">
            <w:pPr>
              <w:pStyle w:val="39"/>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公称口径</w:t>
            </w:r>
          </w:p>
          <w:p w14:paraId="4A49E612">
            <w:pPr>
              <w:pStyle w:val="39"/>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
              </w:rPr>
              <w:t>DN(mm)</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54608A48">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F48B611">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5D67E2B">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219510C0">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4BB296AB">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0D07A02C">
            <w:pPr>
              <w:keepNext w:val="0"/>
              <w:keepLines w:val="0"/>
              <w:suppressLineNumbers w:val="0"/>
              <w:spacing w:before="0" w:beforeAutospacing="0" w:after="0" w:afterAutospacing="0"/>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2CCAFDA">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23F46965">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5D1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1230D5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1</w:t>
            </w:r>
          </w:p>
        </w:tc>
        <w:tc>
          <w:tcPr>
            <w:tcW w:w="1171" w:type="dxa"/>
            <w:vMerge w:val="restart"/>
            <w:tcBorders>
              <w:top w:val="single" w:color="auto" w:sz="4" w:space="0"/>
              <w:left w:val="single" w:color="auto" w:sz="4" w:space="0"/>
              <w:right w:val="single" w:color="auto" w:sz="4" w:space="0"/>
            </w:tcBorders>
            <w:noWrap w:val="0"/>
            <w:vAlign w:val="center"/>
          </w:tcPr>
          <w:p w14:paraId="59031E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旋翼式远传水表</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2555DB">
            <w:pPr>
              <w:pStyle w:val="39"/>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15</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30ACA2A1">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A1844B5">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151401B">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53F08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个</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36D1A92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59700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678C2D6E">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235B4663">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010AEF40">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C13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C33738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w:t>
            </w:r>
          </w:p>
        </w:tc>
        <w:tc>
          <w:tcPr>
            <w:tcW w:w="1171" w:type="dxa"/>
            <w:vMerge w:val="continue"/>
            <w:tcBorders>
              <w:left w:val="single" w:color="auto" w:sz="4" w:space="0"/>
              <w:right w:val="single" w:color="auto" w:sz="4" w:space="0"/>
            </w:tcBorders>
            <w:noWrap w:val="0"/>
            <w:vAlign w:val="center"/>
          </w:tcPr>
          <w:p w14:paraId="3092FA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D9B79F">
            <w:pPr>
              <w:pStyle w:val="39"/>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20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160BB293">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7351882">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1285AB2">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9E5E66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个</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284CD91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108700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23D4A592">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1FDE05AC">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27320AE3">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655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E2EC1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3</w:t>
            </w:r>
          </w:p>
        </w:tc>
        <w:tc>
          <w:tcPr>
            <w:tcW w:w="1171" w:type="dxa"/>
            <w:vMerge w:val="continue"/>
            <w:tcBorders>
              <w:left w:val="single" w:color="auto" w:sz="4" w:space="0"/>
              <w:right w:val="single" w:color="auto" w:sz="4" w:space="0"/>
            </w:tcBorders>
            <w:noWrap w:val="0"/>
            <w:vAlign w:val="center"/>
          </w:tcPr>
          <w:p w14:paraId="553D786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FF72F">
            <w:pPr>
              <w:pStyle w:val="39"/>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25</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056E2F16">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04746A5">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B6DC9C7">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F7FEE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个</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00ABFB6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36700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4186BB29">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1AF57F3A">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60848D4A">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D9D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1A4050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171" w:type="dxa"/>
            <w:vMerge w:val="continue"/>
            <w:tcBorders>
              <w:left w:val="single" w:color="auto" w:sz="4" w:space="0"/>
              <w:right w:val="single" w:color="auto" w:sz="4" w:space="0"/>
            </w:tcBorders>
            <w:noWrap w:val="0"/>
            <w:vAlign w:val="center"/>
          </w:tcPr>
          <w:p w14:paraId="672C67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49B19F">
            <w:pPr>
              <w:pStyle w:val="39"/>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40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31C25687">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3CD69C1">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B2F6EFF">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462BD1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个</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1D98F4F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10130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0BA1FB88">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626C0F05">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38D4D8C0">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8EB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B416C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71" w:type="dxa"/>
            <w:vMerge w:val="continue"/>
            <w:tcBorders>
              <w:left w:val="single" w:color="auto" w:sz="4" w:space="0"/>
              <w:bottom w:val="single" w:color="auto" w:sz="4" w:space="0"/>
              <w:right w:val="single" w:color="auto" w:sz="4" w:space="0"/>
            </w:tcBorders>
            <w:noWrap w:val="0"/>
            <w:vAlign w:val="center"/>
          </w:tcPr>
          <w:p w14:paraId="73D7C4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6FF54A">
            <w:pPr>
              <w:pStyle w:val="39"/>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50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757B25D9">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3DDC984">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D9F4C30">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323804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个</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398A3CD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8600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5780E250">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03B282AB">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7B65C144">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22410C19">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3979A827">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（1）投标人应列明按《用户需求书》所要求的全部货物的明细清单；</w:t>
      </w:r>
    </w:p>
    <w:p w14:paraId="0A872E3A">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val="zh-CN"/>
        </w:rPr>
        <w:t>）表格可根据实际货物种类自行扩展。</w:t>
      </w:r>
    </w:p>
    <w:p w14:paraId="24378C67">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1F7827D6">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5C7F3DC">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38B1012">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2D1BACDE">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328DD196">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8A8B9A8">
      <w:pPr>
        <w:numPr>
          <w:ilvl w:val="0"/>
          <w:numId w:val="4"/>
        </w:numPr>
        <w:autoSpaceDE/>
        <w:autoSpaceDN/>
        <w:adjustRightInd/>
        <w:spacing w:line="24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研发能力及产品先进性的证明材料</w:t>
      </w:r>
    </w:p>
    <w:p w14:paraId="3B19A90A">
      <w:pPr>
        <w:autoSpaceDE w:val="0"/>
        <w:autoSpaceDN w:val="0"/>
        <w:adjustRightInd w:val="0"/>
        <w:outlineLvl w:val="9"/>
        <w:rPr>
          <w:rFonts w:hint="eastAsia"/>
          <w:color w:val="auto"/>
          <w:highlight w:val="none"/>
        </w:rPr>
      </w:pPr>
    </w:p>
    <w:p w14:paraId="3BC280F2">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rPr>
        <w:t>说明：投标人应提供相关的许可、批复、专利证书、技术认证证书及其他相关资料等证明文件的扫描件，其中ISO10012（或GB/T 19022）测量管理体系认证证书除提供证书扫描件外，还需提供能显示证书有效状态的全国认证认可信息公共服务平台（http://cx.cnca.cn/)查询结果凭证{凭证界面需显示有“全国认证认可信息公共服务平台”或“认证证书（需显示网址cx.cnca.cn）”}，以投标人提供的上述资料作为评审依据，未按要求提供上述资料或不能体现与投标人（或所投产品制造商）关系的不得分。</w:t>
      </w:r>
    </w:p>
    <w:p w14:paraId="2834FC9E">
      <w:pPr>
        <w:numPr>
          <w:ilvl w:val="-1"/>
          <w:numId w:val="0"/>
        </w:numPr>
        <w:autoSpaceDE/>
        <w:autoSpaceDN/>
        <w:adjustRightInd/>
        <w:spacing w:line="240" w:lineRule="auto"/>
        <w:jc w:val="left"/>
        <w:outlineLvl w:val="9"/>
        <w:rPr>
          <w:rFonts w:hint="eastAsia" w:ascii="宋体" w:hAnsi="宋体" w:eastAsia="宋体" w:cs="宋体"/>
          <w:b/>
          <w:color w:val="auto"/>
          <w:kern w:val="0"/>
          <w:szCs w:val="21"/>
          <w:highlight w:val="none"/>
        </w:rPr>
      </w:pPr>
    </w:p>
    <w:p w14:paraId="5184A359">
      <w:pPr>
        <w:numPr>
          <w:ilvl w:val="-1"/>
          <w:numId w:val="0"/>
        </w:numPr>
        <w:autoSpaceDE/>
        <w:autoSpaceDN/>
        <w:adjustRightInd/>
        <w:spacing w:line="24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2317941">
      <w:pPr>
        <w:autoSpaceDE/>
        <w:autoSpaceDN/>
        <w:adjustRightInd/>
        <w:spacing w:line="240" w:lineRule="auto"/>
        <w:jc w:val="left"/>
        <w:outlineLvl w:val="9"/>
        <w:rPr>
          <w:rFonts w:hint="eastAsia" w:ascii="宋体" w:hAnsi="宋体" w:eastAsia="宋体" w:cs="宋体"/>
          <w:b/>
          <w:color w:val="auto"/>
          <w:kern w:val="0"/>
          <w:sz w:val="30"/>
          <w:szCs w:val="30"/>
          <w:highlight w:val="none"/>
        </w:rPr>
      </w:pPr>
    </w:p>
    <w:p w14:paraId="29EBF7CF">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四</w:t>
      </w:r>
      <w:r>
        <w:rPr>
          <w:rFonts w:hint="eastAsia" w:ascii="宋体" w:hAnsi="宋体" w:eastAsia="宋体" w:cs="宋体"/>
          <w:b/>
          <w:color w:val="auto"/>
          <w:kern w:val="0"/>
          <w:sz w:val="30"/>
          <w:szCs w:val="30"/>
          <w:highlight w:val="none"/>
        </w:rPr>
        <w:t>、投标产品的设计及性能的证明材料</w:t>
      </w:r>
    </w:p>
    <w:p w14:paraId="13E9A0C5">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 w:val="21"/>
          <w:szCs w:val="21"/>
          <w:highlight w:val="none"/>
          <w:lang w:val="en-US" w:eastAsia="zh-CN"/>
        </w:rPr>
        <w:t>说明：1、投标人必须提供投标产品性能说明书或其他能体现投标产品性能的证明材料，以此证明材料作为依据进行评审；2、投标人提供的水表类型【提供：DN20旋翼式远传水表】的省级或省级以上质量监督检测机构或第三方具有 CMA 资格的检测机构或第三方具有CNAS 认证的检测机构出具的检验报告进行评审。</w:t>
      </w:r>
    </w:p>
    <w:p w14:paraId="61487FB5">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p>
    <w:p w14:paraId="196C7D94">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818E70B">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五、生产制造能力的证明材料</w:t>
      </w:r>
    </w:p>
    <w:p w14:paraId="00003E25">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 w:val="21"/>
          <w:szCs w:val="21"/>
          <w:highlight w:val="none"/>
          <w:lang w:val="en-US" w:eastAsia="zh-CN"/>
        </w:rPr>
        <w:t>说明：投标人应提供2025年1月1日或以后拍摄的有关生产设备、检测设备、制造工艺流程及质检设备的照片/图片（照片/图片须清晰反映拍摄时间，否则评标时将不予考虑），以及相关设备设施清单和（付款单位/购买方为所投产品制造商）采购合同及购置发票原件扫描件等证明材料，以投标人提供的上述资料作为评审依据。</w:t>
      </w:r>
    </w:p>
    <w:p w14:paraId="72AC6870">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p>
    <w:p w14:paraId="0DEB93FB">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7328975">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六、售后服务方案</w:t>
      </w:r>
    </w:p>
    <w:p w14:paraId="1B714D0A">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6-1 售后服务方案</w:t>
      </w:r>
    </w:p>
    <w:p w14:paraId="4418805C">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说明：投标人自行编写。</w:t>
      </w:r>
    </w:p>
    <w:p w14:paraId="4591EDB7">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p>
    <w:p w14:paraId="0D077E80">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p>
    <w:p w14:paraId="3BB6B2CE">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1D78593">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6-2 售后服务响应时间承诺表</w:t>
      </w:r>
    </w:p>
    <w:p w14:paraId="18F9FEEF">
      <w:pPr>
        <w:jc w:val="center"/>
        <w:rPr>
          <w:rFonts w:hint="eastAsia" w:ascii="宋体" w:hAnsi="宋体" w:eastAsia="宋体" w:cs="宋体"/>
          <w:b/>
          <w:color w:val="auto"/>
          <w:sz w:val="28"/>
          <w:szCs w:val="30"/>
          <w:highlight w:val="none"/>
        </w:rPr>
      </w:pPr>
      <w:r>
        <w:rPr>
          <w:rFonts w:hint="eastAsia" w:ascii="宋体" w:hAnsi="宋体" w:eastAsia="宋体" w:cs="宋体"/>
          <w:b/>
          <w:color w:val="auto"/>
          <w:sz w:val="28"/>
          <w:szCs w:val="30"/>
          <w:highlight w:val="none"/>
        </w:rPr>
        <w:t>售后服务响应时间承诺表</w:t>
      </w:r>
    </w:p>
    <w:tbl>
      <w:tblPr>
        <w:tblStyle w:val="44"/>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115"/>
      </w:tblGrid>
      <w:tr w14:paraId="7DF7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48" w:type="dxa"/>
            <w:noWrap w:val="0"/>
            <w:vAlign w:val="center"/>
          </w:tcPr>
          <w:p w14:paraId="6B48A1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9115" w:type="dxa"/>
            <w:noWrap w:val="0"/>
            <w:vAlign w:val="center"/>
          </w:tcPr>
          <w:p w14:paraId="70D6DB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r>
      <w:tr w14:paraId="3A84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005BFE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1</w:t>
            </w:r>
          </w:p>
        </w:tc>
        <w:tc>
          <w:tcPr>
            <w:tcW w:w="9115" w:type="dxa"/>
            <w:noWrap w:val="0"/>
            <w:vAlign w:val="center"/>
          </w:tcPr>
          <w:p w14:paraId="61A76483">
            <w:pPr>
              <w:keepNext w:val="0"/>
              <w:keepLines w:val="0"/>
              <w:suppressLineNumbers w:val="0"/>
              <w:spacing w:before="0" w:beforeAutospacing="0" w:after="0" w:afterAutospacing="0" w:line="360" w:lineRule="auto"/>
              <w:ind w:left="0" w:right="0"/>
              <w:rPr>
                <w:rFonts w:hint="eastAsia"/>
                <w:color w:val="auto"/>
                <w:highlight w:val="none"/>
              </w:rPr>
            </w:pPr>
            <w:r>
              <w:rPr>
                <w:rFonts w:hint="eastAsia" w:ascii="宋体" w:hAnsi="宋体" w:eastAsia="宋体" w:cs="宋体"/>
                <w:color w:val="auto"/>
                <w:sz w:val="21"/>
                <w:szCs w:val="21"/>
                <w:highlight w:val="none"/>
              </w:rPr>
              <w:t>我方承诺在合同规定的质保期内，在接到招标人的</w:t>
            </w:r>
            <w:r>
              <w:rPr>
                <w:rFonts w:hint="eastAsia" w:ascii="宋体" w:hAnsi="宋体" w:eastAsia="宋体" w:cs="宋体"/>
                <w:color w:val="auto"/>
                <w:sz w:val="21"/>
                <w:szCs w:val="21"/>
                <w:highlight w:val="none"/>
                <w:lang w:val="en-US" w:eastAsia="zh-CN"/>
              </w:rPr>
              <w:t>售后服务</w:t>
            </w:r>
            <w:r>
              <w:rPr>
                <w:rFonts w:hint="eastAsia" w:ascii="宋体" w:hAnsi="宋体" w:eastAsia="宋体" w:cs="宋体"/>
                <w:color w:val="auto"/>
                <w:sz w:val="21"/>
                <w:szCs w:val="21"/>
                <w:highlight w:val="none"/>
              </w:rPr>
              <w:t>通知后</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内响应，</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内到达项目现场进行维修等服务。</w:t>
            </w:r>
          </w:p>
        </w:tc>
      </w:tr>
    </w:tbl>
    <w:p w14:paraId="395B88AB">
      <w:pPr>
        <w:spacing w:line="360" w:lineRule="auto"/>
        <w:ind w:left="360" w:right="420" w:firstLine="3255" w:firstLineChars="1550"/>
        <w:rPr>
          <w:rFonts w:hint="eastAsia" w:ascii="宋体" w:hAnsi="宋体" w:eastAsia="宋体" w:cs="宋体"/>
          <w:color w:val="auto"/>
          <w:sz w:val="21"/>
          <w:szCs w:val="21"/>
          <w:highlight w:val="none"/>
        </w:rPr>
      </w:pPr>
    </w:p>
    <w:p w14:paraId="3C93FF1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43B5887">
      <w:pPr>
        <w:spacing w:line="360" w:lineRule="auto"/>
        <w:ind w:firstLine="424" w:firstLineChars="201"/>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1.本表承诺事项若未填或漏填的，视为投标人按用户需求书响应。</w:t>
      </w:r>
    </w:p>
    <w:p w14:paraId="4819615D">
      <w:pPr>
        <w:spacing w:line="360" w:lineRule="auto"/>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2.本表承诺事项若与投标文件其他地方表述不一致的，以本承诺表为准。</w:t>
      </w:r>
    </w:p>
    <w:p w14:paraId="3EEE5203">
      <w:pPr>
        <w:spacing w:line="360" w:lineRule="auto"/>
        <w:ind w:left="360" w:right="420" w:firstLine="3255" w:firstLineChars="1550"/>
        <w:rPr>
          <w:rFonts w:hint="eastAsia" w:ascii="宋体" w:hAnsi="宋体" w:eastAsia="宋体" w:cs="宋体"/>
          <w:color w:val="auto"/>
          <w:kern w:val="3"/>
          <w:highlight w:val="none"/>
        </w:rPr>
      </w:pPr>
    </w:p>
    <w:p w14:paraId="2C813773">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3781FA4">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A688D7A">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05BBF86F">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2A643943">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bookmarkEnd w:id="930"/>
    <w:bookmarkEnd w:id="931"/>
    <w:bookmarkEnd w:id="932"/>
    <w:bookmarkEnd w:id="933"/>
    <w:bookmarkEnd w:id="934"/>
    <w:p w14:paraId="56E44FE9">
      <w:pPr>
        <w:tabs>
          <w:tab w:val="left" w:pos="567"/>
        </w:tabs>
        <w:autoSpaceDE w:val="0"/>
        <w:autoSpaceDN w:val="0"/>
        <w:adjustRightInd w:val="0"/>
        <w:spacing w:line="360" w:lineRule="auto"/>
        <w:jc w:val="left"/>
        <w:outlineLvl w:val="3"/>
        <w:rPr>
          <w:rFonts w:ascii="宋体" w:hAnsi="宋体" w:eastAsia="宋体" w:cs="宋体"/>
          <w:b/>
          <w:color w:val="auto"/>
          <w:kern w:val="0"/>
          <w:sz w:val="30"/>
          <w:szCs w:val="30"/>
          <w:highlight w:val="none"/>
        </w:rPr>
      </w:pPr>
      <w:bookmarkStart w:id="936" w:name="_Toc31805"/>
      <w:bookmarkStart w:id="937" w:name="_Toc195714409"/>
      <w:r>
        <w:rPr>
          <w:rFonts w:hint="eastAsia" w:ascii="宋体" w:hAnsi="宋体" w:eastAsia="宋体" w:cs="宋体"/>
          <w:b/>
          <w:color w:val="auto"/>
          <w:kern w:val="0"/>
          <w:sz w:val="30"/>
          <w:szCs w:val="30"/>
          <w:highlight w:val="none"/>
          <w:lang w:val="en-US" w:eastAsia="zh-CN" w:bidi="ar"/>
        </w:rPr>
        <w:t>七</w:t>
      </w:r>
      <w:r>
        <w:rPr>
          <w:rFonts w:hint="eastAsia" w:ascii="宋体" w:hAnsi="宋体" w:eastAsia="宋体" w:cs="宋体"/>
          <w:b/>
          <w:color w:val="auto"/>
          <w:kern w:val="0"/>
          <w:sz w:val="30"/>
          <w:szCs w:val="30"/>
          <w:highlight w:val="none"/>
        </w:rPr>
        <w:t>、投标人认为有必要提供的其它材料（不做强制要求）</w:t>
      </w:r>
      <w:bookmarkEnd w:id="936"/>
      <w:bookmarkEnd w:id="937"/>
    </w:p>
    <w:p w14:paraId="52CDBBBA">
      <w:pPr>
        <w:autoSpaceDE w:val="0"/>
        <w:autoSpaceDN w:val="0"/>
        <w:adjustRightInd w:val="0"/>
        <w:jc w:val="left"/>
        <w:rPr>
          <w:rFonts w:ascii="宋体" w:hAnsi="宋体" w:eastAsia="宋体" w:cs="Times New Roman"/>
          <w:color w:val="auto"/>
          <w:kern w:val="0"/>
          <w:sz w:val="24"/>
          <w:szCs w:val="24"/>
          <w:highlight w:val="none"/>
        </w:rPr>
      </w:pPr>
    </w:p>
    <w:p w14:paraId="188740FB">
      <w:pPr>
        <w:autoSpaceDE w:val="0"/>
        <w:autoSpaceDN w:val="0"/>
        <w:adjustRightInd w:val="0"/>
        <w:jc w:val="left"/>
        <w:rPr>
          <w:rFonts w:ascii="宋体" w:hAnsi="宋体" w:eastAsia="宋体" w:cs="Times New Roman"/>
          <w:color w:val="auto"/>
          <w:kern w:val="0"/>
          <w:sz w:val="24"/>
          <w:szCs w:val="24"/>
          <w:highlight w:val="none"/>
        </w:rPr>
      </w:pPr>
    </w:p>
    <w:p w14:paraId="7858BA78">
      <w:pPr>
        <w:autoSpaceDE w:val="0"/>
        <w:autoSpaceDN w:val="0"/>
        <w:adjustRightInd w:val="0"/>
        <w:jc w:val="left"/>
        <w:rPr>
          <w:rFonts w:ascii="宋体" w:hAnsi="宋体" w:eastAsia="宋体" w:cs="Times New Roman"/>
          <w:color w:val="auto"/>
          <w:kern w:val="0"/>
          <w:sz w:val="24"/>
          <w:szCs w:val="24"/>
          <w:highlight w:val="none"/>
        </w:rPr>
      </w:pPr>
    </w:p>
    <w:p w14:paraId="3028518A">
      <w:pPr>
        <w:autoSpaceDE w:val="0"/>
        <w:autoSpaceDN w:val="0"/>
        <w:adjustRightInd w:val="0"/>
        <w:jc w:val="left"/>
        <w:rPr>
          <w:rFonts w:ascii="宋体" w:hAnsi="宋体" w:eastAsia="宋体" w:cs="Times New Roman"/>
          <w:color w:val="auto"/>
          <w:kern w:val="0"/>
          <w:sz w:val="24"/>
          <w:szCs w:val="24"/>
          <w:highlight w:val="none"/>
        </w:rPr>
      </w:pPr>
    </w:p>
    <w:p w14:paraId="638C3A40">
      <w:pPr>
        <w:autoSpaceDE/>
        <w:autoSpaceDN/>
        <w:adjustRightInd/>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772E044">
      <w:pPr>
        <w:keepNext w:val="0"/>
        <w:keepLines w:val="0"/>
        <w:pageBreakBefore w:val="0"/>
        <w:widowControl w:val="0"/>
        <w:kinsoku/>
        <w:wordWrap/>
        <w:overflowPunct/>
        <w:topLinePunct w:val="0"/>
        <w:autoSpaceDE/>
        <w:autoSpaceDN/>
        <w:bidi w:val="0"/>
        <w:adjustRightInd/>
        <w:snapToGrid/>
        <w:jc w:val="center"/>
        <w:textAlignment w:val="auto"/>
        <w:outlineLvl w:val="3"/>
        <w:rPr>
          <w:rFonts w:ascii="宋体" w:hAnsi="宋体" w:eastAsia="宋体" w:cs="宋体"/>
          <w:b/>
          <w:color w:val="auto"/>
          <w:kern w:val="0"/>
          <w:sz w:val="32"/>
          <w:szCs w:val="32"/>
          <w:highlight w:val="none"/>
        </w:rPr>
      </w:pPr>
      <w:bookmarkStart w:id="938" w:name="_Toc195714410"/>
      <w:bookmarkStart w:id="939" w:name="_Toc13980"/>
      <w:r>
        <w:rPr>
          <w:rFonts w:hint="eastAsia" w:ascii="宋体" w:hAnsi="宋体" w:eastAsia="宋体" w:cs="宋体"/>
          <w:b/>
          <w:color w:val="auto"/>
          <w:kern w:val="0"/>
          <w:sz w:val="32"/>
          <w:szCs w:val="32"/>
          <w:highlight w:val="none"/>
        </w:rPr>
        <w:t>三  投标文件报价信封格式</w:t>
      </w:r>
      <w:bookmarkEnd w:id="938"/>
      <w:bookmarkEnd w:id="939"/>
    </w:p>
    <w:p w14:paraId="237F7AE8">
      <w:pPr>
        <w:jc w:val="center"/>
        <w:rPr>
          <w:rFonts w:ascii="宋体" w:hAnsi="宋体" w:eastAsia="宋体" w:cs="宋体"/>
          <w:b/>
          <w:color w:val="auto"/>
          <w:kern w:val="0"/>
          <w:sz w:val="32"/>
          <w:szCs w:val="32"/>
          <w:highlight w:val="none"/>
        </w:rPr>
      </w:pPr>
    </w:p>
    <w:p w14:paraId="75420648">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16D56001">
      <w:pPr>
        <w:autoSpaceDE w:val="0"/>
        <w:autoSpaceDN w:val="0"/>
        <w:adjustRightInd w:val="0"/>
        <w:jc w:val="left"/>
        <w:rPr>
          <w:rFonts w:ascii="宋体" w:hAnsi="宋体" w:eastAsia="宋体" w:cs="Times New Roman"/>
          <w:color w:val="auto"/>
          <w:kern w:val="0"/>
          <w:sz w:val="24"/>
          <w:szCs w:val="24"/>
          <w:highlight w:val="none"/>
        </w:rPr>
      </w:pPr>
    </w:p>
    <w:p w14:paraId="5636D278">
      <w:pPr>
        <w:autoSpaceDE w:val="0"/>
        <w:autoSpaceDN w:val="0"/>
        <w:adjustRightInd w:val="0"/>
        <w:jc w:val="left"/>
        <w:rPr>
          <w:rFonts w:ascii="宋体" w:hAnsi="宋体" w:eastAsia="宋体" w:cs="Times New Roman"/>
          <w:color w:val="auto"/>
          <w:kern w:val="0"/>
          <w:sz w:val="24"/>
          <w:szCs w:val="24"/>
          <w:highlight w:val="none"/>
        </w:rPr>
      </w:pPr>
    </w:p>
    <w:p w14:paraId="442B2BE4">
      <w:pPr>
        <w:autoSpaceDE w:val="0"/>
        <w:autoSpaceDN w:val="0"/>
        <w:adjustRightInd w:val="0"/>
        <w:jc w:val="left"/>
        <w:rPr>
          <w:rFonts w:ascii="宋体" w:hAnsi="宋体" w:eastAsia="宋体" w:cs="Times New Roman"/>
          <w:color w:val="auto"/>
          <w:kern w:val="0"/>
          <w:sz w:val="24"/>
          <w:szCs w:val="24"/>
          <w:highlight w:val="none"/>
        </w:rPr>
      </w:pPr>
    </w:p>
    <w:p w14:paraId="12262B29">
      <w:pPr>
        <w:autoSpaceDE w:val="0"/>
        <w:autoSpaceDN w:val="0"/>
        <w:adjustRightInd w:val="0"/>
        <w:jc w:val="left"/>
        <w:rPr>
          <w:rFonts w:ascii="宋体" w:hAnsi="宋体" w:eastAsia="宋体" w:cs="Times New Roman"/>
          <w:color w:val="auto"/>
          <w:kern w:val="0"/>
          <w:sz w:val="24"/>
          <w:szCs w:val="24"/>
          <w:highlight w:val="none"/>
        </w:rPr>
      </w:pPr>
    </w:p>
    <w:p w14:paraId="55922441">
      <w:pPr>
        <w:autoSpaceDE w:val="0"/>
        <w:autoSpaceDN w:val="0"/>
        <w:adjustRightInd w:val="0"/>
        <w:jc w:val="left"/>
        <w:rPr>
          <w:rFonts w:ascii="宋体" w:hAnsi="宋体" w:eastAsia="宋体" w:cs="Times New Roman"/>
          <w:color w:val="auto"/>
          <w:kern w:val="0"/>
          <w:sz w:val="24"/>
          <w:szCs w:val="24"/>
          <w:highlight w:val="none"/>
        </w:rPr>
      </w:pPr>
    </w:p>
    <w:p w14:paraId="6BA7933A">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5B45BF5C">
      <w:pPr>
        <w:autoSpaceDE w:val="0"/>
        <w:autoSpaceDN w:val="0"/>
        <w:adjustRightInd w:val="0"/>
        <w:jc w:val="left"/>
        <w:rPr>
          <w:rFonts w:ascii="宋体" w:hAnsi="宋体" w:eastAsia="宋体" w:cs="Times New Roman"/>
          <w:color w:val="auto"/>
          <w:kern w:val="0"/>
          <w:sz w:val="24"/>
          <w:szCs w:val="24"/>
          <w:highlight w:val="none"/>
        </w:rPr>
      </w:pPr>
    </w:p>
    <w:p w14:paraId="4DC2BA00">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940" w:name="_Toc15947"/>
      <w:bookmarkStart w:id="941" w:name="_Toc17825"/>
      <w:bookmarkStart w:id="942" w:name="_Toc142508390"/>
      <w:bookmarkStart w:id="943" w:name="_Toc14977"/>
      <w:bookmarkStart w:id="944" w:name="_Toc21059"/>
      <w:bookmarkStart w:id="945" w:name="_Toc195714411"/>
      <w:bookmarkStart w:id="946" w:name="_Toc23387"/>
      <w:bookmarkStart w:id="947" w:name="_Toc521918141"/>
      <w:bookmarkStart w:id="948" w:name="_Toc22601_WPSOffice_Level1"/>
      <w:bookmarkStart w:id="949" w:name="_Toc522047402"/>
      <w:r>
        <w:rPr>
          <w:rFonts w:hint="eastAsia" w:ascii="宋体" w:hAnsi="宋体" w:eastAsia="宋体" w:cs="宋体"/>
          <w:b/>
          <w:bCs/>
          <w:color w:val="auto"/>
          <w:kern w:val="44"/>
          <w:sz w:val="32"/>
          <w:szCs w:val="32"/>
          <w:highlight w:val="none"/>
          <w:lang w:val="zh-CN"/>
        </w:rPr>
        <w:t>附件一：评标工作大纲</w:t>
      </w:r>
      <w:bookmarkEnd w:id="940"/>
      <w:bookmarkEnd w:id="941"/>
      <w:bookmarkEnd w:id="942"/>
      <w:bookmarkEnd w:id="943"/>
      <w:bookmarkEnd w:id="944"/>
      <w:bookmarkEnd w:id="945"/>
      <w:bookmarkEnd w:id="946"/>
    </w:p>
    <w:p w14:paraId="702DE683">
      <w:pPr>
        <w:autoSpaceDE w:val="0"/>
        <w:autoSpaceDN w:val="0"/>
        <w:adjustRightInd w:val="0"/>
        <w:spacing w:line="400" w:lineRule="atLeast"/>
        <w:jc w:val="center"/>
        <w:rPr>
          <w:rFonts w:ascii="宋体" w:hAnsi="宋体" w:eastAsia="宋体" w:cs="宋体"/>
          <w:b/>
          <w:bCs/>
          <w:color w:val="auto"/>
          <w:szCs w:val="21"/>
          <w:highlight w:val="none"/>
        </w:rPr>
      </w:pPr>
    </w:p>
    <w:p w14:paraId="7479F65B">
      <w:pPr>
        <w:autoSpaceDE w:val="0"/>
        <w:autoSpaceDN w:val="0"/>
        <w:adjustRightInd w:val="0"/>
        <w:spacing w:line="400" w:lineRule="atLeast"/>
        <w:jc w:val="center"/>
        <w:rPr>
          <w:rFonts w:ascii="宋体" w:hAnsi="宋体" w:eastAsia="宋体" w:cs="宋体"/>
          <w:b/>
          <w:bCs/>
          <w:color w:val="auto"/>
          <w:szCs w:val="21"/>
          <w:highlight w:val="none"/>
        </w:rPr>
      </w:pPr>
    </w:p>
    <w:p w14:paraId="5E4E34F9">
      <w:pPr>
        <w:autoSpaceDE w:val="0"/>
        <w:autoSpaceDN w:val="0"/>
        <w:adjustRightInd w:val="0"/>
        <w:spacing w:line="400" w:lineRule="atLeast"/>
        <w:jc w:val="center"/>
        <w:rPr>
          <w:rFonts w:ascii="宋体" w:hAnsi="宋体" w:eastAsia="宋体" w:cs="宋体"/>
          <w:b/>
          <w:bCs/>
          <w:color w:val="auto"/>
          <w:szCs w:val="21"/>
          <w:highlight w:val="none"/>
        </w:rPr>
      </w:pPr>
    </w:p>
    <w:p w14:paraId="7FA690D2">
      <w:pPr>
        <w:autoSpaceDE w:val="0"/>
        <w:autoSpaceDN w:val="0"/>
        <w:adjustRightInd w:val="0"/>
        <w:spacing w:line="400" w:lineRule="atLeast"/>
        <w:jc w:val="center"/>
        <w:rPr>
          <w:rFonts w:ascii="宋体" w:hAnsi="宋体" w:eastAsia="宋体" w:cs="宋体"/>
          <w:b/>
          <w:bCs/>
          <w:color w:val="auto"/>
          <w:szCs w:val="21"/>
          <w:highlight w:val="none"/>
        </w:rPr>
      </w:pPr>
    </w:p>
    <w:p w14:paraId="39BCFAD2">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东莞市供水计量设施更新项目(2025年计量仪表采购)－旋翼式远传水表</w:t>
      </w:r>
    </w:p>
    <w:p w14:paraId="692069AF">
      <w:pPr>
        <w:autoSpaceDE w:val="0"/>
        <w:autoSpaceDN w:val="0"/>
        <w:adjustRightInd w:val="0"/>
        <w:spacing w:line="360" w:lineRule="auto"/>
        <w:jc w:val="center"/>
        <w:rPr>
          <w:rFonts w:ascii="宋体" w:hAnsi="宋体" w:eastAsia="宋体" w:cs="宋体"/>
          <w:b/>
          <w:bCs/>
          <w:color w:val="auto"/>
          <w:sz w:val="36"/>
          <w:szCs w:val="36"/>
          <w:highlight w:val="none"/>
        </w:rPr>
      </w:pPr>
      <w:bookmarkStart w:id="950" w:name="_Toc14752_WPSOffice_Level1"/>
      <w:r>
        <w:rPr>
          <w:rFonts w:hint="eastAsia" w:ascii="宋体" w:hAnsi="宋体" w:eastAsia="宋体" w:cs="宋体"/>
          <w:b/>
          <w:bCs/>
          <w:color w:val="auto"/>
          <w:sz w:val="36"/>
          <w:szCs w:val="36"/>
          <w:highlight w:val="none"/>
          <w:lang w:val="zh-CN"/>
        </w:rPr>
        <w:t>（招标编号：</w:t>
      </w:r>
      <w:r>
        <w:rPr>
          <w:rFonts w:hint="eastAsia" w:ascii="宋体" w:hAnsi="宋体" w:eastAsia="宋体" w:cs="宋体"/>
          <w:b/>
          <w:bCs/>
          <w:color w:val="auto"/>
          <w:sz w:val="36"/>
          <w:szCs w:val="36"/>
          <w:highlight w:val="none"/>
          <w:u w:val="single"/>
          <w:lang w:val="zh-CN"/>
        </w:rPr>
        <w:t>SSWSSZ12501144</w:t>
      </w:r>
      <w:r>
        <w:rPr>
          <w:rFonts w:hint="eastAsia" w:ascii="宋体" w:hAnsi="宋体" w:eastAsia="宋体" w:cs="宋体"/>
          <w:b/>
          <w:bCs/>
          <w:color w:val="auto"/>
          <w:sz w:val="36"/>
          <w:szCs w:val="36"/>
          <w:highlight w:val="none"/>
          <w:lang w:val="zh-CN"/>
        </w:rPr>
        <w:t>）</w:t>
      </w:r>
      <w:bookmarkEnd w:id="950"/>
    </w:p>
    <w:p w14:paraId="62CFE55D">
      <w:pPr>
        <w:autoSpaceDE w:val="0"/>
        <w:autoSpaceDN w:val="0"/>
        <w:adjustRightInd w:val="0"/>
        <w:spacing w:line="400" w:lineRule="atLeast"/>
        <w:jc w:val="center"/>
        <w:rPr>
          <w:rFonts w:ascii="宋体" w:hAnsi="宋体" w:eastAsia="宋体" w:cs="宋体"/>
          <w:b/>
          <w:bCs/>
          <w:color w:val="auto"/>
          <w:sz w:val="36"/>
          <w:szCs w:val="36"/>
          <w:highlight w:val="none"/>
        </w:rPr>
      </w:pPr>
    </w:p>
    <w:p w14:paraId="2CE65DA7">
      <w:pPr>
        <w:autoSpaceDE w:val="0"/>
        <w:autoSpaceDN w:val="0"/>
        <w:adjustRightInd w:val="0"/>
        <w:spacing w:line="400" w:lineRule="atLeast"/>
        <w:jc w:val="center"/>
        <w:rPr>
          <w:rFonts w:ascii="宋体" w:hAnsi="宋体" w:eastAsia="宋体" w:cs="宋体"/>
          <w:b/>
          <w:bCs/>
          <w:color w:val="auto"/>
          <w:sz w:val="36"/>
          <w:szCs w:val="36"/>
          <w:highlight w:val="none"/>
        </w:rPr>
      </w:pPr>
    </w:p>
    <w:p w14:paraId="6DB449E5">
      <w:pPr>
        <w:autoSpaceDE w:val="0"/>
        <w:autoSpaceDN w:val="0"/>
        <w:adjustRightInd w:val="0"/>
        <w:spacing w:line="400" w:lineRule="atLeast"/>
        <w:jc w:val="center"/>
        <w:rPr>
          <w:rFonts w:ascii="宋体" w:hAnsi="宋体" w:eastAsia="宋体" w:cs="宋体"/>
          <w:b/>
          <w:bCs/>
          <w:color w:val="auto"/>
          <w:sz w:val="36"/>
          <w:szCs w:val="36"/>
          <w:highlight w:val="none"/>
        </w:rPr>
      </w:pPr>
    </w:p>
    <w:p w14:paraId="11A6CF2E">
      <w:pPr>
        <w:autoSpaceDE w:val="0"/>
        <w:autoSpaceDN w:val="0"/>
        <w:adjustRightInd w:val="0"/>
        <w:spacing w:line="400" w:lineRule="atLeast"/>
        <w:jc w:val="center"/>
        <w:rPr>
          <w:rFonts w:ascii="宋体" w:hAnsi="宋体" w:eastAsia="宋体" w:cs="宋体"/>
          <w:b/>
          <w:bCs/>
          <w:color w:val="auto"/>
          <w:sz w:val="36"/>
          <w:szCs w:val="36"/>
          <w:highlight w:val="none"/>
        </w:rPr>
      </w:pPr>
    </w:p>
    <w:p w14:paraId="3F639E50">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951" w:name="_Toc18947_WPSOffice_Level2"/>
      <w:r>
        <w:rPr>
          <w:rFonts w:hint="eastAsia" w:ascii="宋体" w:hAnsi="宋体" w:eastAsia="宋体" w:cs="宋体"/>
          <w:b/>
          <w:bCs/>
          <w:color w:val="auto"/>
          <w:sz w:val="72"/>
          <w:szCs w:val="72"/>
          <w:highlight w:val="none"/>
          <w:lang w:val="zh-CN"/>
        </w:rPr>
        <w:t>评标工作大纲</w:t>
      </w:r>
      <w:bookmarkEnd w:id="951"/>
    </w:p>
    <w:p w14:paraId="60E76A64">
      <w:pPr>
        <w:autoSpaceDE w:val="0"/>
        <w:autoSpaceDN w:val="0"/>
        <w:adjustRightInd w:val="0"/>
        <w:spacing w:line="400" w:lineRule="atLeast"/>
        <w:jc w:val="center"/>
        <w:rPr>
          <w:rFonts w:ascii="宋体" w:hAnsi="宋体" w:eastAsia="宋体" w:cs="宋体"/>
          <w:b/>
          <w:bCs/>
          <w:color w:val="auto"/>
          <w:sz w:val="36"/>
          <w:szCs w:val="36"/>
          <w:highlight w:val="none"/>
        </w:rPr>
      </w:pPr>
    </w:p>
    <w:p w14:paraId="10BFECFA">
      <w:pPr>
        <w:autoSpaceDE w:val="0"/>
        <w:autoSpaceDN w:val="0"/>
        <w:adjustRightInd w:val="0"/>
        <w:spacing w:line="400" w:lineRule="atLeast"/>
        <w:rPr>
          <w:rFonts w:ascii="宋体" w:hAnsi="宋体" w:eastAsia="宋体" w:cs="宋体"/>
          <w:b/>
          <w:bCs/>
          <w:color w:val="auto"/>
          <w:sz w:val="36"/>
          <w:szCs w:val="36"/>
          <w:highlight w:val="none"/>
        </w:rPr>
      </w:pPr>
    </w:p>
    <w:p w14:paraId="383DAC04">
      <w:pPr>
        <w:autoSpaceDE w:val="0"/>
        <w:autoSpaceDN w:val="0"/>
        <w:adjustRightInd w:val="0"/>
        <w:spacing w:line="400" w:lineRule="atLeast"/>
        <w:jc w:val="center"/>
        <w:rPr>
          <w:rFonts w:ascii="宋体" w:hAnsi="宋体" w:eastAsia="宋体" w:cs="宋体"/>
          <w:b/>
          <w:bCs/>
          <w:color w:val="auto"/>
          <w:sz w:val="36"/>
          <w:szCs w:val="36"/>
          <w:highlight w:val="none"/>
        </w:rPr>
      </w:pPr>
    </w:p>
    <w:p w14:paraId="2CDAF24F">
      <w:pPr>
        <w:autoSpaceDE w:val="0"/>
        <w:autoSpaceDN w:val="0"/>
        <w:adjustRightInd w:val="0"/>
        <w:spacing w:line="400" w:lineRule="atLeast"/>
        <w:jc w:val="center"/>
        <w:rPr>
          <w:rFonts w:ascii="宋体" w:hAnsi="宋体" w:eastAsia="宋体" w:cs="宋体"/>
          <w:b/>
          <w:bCs/>
          <w:color w:val="auto"/>
          <w:sz w:val="36"/>
          <w:szCs w:val="36"/>
          <w:highlight w:val="none"/>
        </w:rPr>
      </w:pPr>
    </w:p>
    <w:p w14:paraId="25B8C747">
      <w:pPr>
        <w:autoSpaceDE w:val="0"/>
        <w:autoSpaceDN w:val="0"/>
        <w:adjustRightInd w:val="0"/>
        <w:spacing w:line="400" w:lineRule="atLeast"/>
        <w:jc w:val="center"/>
        <w:rPr>
          <w:rFonts w:ascii="宋体" w:hAnsi="宋体" w:eastAsia="宋体" w:cs="宋体"/>
          <w:b/>
          <w:bCs/>
          <w:color w:val="auto"/>
          <w:sz w:val="36"/>
          <w:szCs w:val="36"/>
          <w:highlight w:val="none"/>
        </w:rPr>
      </w:pPr>
    </w:p>
    <w:p w14:paraId="194CF6B1">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东莞市达盛招标代理有限公司</w:t>
      </w:r>
    </w:p>
    <w:p w14:paraId="745C25A3">
      <w:pPr>
        <w:autoSpaceDE w:val="0"/>
        <w:autoSpaceDN w:val="0"/>
        <w:adjustRightInd w:val="0"/>
        <w:spacing w:line="400" w:lineRule="atLeast"/>
        <w:jc w:val="center"/>
        <w:rPr>
          <w:rFonts w:ascii="宋体" w:hAnsi="宋体" w:eastAsia="宋体" w:cs="宋体"/>
          <w:b/>
          <w:bCs/>
          <w:color w:val="auto"/>
          <w:sz w:val="36"/>
          <w:szCs w:val="36"/>
          <w:highlight w:val="none"/>
        </w:rPr>
      </w:pPr>
    </w:p>
    <w:p w14:paraId="3DB2F54F">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952" w:name="_Toc32395_WPSOffice_Level1"/>
      <w:r>
        <w:rPr>
          <w:rFonts w:hint="eastAsia" w:ascii="宋体" w:hAnsi="宋体" w:eastAsia="宋体" w:cs="宋体"/>
          <w:b/>
          <w:bCs/>
          <w:color w:val="auto"/>
          <w:sz w:val="36"/>
          <w:szCs w:val="36"/>
          <w:highlight w:val="none"/>
          <w:lang w:val="zh-CN"/>
        </w:rPr>
        <w:t>目录</w:t>
      </w:r>
      <w:bookmarkEnd w:id="952"/>
    </w:p>
    <w:p w14:paraId="0953BD37">
      <w:pPr>
        <w:autoSpaceDE w:val="0"/>
        <w:autoSpaceDN w:val="0"/>
        <w:adjustRightInd w:val="0"/>
        <w:spacing w:line="400" w:lineRule="atLeast"/>
        <w:jc w:val="center"/>
        <w:rPr>
          <w:rFonts w:ascii="宋体" w:hAnsi="宋体" w:eastAsia="宋体" w:cs="宋体"/>
          <w:color w:val="auto"/>
          <w:sz w:val="44"/>
          <w:szCs w:val="44"/>
          <w:highlight w:val="none"/>
        </w:rPr>
      </w:pPr>
    </w:p>
    <w:p w14:paraId="25E48A1C">
      <w:pPr>
        <w:autoSpaceDE w:val="0"/>
        <w:autoSpaceDN w:val="0"/>
        <w:adjustRightInd w:val="0"/>
        <w:spacing w:line="360" w:lineRule="auto"/>
        <w:ind w:left="567" w:hanging="567"/>
        <w:rPr>
          <w:rFonts w:ascii="宋体" w:hAnsi="宋体" w:eastAsia="宋体" w:cs="宋体"/>
          <w:color w:val="auto"/>
          <w:szCs w:val="30"/>
          <w:highlight w:val="none"/>
        </w:rPr>
      </w:pPr>
      <w:bookmarkStart w:id="95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953"/>
    </w:p>
    <w:p w14:paraId="35AAD5A5">
      <w:pPr>
        <w:autoSpaceDE w:val="0"/>
        <w:autoSpaceDN w:val="0"/>
        <w:adjustRightInd w:val="0"/>
        <w:spacing w:line="360" w:lineRule="auto"/>
        <w:ind w:left="567" w:hanging="567"/>
        <w:rPr>
          <w:rFonts w:ascii="宋体" w:hAnsi="宋体" w:eastAsia="宋体" w:cs="宋体"/>
          <w:color w:val="auto"/>
          <w:szCs w:val="30"/>
          <w:highlight w:val="none"/>
        </w:rPr>
      </w:pPr>
      <w:bookmarkStart w:id="95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954"/>
    </w:p>
    <w:p w14:paraId="4D6E31E4">
      <w:pPr>
        <w:autoSpaceDE w:val="0"/>
        <w:autoSpaceDN w:val="0"/>
        <w:adjustRightInd w:val="0"/>
        <w:spacing w:line="360" w:lineRule="auto"/>
        <w:ind w:left="567" w:hanging="567"/>
        <w:rPr>
          <w:rFonts w:ascii="宋体" w:hAnsi="宋体" w:eastAsia="宋体" w:cs="宋体"/>
          <w:color w:val="auto"/>
          <w:szCs w:val="30"/>
          <w:highlight w:val="none"/>
        </w:rPr>
      </w:pPr>
      <w:bookmarkStart w:id="95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955"/>
    </w:p>
    <w:p w14:paraId="5AA468AF">
      <w:pPr>
        <w:autoSpaceDE w:val="0"/>
        <w:autoSpaceDN w:val="0"/>
        <w:adjustRightInd w:val="0"/>
        <w:spacing w:line="360" w:lineRule="auto"/>
        <w:ind w:left="567" w:hanging="567"/>
        <w:rPr>
          <w:rFonts w:ascii="宋体" w:hAnsi="宋体" w:eastAsia="宋体" w:cs="宋体"/>
          <w:color w:val="auto"/>
          <w:szCs w:val="30"/>
          <w:highlight w:val="none"/>
        </w:rPr>
      </w:pPr>
      <w:bookmarkStart w:id="956" w:name="_Toc1206_WPSOffice_Level1"/>
      <w:r>
        <w:rPr>
          <w:rFonts w:hint="eastAsia" w:ascii="宋体" w:hAnsi="宋体" w:eastAsia="宋体" w:cs="宋体"/>
          <w:color w:val="auto"/>
          <w:szCs w:val="30"/>
          <w:highlight w:val="none"/>
        </w:rPr>
        <w:t>四、 比较和评价</w:t>
      </w:r>
      <w:bookmarkEnd w:id="956"/>
    </w:p>
    <w:p w14:paraId="6307A3C0">
      <w:pPr>
        <w:autoSpaceDE w:val="0"/>
        <w:autoSpaceDN w:val="0"/>
        <w:adjustRightInd w:val="0"/>
        <w:spacing w:line="360" w:lineRule="auto"/>
        <w:ind w:left="567" w:hanging="567"/>
        <w:rPr>
          <w:rFonts w:ascii="宋体" w:hAnsi="宋体" w:eastAsia="宋体" w:cs="宋体"/>
          <w:color w:val="auto"/>
          <w:szCs w:val="30"/>
          <w:highlight w:val="none"/>
        </w:rPr>
      </w:pPr>
      <w:bookmarkStart w:id="95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957"/>
    </w:p>
    <w:p w14:paraId="2AA60950">
      <w:pPr>
        <w:autoSpaceDE w:val="0"/>
        <w:autoSpaceDN w:val="0"/>
        <w:adjustRightInd w:val="0"/>
        <w:spacing w:line="360" w:lineRule="auto"/>
        <w:ind w:left="567" w:hanging="567"/>
        <w:rPr>
          <w:rFonts w:ascii="宋体" w:hAnsi="宋体" w:eastAsia="宋体" w:cs="宋体"/>
          <w:color w:val="auto"/>
          <w:szCs w:val="30"/>
          <w:highlight w:val="none"/>
        </w:rPr>
      </w:pPr>
      <w:bookmarkStart w:id="95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958"/>
    </w:p>
    <w:p w14:paraId="3A441E67">
      <w:pPr>
        <w:autoSpaceDE w:val="0"/>
        <w:autoSpaceDN w:val="0"/>
        <w:adjustRightInd w:val="0"/>
        <w:spacing w:line="360" w:lineRule="auto"/>
        <w:ind w:left="567" w:hanging="567"/>
        <w:rPr>
          <w:rFonts w:ascii="宋体" w:hAnsi="宋体" w:eastAsia="宋体" w:cs="宋体"/>
          <w:color w:val="auto"/>
          <w:szCs w:val="30"/>
          <w:highlight w:val="none"/>
        </w:rPr>
      </w:pPr>
      <w:bookmarkStart w:id="95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959"/>
    </w:p>
    <w:p w14:paraId="1C010D07">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47DB2538">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0383667">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2A87647F">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96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960"/>
    </w:p>
    <w:p w14:paraId="44D7D0A3">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43EC976C">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东莞市供水计量设施更新项目(2025年计量仪表采购)－旋翼式远传水表</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SSWSSZ12501144 </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4381544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2105E628">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东莞市达盛招标代理有限公司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51AE3DB9">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7B3E65E1">
      <w:pPr>
        <w:numPr>
          <w:ilvl w:val="1"/>
          <w:numId w:val="5"/>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01FB1C7E">
      <w:pPr>
        <w:autoSpaceDE w:val="0"/>
        <w:autoSpaceDN w:val="0"/>
        <w:adjustRightInd w:val="0"/>
        <w:spacing w:line="360" w:lineRule="auto"/>
        <w:rPr>
          <w:rFonts w:ascii="宋体" w:hAnsi="宋体" w:eastAsia="宋体" w:cs="宋体"/>
          <w:color w:val="auto"/>
          <w:sz w:val="24"/>
          <w:szCs w:val="24"/>
          <w:highlight w:val="none"/>
          <w:lang w:val="zh-CN"/>
        </w:rPr>
      </w:pPr>
    </w:p>
    <w:p w14:paraId="6DBAC628">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0C2E774B">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color w:val="auto"/>
          <w:kern w:val="0"/>
          <w:szCs w:val="24"/>
          <w:highlight w:val="none"/>
          <w:lang w:val="en-US" w:eastAsia="zh-CN"/>
        </w:rPr>
        <w:t>7</w:t>
      </w:r>
      <w:r>
        <w:rPr>
          <w:rFonts w:ascii="宋体" w:hAnsi="宋体" w:eastAsia="宋体" w:cs="宋体"/>
          <w:color w:val="auto"/>
          <w:kern w:val="0"/>
          <w:szCs w:val="24"/>
          <w:highlight w:val="none"/>
        </w:rPr>
        <w:t>人以上（含</w:t>
      </w:r>
      <w:r>
        <w:rPr>
          <w:rFonts w:hint="eastAsia" w:ascii="宋体" w:hAnsi="宋体" w:eastAsia="宋体" w:cs="宋体"/>
          <w:color w:val="auto"/>
          <w:kern w:val="0"/>
          <w:szCs w:val="24"/>
          <w:highlight w:val="none"/>
          <w:lang w:val="en-US" w:eastAsia="zh-CN"/>
        </w:rPr>
        <w:t>7</w:t>
      </w:r>
      <w:r>
        <w:rPr>
          <w:rFonts w:ascii="宋体" w:hAnsi="宋体" w:eastAsia="宋体" w:cs="宋体"/>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08847118">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62A429CE">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739C7FD5">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1AB5289">
      <w:pPr>
        <w:autoSpaceDE w:val="0"/>
        <w:autoSpaceDN w:val="0"/>
        <w:adjustRightInd w:val="0"/>
        <w:spacing w:line="360" w:lineRule="auto"/>
        <w:rPr>
          <w:rFonts w:ascii="宋体" w:hAnsi="宋体" w:eastAsia="宋体" w:cs="宋体"/>
          <w:color w:val="auto"/>
          <w:sz w:val="24"/>
          <w:szCs w:val="24"/>
          <w:highlight w:val="none"/>
          <w:lang w:val="zh-CN"/>
        </w:rPr>
      </w:pPr>
    </w:p>
    <w:p w14:paraId="38A5B17C">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5114935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03E56D3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A392AF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120D5A7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5F47EC31">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4D433877">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61FB0E3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699E832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3842047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2FC67BA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0619006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5BDD68B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392DB8A1">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51387784">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1C1D717C">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694E47FD">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21AE2A1B">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246EA603">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4021B49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524E045C">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12A91727">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02F9E7E7">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1E3EB674">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57A12D94">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961" w:name="_Toc19435_WPSOffice_Level1"/>
      <w:r>
        <w:rPr>
          <w:rFonts w:hint="eastAsia" w:ascii="宋体" w:hAnsi="宋体" w:eastAsia="宋体" w:cs="宋体"/>
          <w:b/>
          <w:bCs/>
          <w:color w:val="auto"/>
          <w:sz w:val="28"/>
          <w:szCs w:val="28"/>
          <w:highlight w:val="none"/>
          <w:lang w:val="zh-CN"/>
        </w:rPr>
        <w:t>二、投标文件的初审</w:t>
      </w:r>
      <w:bookmarkEnd w:id="961"/>
    </w:p>
    <w:p w14:paraId="6B7F3818">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50AD74B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D39059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1DCAF44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2121A97E">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58C48635">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292A48A7">
      <w:pPr>
        <w:numPr>
          <w:ilvl w:val="0"/>
          <w:numId w:val="0"/>
        </w:numPr>
        <w:autoSpaceDE w:val="0"/>
        <w:autoSpaceDN w:val="0"/>
        <w:adjustRightIn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7、</w:t>
      </w:r>
      <w:r>
        <w:rPr>
          <w:rFonts w:hint="eastAsia" w:ascii="宋体" w:hAnsi="宋体" w:eastAsia="宋体" w:cs="宋体"/>
          <w:b/>
          <w:color w:val="auto"/>
          <w:szCs w:val="21"/>
          <w:highlight w:val="none"/>
        </w:rPr>
        <w:t>投标文件出现下列情况之一的，被认定为无效投标：</w:t>
      </w:r>
    </w:p>
    <w:p w14:paraId="196BC4BE">
      <w:pPr>
        <w:numPr>
          <w:ilvl w:val="0"/>
          <w:numId w:val="0"/>
        </w:num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 上传的投标文件损坏或无法读取的；</w:t>
      </w:r>
    </w:p>
    <w:p w14:paraId="064BD7DD">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14:paraId="6198E042">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.3 投标文件中使用的本项目招标文件版本，与交易系统上发布的本项目招标文件的最新版本不一致的；</w:t>
      </w:r>
    </w:p>
    <w:p w14:paraId="43F02725">
      <w:pPr>
        <w:pStyle w:val="16"/>
        <w:rPr>
          <w:rFonts w:hint="default" w:eastAsia="宋体"/>
          <w:color w:val="auto"/>
          <w:highlight w:val="none"/>
          <w:lang w:val="en-US" w:eastAsia="zh-CN"/>
        </w:rPr>
      </w:pPr>
      <w:r>
        <w:rPr>
          <w:rFonts w:hint="eastAsia" w:ascii="宋体" w:hAnsi="宋体" w:eastAsia="宋体" w:cs="宋体"/>
          <w:b/>
          <w:color w:val="auto"/>
          <w:szCs w:val="21"/>
          <w:highlight w:val="none"/>
          <w:lang w:val="en-US" w:eastAsia="zh-CN"/>
        </w:rPr>
        <w:t>7.4 投标产品的制造商及取得投标产品制造商就本次投标独家授权的经销商同时参与本项目投标的</w:t>
      </w:r>
      <w:r>
        <w:rPr>
          <w:rFonts w:hint="eastAsia" w:ascii="宋体" w:hAnsi="宋体" w:eastAsia="宋体" w:cs="宋体"/>
          <w:b/>
          <w:color w:val="auto"/>
          <w:szCs w:val="21"/>
          <w:highlight w:val="none"/>
          <w:lang w:val="zh-CN"/>
        </w:rPr>
        <w:t>；</w:t>
      </w:r>
    </w:p>
    <w:p w14:paraId="69E98AC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.5 同一投标产品的制造商通过两家或以上就本次投标独家授权的经销商同时参与本项目投标的；</w:t>
      </w:r>
    </w:p>
    <w:p w14:paraId="7D60D3DD">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 xml:space="preserve">7.6 </w:t>
      </w:r>
      <w:r>
        <w:rPr>
          <w:rFonts w:hint="eastAsia" w:ascii="宋体" w:hAnsi="宋体" w:eastAsia="宋体" w:cs="宋体"/>
          <w:b/>
          <w:color w:val="auto"/>
          <w:szCs w:val="21"/>
          <w:highlight w:val="none"/>
          <w:lang w:val="zh-CN"/>
        </w:rPr>
        <w:t>投标文件签名使用的数字证书与签到的投标人名称不一致的；</w:t>
      </w:r>
    </w:p>
    <w:p w14:paraId="70537CAC">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投标人的投标编制MAC信息、投标编制CPU序列号、投标编制硬盘序列号均与其他投标人相同的；</w:t>
      </w:r>
    </w:p>
    <w:p w14:paraId="48D0614F">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投标文件附有招标人不能接受的条件的；</w:t>
      </w:r>
    </w:p>
    <w:p w14:paraId="346EDFEF">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投标人资格不满足第二篇投标人须知第2款的要求；</w:t>
      </w:r>
    </w:p>
    <w:p w14:paraId="4C67646E">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lang w:val="zh-CN"/>
        </w:rPr>
        <w:t xml:space="preserve"> 投标人未按招标文件要求交纳投标保证金的；</w:t>
      </w:r>
    </w:p>
    <w:p w14:paraId="4AB3388F">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 xml:space="preserve"> 投标文件报价信封中填报的投标报价未按照招标文件要求进行折扣系数报价的；</w:t>
      </w:r>
    </w:p>
    <w:p w14:paraId="3B4404FE">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14:paraId="077865AE">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14:paraId="6FF59FED">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投标文件未使用企业数字证书或个人数字证书电子签名的； </w:t>
      </w:r>
    </w:p>
    <w:p w14:paraId="39B05F8F">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投标有效期限不符合要求；</w:t>
      </w:r>
    </w:p>
    <w:p w14:paraId="6BA77D2E">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投标文件未对招标范围内的全部内容进行投标报价或投标方案不是唯一；</w:t>
      </w:r>
    </w:p>
    <w:p w14:paraId="3507EA66">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14:paraId="61E24410">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未填写或虚假填写《用户需求偏离表》的；</w:t>
      </w:r>
    </w:p>
    <w:p w14:paraId="1E1CC995">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未响应招标文件提出的实质性要求和条件（标注★的条款）。</w:t>
      </w:r>
    </w:p>
    <w:p w14:paraId="5845E0F8">
      <w:pPr>
        <w:autoSpaceDE w:val="0"/>
        <w:autoSpaceDN w:val="0"/>
        <w:adjustRightInd w:val="0"/>
        <w:spacing w:line="360" w:lineRule="auto"/>
        <w:ind w:left="315" w:hanging="316" w:hangingChars="1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14:paraId="698B6F7A">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2B4CA4A">
      <w:pPr>
        <w:spacing w:line="360" w:lineRule="auto"/>
        <w:ind w:left="480"/>
        <w:rPr>
          <w:rFonts w:ascii="宋体" w:hAnsi="宋体" w:eastAsia="宋体" w:cs="宋体"/>
          <w:b/>
          <w:color w:val="auto"/>
          <w:kern w:val="0"/>
          <w:szCs w:val="21"/>
          <w:highlight w:val="none"/>
        </w:rPr>
      </w:pPr>
    </w:p>
    <w:p w14:paraId="371603B4">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962" w:name="_Toc4109_WPSOffice_Level1"/>
      <w:r>
        <w:rPr>
          <w:rFonts w:hint="eastAsia" w:ascii="宋体" w:hAnsi="宋体" w:eastAsia="宋体" w:cs="宋体"/>
          <w:b/>
          <w:bCs/>
          <w:color w:val="auto"/>
          <w:sz w:val="28"/>
          <w:szCs w:val="28"/>
          <w:highlight w:val="none"/>
          <w:lang w:val="zh-CN"/>
        </w:rPr>
        <w:t>三、澄清有关问题</w:t>
      </w:r>
      <w:bookmarkEnd w:id="962"/>
    </w:p>
    <w:p w14:paraId="6679F9C6">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8284A7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5983BF2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69DF924">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56BBF41">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6B940286">
      <w:pPr>
        <w:spacing w:line="360" w:lineRule="auto"/>
        <w:ind w:left="567"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7FAC746C">
      <w:pPr>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2E615E55">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C508EEC">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72AA9947">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963" w:name="_Toc8518_WPSOffice_Level1"/>
    </w:p>
    <w:p w14:paraId="1811518E">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963"/>
    </w:p>
    <w:p w14:paraId="3385307D">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80B4AC1">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63A306C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3756C616">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25EEA0FC">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3B372103">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237D4E87">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2965E42D">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评审的评分因素的评分低于权重分值60%的，应在评标报告中作出说明。</w:t>
      </w:r>
    </w:p>
    <w:p w14:paraId="42496EEB">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62CE5241">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7CD97246">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3C35A790">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32450499">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013FCAA9">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64A1DE82">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7E3A3315">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51189CA0">
      <w:pPr>
        <w:autoSpaceDE w:val="0"/>
        <w:autoSpaceDN w:val="0"/>
        <w:adjustRightInd w:val="0"/>
        <w:spacing w:line="360" w:lineRule="auto"/>
        <w:rPr>
          <w:rFonts w:ascii="宋体" w:hAnsi="宋体" w:eastAsia="宋体" w:cs="宋体"/>
          <w:color w:val="auto"/>
          <w:szCs w:val="24"/>
          <w:highlight w:val="none"/>
          <w:lang w:val="zh-CN"/>
        </w:rPr>
      </w:pPr>
    </w:p>
    <w:p w14:paraId="5DA3A80B">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44"/>
        <w:tblW w:w="471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410"/>
        <w:gridCol w:w="5371"/>
      </w:tblGrid>
      <w:tr w14:paraId="056F1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2C38E715">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745" w:type="pct"/>
            <w:tcBorders>
              <w:top w:val="single" w:color="auto" w:sz="4" w:space="0"/>
              <w:left w:val="single" w:color="auto" w:sz="4" w:space="0"/>
              <w:bottom w:val="single" w:color="auto" w:sz="4" w:space="0"/>
              <w:right w:val="single" w:color="auto" w:sz="4" w:space="0"/>
            </w:tcBorders>
            <w:vAlign w:val="center"/>
          </w:tcPr>
          <w:p w14:paraId="78F3A312">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760E8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674A7A3F">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1、商务</w:t>
            </w:r>
          </w:p>
        </w:tc>
        <w:tc>
          <w:tcPr>
            <w:tcW w:w="2745" w:type="pct"/>
            <w:tcBorders>
              <w:top w:val="single" w:color="auto" w:sz="4" w:space="0"/>
              <w:left w:val="single" w:color="auto" w:sz="4" w:space="0"/>
              <w:bottom w:val="single" w:color="auto" w:sz="4" w:space="0"/>
              <w:right w:val="single" w:color="auto" w:sz="4" w:space="0"/>
            </w:tcBorders>
            <w:vAlign w:val="center"/>
          </w:tcPr>
          <w:p w14:paraId="7B7FFB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30分</w:t>
            </w:r>
          </w:p>
        </w:tc>
      </w:tr>
      <w:tr w14:paraId="1AA80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7F2A48CC">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2、技术</w:t>
            </w:r>
          </w:p>
        </w:tc>
        <w:tc>
          <w:tcPr>
            <w:tcW w:w="2745" w:type="pct"/>
            <w:tcBorders>
              <w:top w:val="single" w:color="auto" w:sz="4" w:space="0"/>
              <w:left w:val="single" w:color="auto" w:sz="4" w:space="0"/>
              <w:bottom w:val="single" w:color="auto" w:sz="4" w:space="0"/>
              <w:right w:val="single" w:color="auto" w:sz="4" w:space="0"/>
            </w:tcBorders>
            <w:vAlign w:val="center"/>
          </w:tcPr>
          <w:p w14:paraId="7FEA3C5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40分</w:t>
            </w:r>
          </w:p>
        </w:tc>
      </w:tr>
      <w:tr w14:paraId="6B124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729A44CB">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3、价格</w:t>
            </w:r>
          </w:p>
        </w:tc>
        <w:tc>
          <w:tcPr>
            <w:tcW w:w="2745" w:type="pct"/>
            <w:tcBorders>
              <w:top w:val="single" w:color="auto" w:sz="4" w:space="0"/>
              <w:left w:val="single" w:color="auto" w:sz="4" w:space="0"/>
              <w:bottom w:val="single" w:color="auto" w:sz="4" w:space="0"/>
              <w:right w:val="single" w:color="auto" w:sz="4" w:space="0"/>
            </w:tcBorders>
            <w:vAlign w:val="center"/>
          </w:tcPr>
          <w:p w14:paraId="755F22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30分</w:t>
            </w:r>
          </w:p>
        </w:tc>
      </w:tr>
    </w:tbl>
    <w:p w14:paraId="149E2843">
      <w:pPr>
        <w:numPr>
          <w:ilvl w:val="0"/>
          <w:numId w:val="6"/>
        </w:numPr>
        <w:autoSpaceDE w:val="0"/>
        <w:autoSpaceDN w:val="0"/>
        <w:adjustRightInd w:val="0"/>
        <w:spacing w:line="360" w:lineRule="auto"/>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商务：总分</w:t>
      </w:r>
      <w:r>
        <w:rPr>
          <w:rFonts w:hint="eastAsia" w:ascii="宋体" w:hAnsi="宋体" w:eastAsia="宋体" w:cs="宋体"/>
          <w:b/>
          <w:color w:val="auto"/>
          <w:szCs w:val="21"/>
          <w:highlight w:val="none"/>
          <w:lang w:val="en-US" w:eastAsia="zh-CN" w:bidi="ar"/>
        </w:rPr>
        <w:t xml:space="preserve"> 30 </w:t>
      </w:r>
      <w:r>
        <w:rPr>
          <w:rFonts w:hint="eastAsia" w:ascii="宋体" w:hAnsi="宋体" w:eastAsia="宋体" w:cs="宋体"/>
          <w:b/>
          <w:color w:val="auto"/>
          <w:szCs w:val="21"/>
          <w:highlight w:val="none"/>
          <w:lang w:bidi="ar"/>
        </w:rPr>
        <w:t>分</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902"/>
        <w:gridCol w:w="1297"/>
        <w:gridCol w:w="6472"/>
      </w:tblGrid>
      <w:tr w14:paraId="2B24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7" w:type="pct"/>
            <w:vAlign w:val="center"/>
          </w:tcPr>
          <w:p w14:paraId="1A989A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53" w:leftChars="-25" w:right="-38" w:rightChars="-18" w:firstLine="2"/>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917" w:type="pct"/>
            <w:vAlign w:val="center"/>
          </w:tcPr>
          <w:p w14:paraId="4C52FD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625" w:type="pct"/>
            <w:vAlign w:val="center"/>
          </w:tcPr>
          <w:p w14:paraId="3C7710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满分值</w:t>
            </w:r>
          </w:p>
        </w:tc>
        <w:tc>
          <w:tcPr>
            <w:tcW w:w="3120" w:type="pct"/>
            <w:vAlign w:val="center"/>
          </w:tcPr>
          <w:p w14:paraId="57FB365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评分内容及评分标准</w:t>
            </w:r>
          </w:p>
        </w:tc>
      </w:tr>
      <w:tr w14:paraId="4353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vAlign w:val="center"/>
          </w:tcPr>
          <w:p w14:paraId="0A257B84">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53" w:leftChars="-25" w:right="-38" w:rightChars="-18" w:firstLine="2"/>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917" w:type="pct"/>
            <w:vAlign w:val="center"/>
          </w:tcPr>
          <w:p w14:paraId="1F90E67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zh-CN"/>
              </w:rPr>
              <w:t>财务状况</w:t>
            </w:r>
          </w:p>
        </w:tc>
        <w:tc>
          <w:tcPr>
            <w:tcW w:w="625" w:type="pct"/>
            <w:vAlign w:val="center"/>
          </w:tcPr>
          <w:p w14:paraId="0EC7392C">
            <w:pPr>
              <w:keepNext w:val="0"/>
              <w:keepLines w:val="0"/>
              <w:pageBreakBefore w:val="0"/>
              <w:widowControl w:val="0"/>
              <w:suppressLineNumbers w:val="0"/>
              <w:tabs>
                <w:tab w:val="left" w:pos="134"/>
              </w:tabs>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3120" w:type="pct"/>
            <w:tcBorders>
              <w:top w:val="single" w:color="auto" w:sz="4" w:space="0"/>
              <w:left w:val="single" w:color="auto" w:sz="4" w:space="0"/>
              <w:bottom w:val="single" w:color="auto" w:sz="4" w:space="0"/>
              <w:right w:val="single" w:color="auto" w:sz="4" w:space="0"/>
            </w:tcBorders>
            <w:vAlign w:val="center"/>
          </w:tcPr>
          <w:p w14:paraId="7558A08A">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年三个年度，每具有1个年度盈利的得1分，满分3分。</w:t>
            </w:r>
          </w:p>
          <w:p w14:paraId="294BE4DD">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Cs w:val="21"/>
                <w:highlight w:val="none"/>
              </w:rPr>
              <w:t>备注：盈利指净利润为正数（非零、非负数），投标人应提供202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年、202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年三个年度的财务报表，净利润以对应年度经审计的财务报表为准，应提供经独立会计师事务所审计过的有效的财务报表原件扫描件；未提供前述财务报表或财务报表未能反映净利润的，不得分。</w:t>
            </w:r>
          </w:p>
        </w:tc>
      </w:tr>
      <w:tr w14:paraId="3ACC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 w:type="pct"/>
            <w:vAlign w:val="center"/>
          </w:tcPr>
          <w:p w14:paraId="274B9DB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53" w:leftChars="-25" w:right="-38" w:rightChars="-18" w:firstLine="2"/>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p>
        </w:tc>
        <w:tc>
          <w:tcPr>
            <w:tcW w:w="917" w:type="pct"/>
            <w:vAlign w:val="center"/>
          </w:tcPr>
          <w:p w14:paraId="6264924B">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625" w:type="pct"/>
            <w:vAlign w:val="center"/>
          </w:tcPr>
          <w:p w14:paraId="4776319F">
            <w:pPr>
              <w:keepNext w:val="0"/>
              <w:keepLines w:val="0"/>
              <w:pageBreakBefore w:val="0"/>
              <w:widowControl w:val="0"/>
              <w:suppressLineNumbers w:val="0"/>
              <w:tabs>
                <w:tab w:val="left" w:pos="134"/>
              </w:tabs>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27分</w:t>
            </w:r>
          </w:p>
        </w:tc>
        <w:tc>
          <w:tcPr>
            <w:tcW w:w="3120" w:type="pct"/>
            <w:tcBorders>
              <w:top w:val="single" w:color="auto" w:sz="4" w:space="0"/>
              <w:left w:val="single" w:color="auto" w:sz="4" w:space="0"/>
              <w:bottom w:val="single" w:color="auto" w:sz="4" w:space="0"/>
              <w:right w:val="single" w:color="auto" w:sz="4" w:space="0"/>
            </w:tcBorders>
            <w:vAlign w:val="center"/>
          </w:tcPr>
          <w:p w14:paraId="0366FD03">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2022年1月1日以来（业绩的时间以合同签订的日期为准）投标品牌</w:t>
            </w:r>
            <w:r>
              <w:rPr>
                <w:rFonts w:hint="eastAsia" w:ascii="宋体" w:hAnsi="宋体" w:eastAsia="宋体" w:cs="宋体"/>
                <w:color w:val="auto"/>
                <w:szCs w:val="21"/>
                <w:highlight w:val="none"/>
                <w:lang w:eastAsia="zh-CN"/>
              </w:rPr>
              <w:t>旋翼式远传水表</w:t>
            </w:r>
            <w:r>
              <w:rPr>
                <w:rFonts w:hint="eastAsia" w:ascii="宋体" w:hAnsi="宋体" w:eastAsia="宋体" w:cs="宋体"/>
                <w:color w:val="auto"/>
                <w:szCs w:val="21"/>
                <w:highlight w:val="none"/>
              </w:rPr>
              <w:t>在国内的销售业绩，按下列情况评分，本项业绩评审满分27分。</w:t>
            </w:r>
          </w:p>
          <w:p w14:paraId="3EED8581">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（1）单项合同金额≥</w:t>
            </w:r>
            <w:r>
              <w:rPr>
                <w:rFonts w:hint="eastAsia" w:ascii="宋体" w:hAnsi="宋体" w:eastAsia="宋体" w:cs="宋体"/>
                <w:color w:val="auto"/>
                <w:szCs w:val="21"/>
                <w:highlight w:val="none"/>
                <w:lang w:val="en-US" w:eastAsia="zh-CN"/>
              </w:rPr>
              <w:t>2500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238E411D">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1700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2500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4B01A8C6">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1100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1700万元</w:t>
            </w:r>
            <w:r>
              <w:rPr>
                <w:rFonts w:hint="eastAsia" w:ascii="宋体" w:hAnsi="宋体" w:eastAsia="宋体" w:cs="宋体"/>
                <w:color w:val="auto"/>
                <w:szCs w:val="21"/>
                <w:highlight w:val="none"/>
              </w:rPr>
              <w:t>的前述业绩，每项得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分，本子项满分12分</w:t>
            </w:r>
            <w:r>
              <w:rPr>
                <w:rFonts w:hint="eastAsia" w:ascii="宋体" w:hAnsi="宋体" w:eastAsia="宋体" w:cs="宋体"/>
                <w:color w:val="auto"/>
                <w:szCs w:val="21"/>
                <w:highlight w:val="none"/>
                <w:lang w:eastAsia="zh-CN"/>
              </w:rPr>
              <w:t>。</w:t>
            </w:r>
          </w:p>
          <w:p w14:paraId="61FA42B5">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700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1100万元</w:t>
            </w:r>
            <w:r>
              <w:rPr>
                <w:rFonts w:hint="eastAsia" w:ascii="宋体" w:hAnsi="宋体" w:eastAsia="宋体" w:cs="宋体"/>
                <w:color w:val="auto"/>
                <w:szCs w:val="21"/>
                <w:highlight w:val="none"/>
              </w:rPr>
              <w:t>的前述业绩，每项得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分，本子项满分</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14:paraId="69E4CB1F">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500</w:t>
            </w:r>
            <w:r>
              <w:rPr>
                <w:rFonts w:hint="eastAsia" w:ascii="宋体" w:hAnsi="宋体" w:eastAsia="宋体" w:cs="宋体"/>
                <w:color w:val="auto"/>
                <w:szCs w:val="21"/>
                <w:highlight w:val="none"/>
                <w:lang w:eastAsia="zh-CN"/>
              </w:rPr>
              <w:t>万元≤单项合同金额＜</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00万元的前述业绩，每项得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分，本子项满分</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分。</w:t>
            </w:r>
          </w:p>
          <w:p w14:paraId="5444E325">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78CBE05A">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①业绩须同时提供⑴投标品牌</w:t>
            </w:r>
            <w:r>
              <w:rPr>
                <w:rFonts w:hint="eastAsia" w:ascii="宋体" w:hAnsi="宋体" w:eastAsia="宋体" w:cs="宋体"/>
                <w:b/>
                <w:bCs/>
                <w:color w:val="auto"/>
                <w:szCs w:val="21"/>
                <w:highlight w:val="none"/>
                <w:lang w:eastAsia="zh-CN"/>
              </w:rPr>
              <w:t>旋翼式远传水表</w:t>
            </w:r>
            <w:r>
              <w:rPr>
                <w:rFonts w:hint="eastAsia" w:ascii="宋体" w:hAnsi="宋体" w:eastAsia="宋体" w:cs="宋体"/>
                <w:b/>
                <w:bCs/>
                <w:color w:val="auto"/>
                <w:szCs w:val="21"/>
                <w:highlight w:val="none"/>
              </w:rPr>
              <w:t>销售合同复印件（</w:t>
            </w:r>
            <w:r>
              <w:rPr>
                <w:rFonts w:hint="eastAsia" w:ascii="宋体" w:hAnsi="宋体" w:eastAsia="宋体" w:cs="宋体"/>
                <w:b/>
                <w:bCs/>
                <w:color w:val="auto"/>
                <w:kern w:val="0"/>
                <w:szCs w:val="21"/>
                <w:highlight w:val="none"/>
              </w:rPr>
              <w:t>合同卖方可为投标品牌</w:t>
            </w:r>
            <w:r>
              <w:rPr>
                <w:rFonts w:hint="eastAsia" w:ascii="宋体" w:hAnsi="宋体" w:eastAsia="宋体" w:cs="宋体"/>
                <w:b/>
                <w:bCs/>
                <w:color w:val="auto"/>
                <w:kern w:val="0"/>
                <w:szCs w:val="21"/>
                <w:highlight w:val="none"/>
                <w:lang w:eastAsia="zh-CN"/>
              </w:rPr>
              <w:t>旋翼式远传水表</w:t>
            </w:r>
            <w:r>
              <w:rPr>
                <w:rFonts w:hint="eastAsia" w:ascii="宋体" w:hAnsi="宋体" w:eastAsia="宋体" w:cs="宋体"/>
                <w:b/>
                <w:bCs/>
                <w:color w:val="auto"/>
                <w:kern w:val="0"/>
                <w:szCs w:val="21"/>
                <w:highlight w:val="none"/>
              </w:rPr>
              <w:t>的制造商，也可为投标品牌</w:t>
            </w:r>
            <w:r>
              <w:rPr>
                <w:rFonts w:hint="eastAsia" w:ascii="宋体" w:hAnsi="宋体" w:eastAsia="宋体" w:cs="宋体"/>
                <w:b/>
                <w:bCs/>
                <w:color w:val="auto"/>
                <w:kern w:val="0"/>
                <w:szCs w:val="21"/>
                <w:highlight w:val="none"/>
                <w:lang w:eastAsia="zh-CN"/>
              </w:rPr>
              <w:t>旋翼式远传水表</w:t>
            </w:r>
            <w:r>
              <w:rPr>
                <w:rFonts w:hint="eastAsia" w:ascii="宋体" w:hAnsi="宋体" w:eastAsia="宋体" w:cs="宋体"/>
                <w:b/>
                <w:bCs/>
                <w:color w:val="auto"/>
                <w:kern w:val="0"/>
                <w:szCs w:val="21"/>
                <w:highlight w:val="none"/>
              </w:rPr>
              <w:t>的代理商/经销商</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szCs w:val="21"/>
                <w:highlight w:val="none"/>
              </w:rPr>
              <w:t>需显示合同买方公章），⑵已供货产品任意一张发票复印件（发票开具日期须在本项目招标公告发布之日前），否则不得分；</w:t>
            </w:r>
          </w:p>
          <w:p w14:paraId="6BBF9728">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②若合同无法反映评分条件（合同签订日期为2022年1月1日或以后，合同标的必须包含投标品牌</w:t>
            </w:r>
            <w:r>
              <w:rPr>
                <w:rFonts w:hint="eastAsia" w:ascii="宋体" w:hAnsi="宋体" w:eastAsia="宋体" w:cs="宋体"/>
                <w:b/>
                <w:bCs/>
                <w:color w:val="auto"/>
                <w:szCs w:val="21"/>
                <w:highlight w:val="none"/>
                <w:lang w:eastAsia="zh-CN"/>
              </w:rPr>
              <w:t>旋翼式远传水表</w:t>
            </w:r>
            <w:r>
              <w:rPr>
                <w:rFonts w:hint="eastAsia" w:ascii="宋体" w:hAnsi="宋体" w:eastAsia="宋体" w:cs="宋体"/>
                <w:b/>
                <w:bCs/>
                <w:color w:val="auto"/>
                <w:szCs w:val="21"/>
                <w:highlight w:val="none"/>
              </w:rPr>
              <w:t>、合同金额）的，还需提供产品购买方出具的书面补充说明文件复印件作为辅助证明（需显示购买方公章），否则不得分；</w:t>
            </w:r>
          </w:p>
          <w:p w14:paraId="416294D5">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b/>
                <w:bCs/>
                <w:color w:val="auto"/>
                <w:szCs w:val="21"/>
                <w:highlight w:val="none"/>
              </w:rPr>
              <w:t>③若业绩为框架式协议或资格入围无明确金额的合同，必须同时提供合同期限内已供货发票金额统计表和发票复印件。</w:t>
            </w:r>
          </w:p>
        </w:tc>
      </w:tr>
    </w:tbl>
    <w:p w14:paraId="7CA22015">
      <w:pPr>
        <w:pStyle w:val="16"/>
        <w:numPr>
          <w:ilvl w:val="-1"/>
          <w:numId w:val="0"/>
        </w:numPr>
        <w:rPr>
          <w:color w:val="auto"/>
          <w:highlight w:val="none"/>
        </w:rPr>
      </w:pPr>
    </w:p>
    <w:p w14:paraId="001C3343">
      <w:pPr>
        <w:autoSpaceDE w:val="0"/>
        <w:autoSpaceDN w:val="0"/>
        <w:adjustRightInd w:val="0"/>
        <w:spacing w:line="360" w:lineRule="auto"/>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（2）技术：总分</w:t>
      </w:r>
      <w:r>
        <w:rPr>
          <w:rFonts w:hint="eastAsia" w:ascii="宋体" w:hAnsi="宋体" w:eastAsia="宋体" w:cs="宋体"/>
          <w:b/>
          <w:color w:val="auto"/>
          <w:szCs w:val="21"/>
          <w:highlight w:val="none"/>
          <w:lang w:val="en-US" w:eastAsia="zh-CN" w:bidi="ar"/>
        </w:rPr>
        <w:t xml:space="preserve"> 40 </w:t>
      </w:r>
      <w:r>
        <w:rPr>
          <w:rFonts w:hint="eastAsia" w:ascii="宋体" w:hAnsi="宋体" w:eastAsia="宋体" w:cs="宋体"/>
          <w:b/>
          <w:color w:val="auto"/>
          <w:szCs w:val="21"/>
          <w:highlight w:val="none"/>
          <w:lang w:bidi="ar"/>
        </w:rPr>
        <w:t>分</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902"/>
        <w:gridCol w:w="1297"/>
        <w:gridCol w:w="6472"/>
      </w:tblGrid>
      <w:tr w14:paraId="77F4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7" w:type="pct"/>
            <w:vAlign w:val="center"/>
          </w:tcPr>
          <w:p w14:paraId="04692E0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53" w:leftChars="-25" w:right="-38" w:rightChars="-18" w:firstLine="2"/>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序号</w:t>
            </w:r>
          </w:p>
        </w:tc>
        <w:tc>
          <w:tcPr>
            <w:tcW w:w="917" w:type="pct"/>
            <w:vAlign w:val="center"/>
          </w:tcPr>
          <w:p w14:paraId="7A94027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评审项目</w:t>
            </w:r>
          </w:p>
        </w:tc>
        <w:tc>
          <w:tcPr>
            <w:tcW w:w="625" w:type="pct"/>
            <w:vAlign w:val="center"/>
          </w:tcPr>
          <w:p w14:paraId="00CEDE8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满分值</w:t>
            </w:r>
          </w:p>
        </w:tc>
        <w:tc>
          <w:tcPr>
            <w:tcW w:w="3120" w:type="pct"/>
            <w:vAlign w:val="center"/>
          </w:tcPr>
          <w:p w14:paraId="09EC324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评分内容及评分标准</w:t>
            </w:r>
          </w:p>
        </w:tc>
      </w:tr>
      <w:tr w14:paraId="123E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7" w:type="pct"/>
            <w:vMerge w:val="restart"/>
            <w:vAlign w:val="center"/>
          </w:tcPr>
          <w:p w14:paraId="1D4C37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53" w:leftChars="-25" w:right="-38" w:rightChars="-18" w:firstLine="2"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p>
        </w:tc>
        <w:tc>
          <w:tcPr>
            <w:tcW w:w="917" w:type="pct"/>
            <w:vMerge w:val="restart"/>
            <w:shd w:val="clear" w:color="auto" w:fill="auto"/>
            <w:vAlign w:val="center"/>
          </w:tcPr>
          <w:p w14:paraId="746A7B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bidi="ar"/>
              </w:rPr>
              <w:t>用户需求响应程度</w:t>
            </w:r>
          </w:p>
        </w:tc>
        <w:tc>
          <w:tcPr>
            <w:tcW w:w="625" w:type="pct"/>
            <w:vMerge w:val="restart"/>
            <w:shd w:val="clear" w:color="auto" w:fill="auto"/>
            <w:vAlign w:val="center"/>
          </w:tcPr>
          <w:p w14:paraId="6FAB0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9分</w:t>
            </w:r>
          </w:p>
        </w:tc>
        <w:tc>
          <w:tcPr>
            <w:tcW w:w="3120" w:type="pct"/>
            <w:vMerge w:val="restart"/>
            <w:tcBorders>
              <w:top w:val="single" w:color="auto" w:sz="4" w:space="0"/>
              <w:left w:val="single" w:color="auto" w:sz="4" w:space="0"/>
              <w:right w:val="single" w:color="auto" w:sz="4" w:space="0"/>
            </w:tcBorders>
            <w:shd w:val="clear" w:color="auto" w:fill="auto"/>
            <w:vAlign w:val="center"/>
          </w:tcPr>
          <w:p w14:paraId="631FA819">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lang w:bidi="ar"/>
              </w:rPr>
              <w:t>根据用户需求偏离表的偏离情况进行评审计分，完全满足用户需求的要求得满分，每项带“▲”号的条款负偏离或未响应的，扣2分；每一处非“▲”号条款负偏离或未响应的，扣1分；同时参照其投标文件中产品技术性能说明等技术资料的内容进行对比，每发现一处投标人填写为无偏离或正偏离，但评标委员会评审认定其为负偏离的，每处扣3分；本项最低分为0分。</w:t>
            </w:r>
          </w:p>
        </w:tc>
      </w:tr>
      <w:tr w14:paraId="1F2E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337" w:type="pct"/>
            <w:vMerge w:val="continue"/>
            <w:vAlign w:val="center"/>
          </w:tcPr>
          <w:p w14:paraId="31333D08">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917" w:type="pct"/>
            <w:vMerge w:val="continue"/>
            <w:vAlign w:val="center"/>
          </w:tcPr>
          <w:p w14:paraId="19326366">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625" w:type="pct"/>
            <w:vMerge w:val="continue"/>
            <w:vAlign w:val="center"/>
          </w:tcPr>
          <w:p w14:paraId="3C24BA7B">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3120" w:type="pct"/>
            <w:vMerge w:val="continue"/>
            <w:tcBorders>
              <w:left w:val="single" w:color="auto" w:sz="4" w:space="0"/>
              <w:bottom w:val="single" w:color="auto" w:sz="4" w:space="0"/>
              <w:right w:val="single" w:color="auto" w:sz="4" w:space="0"/>
            </w:tcBorders>
            <w:vAlign w:val="center"/>
          </w:tcPr>
          <w:p w14:paraId="4CA5FE36">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r>
      <w:tr w14:paraId="45CD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7" w:type="pct"/>
            <w:vAlign w:val="center"/>
          </w:tcPr>
          <w:p w14:paraId="3CA907F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53" w:leftChars="-25" w:right="-38" w:rightChars="-18" w:firstLine="2"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17" w:type="pct"/>
            <w:shd w:val="clear" w:color="auto" w:fill="auto"/>
            <w:vAlign w:val="center"/>
          </w:tcPr>
          <w:p w14:paraId="66F2F7C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研发能力及产品先进性</w:t>
            </w:r>
          </w:p>
        </w:tc>
        <w:tc>
          <w:tcPr>
            <w:tcW w:w="625" w:type="pct"/>
            <w:shd w:val="clear" w:color="auto" w:fill="auto"/>
            <w:vAlign w:val="center"/>
          </w:tcPr>
          <w:p w14:paraId="429A3B92">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400" w:lineRule="exact"/>
              <w:ind w:left="0" w:right="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16分</w:t>
            </w:r>
          </w:p>
        </w:tc>
        <w:tc>
          <w:tcPr>
            <w:tcW w:w="3120" w:type="pct"/>
            <w:tcBorders>
              <w:top w:val="single" w:color="auto" w:sz="4" w:space="0"/>
              <w:left w:val="single" w:color="auto" w:sz="4" w:space="0"/>
              <w:right w:val="single" w:color="auto" w:sz="4" w:space="0"/>
            </w:tcBorders>
            <w:shd w:val="clear" w:color="auto" w:fill="auto"/>
            <w:vAlign w:val="center"/>
          </w:tcPr>
          <w:p w14:paraId="0ABA4D8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（1）企业研发能力（6分）:</w:t>
            </w:r>
          </w:p>
          <w:p w14:paraId="56889904">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①投标人</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w:t>
            </w:r>
            <w:r>
              <w:rPr>
                <w:rFonts w:hint="eastAsia" w:ascii="宋体" w:hAnsi="宋体" w:eastAsia="宋体" w:cs="宋体"/>
                <w:color w:val="auto"/>
                <w:szCs w:val="21"/>
                <w:highlight w:val="none"/>
                <w:lang w:eastAsia="zh-CN" w:bidi="ar"/>
              </w:rPr>
              <w:t>所投产品制造商）</w:t>
            </w:r>
            <w:r>
              <w:rPr>
                <w:rFonts w:hint="eastAsia" w:ascii="宋体" w:hAnsi="宋体" w:eastAsia="宋体" w:cs="宋体"/>
                <w:color w:val="auto"/>
                <w:szCs w:val="21"/>
                <w:highlight w:val="none"/>
                <w:lang w:bidi="ar"/>
              </w:rPr>
              <w:t xml:space="preserve">建有省（部）级或以上技术研发中心/工程中心/研究院等研究机构的（须取得行政部门相关许可或批复等证明文件），得3分； </w:t>
            </w:r>
          </w:p>
          <w:p w14:paraId="26F6DBCA">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②投标人</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w:t>
            </w:r>
            <w:r>
              <w:rPr>
                <w:rFonts w:hint="eastAsia" w:ascii="宋体" w:hAnsi="宋体" w:eastAsia="宋体" w:cs="宋体"/>
                <w:color w:val="auto"/>
                <w:szCs w:val="21"/>
                <w:highlight w:val="none"/>
                <w:lang w:eastAsia="zh-CN" w:bidi="ar"/>
              </w:rPr>
              <w:t>所投产品制造商）</w:t>
            </w:r>
            <w:r>
              <w:rPr>
                <w:rFonts w:hint="eastAsia" w:ascii="宋体" w:hAnsi="宋体" w:eastAsia="宋体" w:cs="宋体"/>
                <w:color w:val="auto"/>
                <w:szCs w:val="21"/>
                <w:highlight w:val="none"/>
                <w:lang w:bidi="ar"/>
              </w:rPr>
              <w:t xml:space="preserve">取得中国合格评定国家认可委员会实验室认可证书（有效期内的CNAS证书）或具备质量技术监督部门颁发的检验检测机构资质认定证书（有效期内的CMA证书），得3分。 </w:t>
            </w:r>
          </w:p>
          <w:p w14:paraId="7FF19C69">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（2）专利数量（5分）：投标人</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w:t>
            </w:r>
            <w:r>
              <w:rPr>
                <w:rFonts w:hint="eastAsia" w:ascii="宋体" w:hAnsi="宋体" w:eastAsia="宋体" w:cs="宋体"/>
                <w:color w:val="auto"/>
                <w:szCs w:val="21"/>
                <w:highlight w:val="none"/>
                <w:lang w:eastAsia="zh-CN" w:bidi="ar"/>
              </w:rPr>
              <w:t>所投产品制造商）</w:t>
            </w:r>
            <w:r>
              <w:rPr>
                <w:rFonts w:hint="eastAsia" w:ascii="宋体" w:hAnsi="宋体" w:eastAsia="宋体" w:cs="宋体"/>
                <w:color w:val="auto"/>
                <w:szCs w:val="21"/>
                <w:highlight w:val="none"/>
                <w:lang w:bidi="ar"/>
              </w:rPr>
              <w:t>具有应用于投标产品的发明专利证书或实用新型专利证书，且投标人</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w:t>
            </w:r>
            <w:r>
              <w:rPr>
                <w:rFonts w:hint="eastAsia" w:ascii="宋体" w:hAnsi="宋体" w:eastAsia="宋体" w:cs="宋体"/>
                <w:color w:val="auto"/>
                <w:szCs w:val="21"/>
                <w:highlight w:val="none"/>
                <w:lang w:eastAsia="zh-CN" w:bidi="ar"/>
              </w:rPr>
              <w:t>所投产品制造商）</w:t>
            </w:r>
            <w:r>
              <w:rPr>
                <w:rFonts w:hint="eastAsia" w:ascii="宋体" w:hAnsi="宋体" w:eastAsia="宋体" w:cs="宋体"/>
                <w:color w:val="auto"/>
                <w:szCs w:val="21"/>
                <w:highlight w:val="none"/>
                <w:lang w:bidi="ar"/>
              </w:rPr>
              <w:t xml:space="preserve">须为专利权人，每获得过1项得0.5分；本子项最高得5分。 </w:t>
            </w:r>
          </w:p>
          <w:p w14:paraId="2A33B13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（3）技术认证（</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分）：投标人</w:t>
            </w:r>
            <w:bookmarkStart w:id="964" w:name="OLE_LINK1"/>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w:t>
            </w:r>
            <w:r>
              <w:rPr>
                <w:rFonts w:hint="eastAsia" w:ascii="宋体" w:hAnsi="宋体" w:eastAsia="宋体" w:cs="宋体"/>
                <w:color w:val="auto"/>
                <w:szCs w:val="21"/>
                <w:highlight w:val="none"/>
                <w:lang w:eastAsia="zh-CN" w:bidi="ar"/>
              </w:rPr>
              <w:t>所投产品制造商）</w:t>
            </w:r>
            <w:bookmarkEnd w:id="964"/>
            <w:r>
              <w:rPr>
                <w:rFonts w:hint="eastAsia" w:ascii="宋体" w:hAnsi="宋体" w:eastAsia="宋体" w:cs="宋体"/>
                <w:color w:val="auto"/>
                <w:szCs w:val="21"/>
                <w:highlight w:val="none"/>
                <w:lang w:bidi="ar"/>
              </w:rPr>
              <w:t>获得有效期内的国际证书（OIML、MID、CE、NSF、WRAS、ACS、AS4020）</w:t>
            </w:r>
            <w:r>
              <w:rPr>
                <w:rFonts w:hint="eastAsia" w:ascii="宋体" w:hAnsi="宋体" w:eastAsia="宋体" w:cs="宋体"/>
                <w:color w:val="auto"/>
                <w:szCs w:val="21"/>
                <w:highlight w:val="none"/>
                <w:lang w:eastAsia="zh-CN" w:bidi="ar"/>
              </w:rPr>
              <w:t>、专项计量授权证书、ISO10012（或GB/T 19022）测量管理体系认证证书</w:t>
            </w:r>
            <w:r>
              <w:rPr>
                <w:rFonts w:hint="eastAsia" w:ascii="宋体" w:hAnsi="宋体" w:eastAsia="宋体" w:cs="宋体"/>
                <w:color w:val="auto"/>
                <w:szCs w:val="21"/>
                <w:highlight w:val="none"/>
                <w:lang w:bidi="ar"/>
              </w:rPr>
              <w:t>的,每个证书得 1 分,本子项最高得</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 xml:space="preserve">分。如为非中文证书的，须提供中文译本并注明属于前述证书的类型，否则不得分。中文译本及注明内容无法体现评分要求的，不得分。中标后，招标人有权要求提供技术认证证书的证明材料进行复核。 </w:t>
            </w:r>
          </w:p>
          <w:p w14:paraId="4439A35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bidi="ar"/>
              </w:rPr>
              <w:t>备注：投标人应提供相关的许可、批复、专利证书、技术认证证书及其他相关资料等证明文件的扫描件，</w:t>
            </w:r>
            <w:r>
              <w:rPr>
                <w:rFonts w:hint="eastAsia" w:ascii="宋体" w:hAnsi="宋体" w:eastAsia="宋体" w:cs="宋体"/>
                <w:b/>
                <w:bCs/>
                <w:color w:val="auto"/>
                <w:szCs w:val="21"/>
                <w:highlight w:val="none"/>
                <w:lang w:eastAsia="zh-CN" w:bidi="ar"/>
              </w:rPr>
              <w:t>其中ISO10012（或GB/T 19022）测量管理体系认证证书除提供证书扫描件外，还需提供</w:t>
            </w:r>
            <w:r>
              <w:rPr>
                <w:rFonts w:hint="eastAsia" w:ascii="宋体" w:hAnsi="宋体" w:eastAsia="宋体" w:cs="宋体"/>
                <w:b/>
                <w:bCs/>
                <w:color w:val="auto"/>
                <w:szCs w:val="21"/>
                <w:highlight w:val="none"/>
                <w:lang w:bidi="ar"/>
              </w:rPr>
              <w:t>能显示证书有效状态的全国认证认可信息公共服务平台（http://cx.cnca.cn/)查询结果凭证{凭证界面需显示有“全国认证认可信息公共服务平台”或“认证证书（需显示网址cx.cnca.cn）”}</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bidi="ar"/>
              </w:rPr>
              <w:t>以投标人提供的上述资料作为评审依据，未按要求提供上述资料或不能体现与投标人</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或</w:t>
            </w:r>
            <w:r>
              <w:rPr>
                <w:rFonts w:hint="eastAsia" w:ascii="宋体" w:hAnsi="宋体" w:eastAsia="宋体" w:cs="宋体"/>
                <w:b/>
                <w:bCs/>
                <w:color w:val="auto"/>
                <w:szCs w:val="21"/>
                <w:highlight w:val="none"/>
                <w:lang w:eastAsia="zh-CN" w:bidi="ar"/>
              </w:rPr>
              <w:t>所投产品制造商）</w:t>
            </w:r>
            <w:r>
              <w:rPr>
                <w:rFonts w:hint="eastAsia" w:ascii="宋体" w:hAnsi="宋体" w:eastAsia="宋体" w:cs="宋体"/>
                <w:b/>
                <w:bCs/>
                <w:color w:val="auto"/>
                <w:szCs w:val="21"/>
                <w:highlight w:val="none"/>
                <w:lang w:bidi="ar"/>
              </w:rPr>
              <w:t>关系的不得分。</w:t>
            </w:r>
          </w:p>
        </w:tc>
      </w:tr>
      <w:tr w14:paraId="603C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337" w:type="pct"/>
            <w:shd w:val="clear" w:color="auto" w:fill="auto"/>
            <w:vAlign w:val="center"/>
          </w:tcPr>
          <w:p w14:paraId="029A6CD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53" w:leftChars="-25" w:right="-38" w:rightChars="-18" w:firstLine="2"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917" w:type="pct"/>
            <w:shd w:val="clear" w:color="auto" w:fill="auto"/>
            <w:vAlign w:val="center"/>
          </w:tcPr>
          <w:p w14:paraId="58B1281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投标产品的设计及性能</w:t>
            </w:r>
          </w:p>
        </w:tc>
        <w:tc>
          <w:tcPr>
            <w:tcW w:w="625" w:type="pct"/>
            <w:shd w:val="clear" w:color="auto" w:fill="auto"/>
            <w:vAlign w:val="center"/>
          </w:tcPr>
          <w:p w14:paraId="24DF9E2E">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400" w:lineRule="exact"/>
              <w:ind w:left="0" w:right="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5分</w:t>
            </w:r>
          </w:p>
        </w:tc>
        <w:tc>
          <w:tcPr>
            <w:tcW w:w="3120" w:type="pct"/>
            <w:tcBorders>
              <w:top w:val="single" w:color="auto" w:sz="4" w:space="0"/>
              <w:left w:val="single" w:color="auto" w:sz="4" w:space="0"/>
              <w:right w:val="single" w:color="auto" w:sz="4" w:space="0"/>
            </w:tcBorders>
            <w:shd w:val="clear" w:color="auto" w:fill="auto"/>
            <w:vAlign w:val="center"/>
          </w:tcPr>
          <w:p w14:paraId="78CCEB0A">
            <w:pPr>
              <w:keepNext w:val="0"/>
              <w:keepLines w:val="0"/>
              <w:suppressLineNumbers w:val="0"/>
              <w:spacing w:before="0" w:beforeAutospacing="0" w:after="0" w:afterAutospacing="0" w:line="400" w:lineRule="exact"/>
              <w:ind w:left="0" w:right="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所投品牌旋翼式远传水表的读数设计、抗磨损设计、远传模块可拆卸维护、计量参数、计量准确度、防腐工艺、机芯材质、防护等级、密封性能、抗干扰性能、远传模块电池性能和设计寿命、远传模块维修便利性及数据采集性能等进行评审：</w:t>
            </w:r>
          </w:p>
          <w:p w14:paraId="1815207F">
            <w:pPr>
              <w:keepNext w:val="0"/>
              <w:keepLines w:val="0"/>
              <w:suppressLineNumbers w:val="0"/>
              <w:spacing w:before="0" w:beforeAutospacing="0" w:after="0" w:afterAutospacing="0" w:line="400" w:lineRule="exact"/>
              <w:ind w:left="0" w:right="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优：产品设计合理、实用、美观，读数显示清晰，拆装维护便利，计量性能响应度高，技术性能先进，性能稳定可靠，能完全满足并优于采购需求，得5分；</w:t>
            </w:r>
          </w:p>
          <w:p w14:paraId="282DA683">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良：产品设计合理，读数显示较清晰，拆装维护较方便，计量性能响应度较高，技术性能较好，性能稳定，能满足采购需求，得3.5分；</w:t>
            </w:r>
          </w:p>
          <w:p w14:paraId="08785B57">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中：产品设计一般，读数显示清晰度一般，拆装维护便利度一般，计量性能响应度一般，技术性能一般，运行稳定性一般，基本能满足采购需求，得2分；</w:t>
            </w:r>
          </w:p>
          <w:p w14:paraId="285386AB">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差：产品设计基本符合要求，读数显示清晰度基本符合要求，拆装维护便利度基本符合要求，计量性能响应度基本符合要求，技术性能基本符合要求，运行基本稳定，基本符合采购需求，得1分；</w:t>
            </w:r>
          </w:p>
          <w:p w14:paraId="707FC1DD">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未提供的，得0分。</w:t>
            </w:r>
          </w:p>
          <w:p w14:paraId="1542B987">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备注：1、投标人必须提供投标产品性能说明书或其他能体现投标产品性能的证明材料，以此证明材料作为依据进行评审；</w:t>
            </w:r>
            <w:r>
              <w:rPr>
                <w:rFonts w:hint="default"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、投标人提供的水表类型【提供：DN20旋翼式远传水表】的省级或省级以上质量监督检测机构或第三方具有 CMA 资格的检测机构或第三方具有CNAS 认证的检测机构出具的检验报告进行评审。</w:t>
            </w:r>
          </w:p>
        </w:tc>
      </w:tr>
      <w:tr w14:paraId="426E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37" w:type="pct"/>
            <w:shd w:val="clear" w:color="auto" w:fill="auto"/>
            <w:vAlign w:val="center"/>
          </w:tcPr>
          <w:p w14:paraId="2305F32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53" w:leftChars="-25" w:right="-38" w:rightChars="-18" w:firstLine="2"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17" w:type="pct"/>
            <w:shd w:val="clear" w:color="auto" w:fill="auto"/>
            <w:vAlign w:val="center"/>
          </w:tcPr>
          <w:p w14:paraId="5612F26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生产制造能力</w:t>
            </w:r>
          </w:p>
        </w:tc>
        <w:tc>
          <w:tcPr>
            <w:tcW w:w="625" w:type="pct"/>
            <w:shd w:val="clear" w:color="auto" w:fill="auto"/>
            <w:vAlign w:val="center"/>
          </w:tcPr>
          <w:p w14:paraId="723042A5">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400" w:lineRule="exact"/>
              <w:ind w:left="0" w:right="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4分</w:t>
            </w:r>
          </w:p>
        </w:tc>
        <w:tc>
          <w:tcPr>
            <w:tcW w:w="3120" w:type="pct"/>
            <w:tcBorders>
              <w:top w:val="single" w:color="auto" w:sz="4" w:space="0"/>
              <w:left w:val="single" w:color="auto" w:sz="4" w:space="0"/>
              <w:right w:val="single" w:color="auto" w:sz="4" w:space="0"/>
            </w:tcBorders>
            <w:shd w:val="clear" w:color="auto" w:fill="auto"/>
            <w:vAlign w:val="center"/>
          </w:tcPr>
          <w:p w14:paraId="5970C903">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根据投标人（或所投产品制造商）的生产设备、检测设备、制造工艺流程及质检手段（包括各类设备的单台价值及档次水平、生产能力、工艺质量、试压和误差检测的效率）等进行评审： </w:t>
            </w:r>
          </w:p>
          <w:p w14:paraId="4F373A3E">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优：生产、检测设备质量高、生产管理流程高效、产品质量检测能力先进，得4分； </w:t>
            </w:r>
          </w:p>
          <w:p w14:paraId="0739B4DC">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良：生产、检测设备质量比较高、生产管理流程比较稳定、产品质量检测能力较好，得3分； </w:t>
            </w:r>
          </w:p>
          <w:p w14:paraId="2A57892C">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中：生产、检测设备质量一般、生产管理流程效率一般、产品质量检测能力一般，得2分； </w:t>
            </w:r>
          </w:p>
          <w:p w14:paraId="3EA72467">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差：具备基本的生产与检测设备，生产管理流程初步建立，产品质量检测能力较为基础，得1分；</w:t>
            </w:r>
          </w:p>
          <w:p w14:paraId="347F41E1">
            <w:pPr>
              <w:keepNext w:val="0"/>
              <w:keepLines w:val="0"/>
              <w:suppressLineNumbers w:val="0"/>
              <w:spacing w:before="0" w:beforeAutospacing="0" w:after="0" w:afterAutospacing="0" w:line="400" w:lineRule="exact"/>
              <w:ind w:left="0" w:right="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未提供生产制造能力方案及相关证明材料的，不得分。</w:t>
            </w:r>
          </w:p>
          <w:p w14:paraId="45D436B4">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备注：投标人应提供2025年1月1日或以后拍摄的有关生产设备、检测设备、制造工艺流程及质检设备的照片/图片（照片/图片须清晰反映拍摄时间，否则评标时将不予考虑），以及相关设备设施清单和（付款单位/购买方为所投产品制造商）采购合同及购置发票原件扫描件等证明材料，以投标人提供的上述资料作为评审依据。</w:t>
            </w:r>
          </w:p>
        </w:tc>
      </w:tr>
      <w:tr w14:paraId="39D9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37" w:type="pct"/>
            <w:vMerge w:val="restart"/>
            <w:vAlign w:val="center"/>
          </w:tcPr>
          <w:p w14:paraId="3FDBECC1">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53" w:leftChars="-25" w:right="-38" w:rightChars="-18" w:firstLine="2"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917" w:type="pct"/>
            <w:vMerge w:val="restart"/>
            <w:shd w:val="clear" w:color="auto" w:fill="auto"/>
            <w:vAlign w:val="center"/>
          </w:tcPr>
          <w:p w14:paraId="48E6EC4D">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售后服务方案</w:t>
            </w:r>
          </w:p>
        </w:tc>
        <w:tc>
          <w:tcPr>
            <w:tcW w:w="625" w:type="pct"/>
            <w:shd w:val="clear" w:color="auto" w:fill="auto"/>
            <w:vAlign w:val="center"/>
          </w:tcPr>
          <w:p w14:paraId="707A8ED8">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40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4分</w:t>
            </w:r>
          </w:p>
        </w:tc>
        <w:tc>
          <w:tcPr>
            <w:tcW w:w="3120" w:type="pct"/>
            <w:tcBorders>
              <w:top w:val="single" w:color="auto" w:sz="4" w:space="0"/>
              <w:left w:val="single" w:color="auto" w:sz="4" w:space="0"/>
              <w:right w:val="single" w:color="auto" w:sz="4" w:space="0"/>
            </w:tcBorders>
            <w:shd w:val="clear" w:color="auto" w:fill="auto"/>
            <w:vAlign w:val="center"/>
          </w:tcPr>
          <w:p w14:paraId="1BE69828">
            <w:pPr>
              <w:keepNext w:val="0"/>
              <w:keepLines w:val="0"/>
              <w:pageBreakBefore w:val="0"/>
              <w:widowControl/>
              <w:suppressLineNumbers w:val="0"/>
              <w:kinsoku/>
              <w:wordWrap/>
              <w:overflowPunct/>
              <w:topLinePunct w:val="0"/>
              <w:bidi w:val="0"/>
              <w:spacing w:before="0" w:beforeAutospacing="0" w:after="0" w:afterAutospacing="0" w:line="400" w:lineRule="exact"/>
              <w:ind w:left="0" w:right="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1、根据投标人提供的售后服务机构配置（包括技术服务人员数量及水平、备品配件数量、保修方式），售后服务的便利性，应急处理方式，培训计划等进行评审： </w:t>
            </w:r>
          </w:p>
          <w:p w14:paraId="29717817">
            <w:pPr>
              <w:keepNext w:val="0"/>
              <w:keepLines w:val="0"/>
              <w:pageBreakBefore w:val="0"/>
              <w:widowControl/>
              <w:suppressLineNumbers w:val="0"/>
              <w:kinsoku/>
              <w:wordWrap/>
              <w:overflowPunct/>
              <w:topLinePunct w:val="0"/>
              <w:bidi w:val="0"/>
              <w:spacing w:before="0" w:beforeAutospacing="0" w:after="0" w:afterAutospacing="0" w:line="400" w:lineRule="exact"/>
              <w:ind w:left="0" w:right="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优：售后服务机构配置的技术服务人员数量、备品配件数量充足；技术服务水平高，保修方式高效；售后服务便利、应急处理方式完善；培训计划内容非常详实完善、科学合理和保障及时充分，得4分； </w:t>
            </w:r>
          </w:p>
          <w:p w14:paraId="744A4423">
            <w:pPr>
              <w:keepNext w:val="0"/>
              <w:keepLines w:val="0"/>
              <w:pageBreakBefore w:val="0"/>
              <w:widowControl/>
              <w:suppressLineNumbers w:val="0"/>
              <w:kinsoku/>
              <w:wordWrap/>
              <w:overflowPunct/>
              <w:topLinePunct w:val="0"/>
              <w:bidi w:val="0"/>
              <w:spacing w:before="0" w:beforeAutospacing="0" w:after="0" w:afterAutospacing="0" w:line="400" w:lineRule="exact"/>
              <w:ind w:left="0" w:right="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良：售后服务机构配置的技术服务人员数量、备品配件数量较充足；技术服务水平较高，保修方式较佳；售后服务较便利、应急处理方式较完善；培训计划内容比较详实完善、可行性较好、保障性和及时性较好，得3分； </w:t>
            </w:r>
          </w:p>
          <w:p w14:paraId="2A836873">
            <w:pPr>
              <w:keepNext w:val="0"/>
              <w:keepLines w:val="0"/>
              <w:pageBreakBefore w:val="0"/>
              <w:widowControl/>
              <w:suppressLineNumbers w:val="0"/>
              <w:kinsoku/>
              <w:wordWrap/>
              <w:overflowPunct/>
              <w:topLinePunct w:val="0"/>
              <w:bidi w:val="0"/>
              <w:spacing w:before="0" w:beforeAutospacing="0" w:after="0" w:afterAutospacing="0" w:line="400" w:lineRule="exact"/>
              <w:ind w:left="0" w:right="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中：售后服务机构配置的技术服务人员数量、备品配件数量一般；技术服务水平一般，保修方式一般；售后服务便利性一般、应急处理方式一般；培训计划内容基本详实完善、基本可行、保障性和及时性一般，得2分； </w:t>
            </w:r>
          </w:p>
          <w:p w14:paraId="51801841">
            <w:pPr>
              <w:keepNext w:val="0"/>
              <w:keepLines w:val="0"/>
              <w:pageBreakBefore w:val="0"/>
              <w:widowControl/>
              <w:suppressLineNumbers w:val="0"/>
              <w:kinsoku/>
              <w:wordWrap/>
              <w:overflowPunct/>
              <w:topLinePunct w:val="0"/>
              <w:bidi w:val="0"/>
              <w:spacing w:before="0" w:beforeAutospacing="0" w:after="0" w:afterAutospacing="0" w:line="400" w:lineRule="exact"/>
              <w:ind w:left="0" w:right="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差：售后服务机构配置的技术服务人员数量和备品配件数量基本满足项目需求；技术服务水平、保修方式较为基础；售后服务便利性一般，应急处理方式单一；培训计划内容简单，可行性、保障性和及时性存在一定局限，得1分；</w:t>
            </w:r>
          </w:p>
          <w:p w14:paraId="7A6D7C1D">
            <w:pPr>
              <w:keepNext w:val="0"/>
              <w:keepLines w:val="0"/>
              <w:pageBreakBefore w:val="0"/>
              <w:widowControl/>
              <w:suppressLineNumbers w:val="0"/>
              <w:kinsoku/>
              <w:wordWrap/>
              <w:overflowPunct/>
              <w:topLinePunct w:val="0"/>
              <w:bidi w:val="0"/>
              <w:spacing w:before="0" w:beforeAutospacing="0" w:after="0" w:afterAutospacing="0" w:line="400" w:lineRule="exact"/>
              <w:ind w:left="0" w:right="0"/>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val="0"/>
                <w:color w:val="auto"/>
                <w:kern w:val="0"/>
                <w:szCs w:val="21"/>
                <w:highlight w:val="none"/>
                <w:shd w:val="clear" w:color="auto" w:fill="auto"/>
                <w:lang w:val="en-US" w:eastAsia="zh-CN"/>
              </w:rPr>
              <w:t>未提供售后服务方案的，不得分。</w:t>
            </w:r>
          </w:p>
        </w:tc>
      </w:tr>
      <w:tr w14:paraId="3617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37" w:type="pct"/>
            <w:vMerge w:val="continue"/>
            <w:vAlign w:val="center"/>
          </w:tcPr>
          <w:p w14:paraId="0574357C">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53" w:leftChars="-25" w:right="-38" w:rightChars="-18" w:firstLine="2" w:firstLineChars="0"/>
              <w:jc w:val="center"/>
              <w:textAlignment w:val="auto"/>
              <w:rPr>
                <w:rFonts w:hint="eastAsia" w:ascii="宋体" w:hAnsi="宋体" w:eastAsia="宋体" w:cs="宋体"/>
                <w:color w:val="auto"/>
                <w:sz w:val="21"/>
                <w:szCs w:val="21"/>
                <w:highlight w:val="none"/>
                <w:lang w:val="en-US" w:eastAsia="zh-CN"/>
              </w:rPr>
            </w:pPr>
          </w:p>
        </w:tc>
        <w:tc>
          <w:tcPr>
            <w:tcW w:w="917" w:type="pct"/>
            <w:vMerge w:val="continue"/>
            <w:shd w:val="clear" w:color="auto" w:fill="auto"/>
            <w:vAlign w:val="center"/>
          </w:tcPr>
          <w:p w14:paraId="78809BB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bidi="ar"/>
              </w:rPr>
            </w:pPr>
          </w:p>
        </w:tc>
        <w:tc>
          <w:tcPr>
            <w:tcW w:w="625" w:type="pct"/>
            <w:shd w:val="clear" w:color="auto" w:fill="auto"/>
            <w:vAlign w:val="center"/>
          </w:tcPr>
          <w:p w14:paraId="5F3275BC">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40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2分</w:t>
            </w:r>
          </w:p>
        </w:tc>
        <w:tc>
          <w:tcPr>
            <w:tcW w:w="3120" w:type="pct"/>
            <w:tcBorders>
              <w:top w:val="single" w:color="auto" w:sz="4" w:space="0"/>
              <w:left w:val="single" w:color="auto" w:sz="4" w:space="0"/>
              <w:right w:val="single" w:color="auto" w:sz="4" w:space="0"/>
            </w:tcBorders>
            <w:shd w:val="clear" w:color="auto" w:fill="auto"/>
            <w:vAlign w:val="center"/>
          </w:tcPr>
          <w:p w14:paraId="707FF39D">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根据投标人承诺的</w:t>
            </w:r>
            <w:r>
              <w:rPr>
                <w:rFonts w:hint="eastAsia" w:ascii="宋体" w:hAnsi="宋体" w:eastAsia="宋体" w:cs="宋体"/>
                <w:color w:val="auto"/>
                <w:szCs w:val="21"/>
                <w:highlight w:val="none"/>
                <w:lang w:val="en-US" w:eastAsia="zh-CN"/>
              </w:rPr>
              <w:t>售后服务</w:t>
            </w:r>
            <w:r>
              <w:rPr>
                <w:rFonts w:hint="eastAsia" w:ascii="宋体" w:hAnsi="宋体" w:eastAsia="宋体" w:cs="宋体"/>
                <w:color w:val="auto"/>
                <w:szCs w:val="21"/>
                <w:highlight w:val="none"/>
              </w:rPr>
              <w:t>响应时间进行评审：</w:t>
            </w:r>
          </w:p>
          <w:p w14:paraId="310D5693">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①承诺在接到招标人的</w:t>
            </w:r>
            <w:r>
              <w:rPr>
                <w:rFonts w:hint="eastAsia" w:ascii="宋体" w:hAnsi="宋体" w:eastAsia="宋体" w:cs="宋体"/>
                <w:b w:val="0"/>
                <w:bCs w:val="0"/>
                <w:color w:val="auto"/>
                <w:szCs w:val="21"/>
                <w:highlight w:val="none"/>
                <w:lang w:val="en-US" w:eastAsia="zh-CN"/>
              </w:rPr>
              <w:t>售后服务通知</w:t>
            </w:r>
            <w:r>
              <w:rPr>
                <w:rFonts w:hint="eastAsia" w:ascii="宋体" w:hAnsi="宋体" w:eastAsia="宋体" w:cs="宋体"/>
                <w:b w:val="0"/>
                <w:bCs w:val="0"/>
                <w:color w:val="auto"/>
                <w:szCs w:val="21"/>
                <w:highlight w:val="none"/>
              </w:rPr>
              <w:t xml:space="preserve">后3小时内响应，16小时内到达项目现场进行维修等服务的，得1分； </w:t>
            </w:r>
          </w:p>
          <w:p w14:paraId="572AA8BE">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②承诺在接到招标人的</w:t>
            </w:r>
            <w:r>
              <w:rPr>
                <w:rFonts w:hint="eastAsia" w:ascii="宋体" w:hAnsi="宋体" w:eastAsia="宋体" w:cs="宋体"/>
                <w:b w:val="0"/>
                <w:bCs w:val="0"/>
                <w:color w:val="auto"/>
                <w:szCs w:val="21"/>
                <w:highlight w:val="none"/>
                <w:lang w:val="en-US" w:eastAsia="zh-CN"/>
              </w:rPr>
              <w:t>售后服务通知</w:t>
            </w:r>
            <w:r>
              <w:rPr>
                <w:rFonts w:hint="eastAsia" w:ascii="宋体" w:hAnsi="宋体" w:eastAsia="宋体" w:cs="宋体"/>
                <w:b w:val="0"/>
                <w:bCs w:val="0"/>
                <w:color w:val="auto"/>
                <w:szCs w:val="21"/>
                <w:highlight w:val="none"/>
              </w:rPr>
              <w:t xml:space="preserve">后2小时内响应，8小时内到达项目现场进行维修等服务的，得2分。 </w:t>
            </w:r>
          </w:p>
          <w:p w14:paraId="7DB5EDAE">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color w:val="auto"/>
                <w:szCs w:val="21"/>
                <w:highlight w:val="none"/>
              </w:rPr>
              <w:t>备注：根据《</w:t>
            </w:r>
            <w:r>
              <w:rPr>
                <w:rFonts w:hint="eastAsia" w:ascii="宋体" w:hAnsi="宋体" w:eastAsia="宋体" w:cs="宋体"/>
                <w:b/>
                <w:bCs/>
                <w:color w:val="auto"/>
                <w:szCs w:val="21"/>
                <w:highlight w:val="none"/>
                <w:lang w:val="en-US" w:eastAsia="zh-CN"/>
              </w:rPr>
              <w:t>售后服务</w:t>
            </w:r>
            <w:r>
              <w:rPr>
                <w:rFonts w:hint="eastAsia" w:ascii="宋体" w:hAnsi="宋体" w:eastAsia="宋体" w:cs="宋体"/>
                <w:b/>
                <w:bCs/>
                <w:color w:val="auto"/>
                <w:szCs w:val="21"/>
                <w:highlight w:val="none"/>
              </w:rPr>
              <w:t>响应时间承诺表》进行评审。</w:t>
            </w:r>
          </w:p>
        </w:tc>
      </w:tr>
    </w:tbl>
    <w:p w14:paraId="7CF40116">
      <w:pPr>
        <w:widowControl/>
        <w:jc w:val="left"/>
        <w:rPr>
          <w:rFonts w:ascii="宋体" w:hAnsi="宋体" w:eastAsia="宋体" w:cs="宋体"/>
          <w:color w:val="auto"/>
          <w:szCs w:val="24"/>
          <w:highlight w:val="none"/>
          <w:lang w:val="zh-CN"/>
        </w:rPr>
      </w:pPr>
    </w:p>
    <w:p w14:paraId="2A74E106">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备注：</w:t>
      </w:r>
    </w:p>
    <w:p w14:paraId="28DF9697">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①分数出现小数点，保留小数点后2位，从小数点后第3位四舍五入。</w:t>
      </w:r>
    </w:p>
    <w:p w14:paraId="2554830C">
      <w:pPr>
        <w:autoSpaceDE w:val="0"/>
        <w:autoSpaceDN w:val="0"/>
        <w:adjustRightInd w:val="0"/>
        <w:spacing w:line="360" w:lineRule="auto"/>
        <w:ind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1"/>
          <w:highlight w:val="none"/>
          <w:lang w:val="en-US" w:eastAsia="zh-CN"/>
        </w:rPr>
        <w:t>②</w:t>
      </w:r>
      <w:r>
        <w:rPr>
          <w:rFonts w:hint="eastAsia" w:ascii="宋体" w:hAnsi="宋体" w:eastAsia="宋体" w:cs="宋体"/>
          <w:b/>
          <w:color w:val="auto"/>
          <w:szCs w:val="21"/>
          <w:highlight w:val="none"/>
          <w:lang w:val="zh-CN"/>
        </w:rPr>
        <w:t>上述“评分项目”中按</w:t>
      </w:r>
      <w:r>
        <w:rPr>
          <w:rFonts w:hint="eastAsia" w:ascii="宋体" w:hAnsi="宋体" w:eastAsia="宋体" w:cs="宋体"/>
          <w:b/>
          <w:color w:val="auto"/>
          <w:szCs w:val="24"/>
          <w:highlight w:val="none"/>
          <w:lang w:val="zh-CN"/>
        </w:rPr>
        <w:t>“优、良、中、差”评审的，若低于该项满分分值60%时，评标专家需详细填写该项低分的充分理由，例如：该项目内容存在违反国家有关标准和规范或与项目实际不符等原则性问题。</w:t>
      </w:r>
    </w:p>
    <w:p w14:paraId="4C771E1B">
      <w:pPr>
        <w:autoSpaceDE w:val="0"/>
        <w:autoSpaceDN w:val="0"/>
        <w:adjustRightInd w:val="0"/>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③</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54855BB3">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72016BDE">
      <w:pPr>
        <w:spacing w:line="360" w:lineRule="auto"/>
        <w:ind w:firstLine="422" w:firstLineChars="2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0AD67347">
      <w:pPr>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5D5F47C">
      <w:pPr>
        <w:autoSpaceDE w:val="0"/>
        <w:autoSpaceDN w:val="0"/>
        <w:adjustRightInd w:val="0"/>
        <w:spacing w:line="360" w:lineRule="auto"/>
        <w:ind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49114C48">
      <w:pPr>
        <w:spacing w:line="360" w:lineRule="auto"/>
        <w:ind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34762205">
      <w:pPr>
        <w:spacing w:line="360" w:lineRule="auto"/>
        <w:ind w:firstLine="422" w:firstLineChars="2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 xml:space="preserve"> 30 </w:t>
      </w:r>
      <w:r>
        <w:rPr>
          <w:rFonts w:hint="eastAsia" w:ascii="宋体" w:hAnsi="宋体" w:eastAsia="宋体" w:cs="宋体"/>
          <w:b/>
          <w:bCs/>
          <w:color w:val="auto"/>
          <w:kern w:val="0"/>
          <w:szCs w:val="21"/>
          <w:highlight w:val="none"/>
          <w:lang w:val="zh-CN"/>
        </w:rPr>
        <w:t>分</w:t>
      </w:r>
    </w:p>
    <w:p w14:paraId="6D22FAC0">
      <w:pPr>
        <w:autoSpaceDN w:val="0"/>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A、根据有效投标人的投标“折扣系数”，最低投标“折扣系数”作为基准</w:t>
      </w:r>
      <w:r>
        <w:rPr>
          <w:rFonts w:hint="eastAsia" w:ascii="宋体" w:hAnsi="宋体" w:eastAsia="宋体" w:cs="宋体"/>
          <w:color w:val="auto"/>
          <w:kern w:val="0"/>
          <w:szCs w:val="21"/>
          <w:highlight w:val="none"/>
          <w:lang w:val="en-US" w:eastAsia="zh-CN"/>
        </w:rPr>
        <w:t>系数</w:t>
      </w:r>
      <w:r>
        <w:rPr>
          <w:rFonts w:hint="eastAsia" w:ascii="宋体" w:hAnsi="宋体" w:eastAsia="宋体" w:cs="宋体"/>
          <w:color w:val="auto"/>
          <w:kern w:val="0"/>
          <w:szCs w:val="21"/>
          <w:highlight w:val="none"/>
        </w:rPr>
        <w:t>（Y）。投标人投标“折扣系数”（X）等于基准</w:t>
      </w:r>
      <w:r>
        <w:rPr>
          <w:rFonts w:hint="eastAsia" w:ascii="宋体" w:hAnsi="宋体" w:eastAsia="宋体" w:cs="宋体"/>
          <w:color w:val="auto"/>
          <w:kern w:val="0"/>
          <w:szCs w:val="21"/>
          <w:highlight w:val="none"/>
          <w:lang w:val="en-US" w:eastAsia="zh-CN"/>
        </w:rPr>
        <w:t>系数</w:t>
      </w:r>
      <w:r>
        <w:rPr>
          <w:rFonts w:hint="eastAsia" w:ascii="宋体" w:hAnsi="宋体" w:eastAsia="宋体" w:cs="宋体"/>
          <w:color w:val="auto"/>
          <w:kern w:val="0"/>
          <w:szCs w:val="21"/>
          <w:highlight w:val="none"/>
        </w:rPr>
        <w:t>的得满分</w:t>
      </w:r>
      <w:r>
        <w:rPr>
          <w:rFonts w:hint="eastAsia" w:ascii="宋体" w:hAnsi="宋体" w:eastAsia="宋体" w:cs="宋体"/>
          <w:color w:val="auto"/>
          <w:kern w:val="0"/>
          <w:szCs w:val="21"/>
          <w:highlight w:val="none"/>
          <w:lang w:val="en-US" w:eastAsia="zh-CN"/>
        </w:rPr>
        <w:t xml:space="preserve"> 30 </w:t>
      </w:r>
      <w:r>
        <w:rPr>
          <w:rFonts w:hint="eastAsia" w:ascii="宋体" w:hAnsi="宋体" w:eastAsia="宋体" w:cs="宋体"/>
          <w:color w:val="auto"/>
          <w:kern w:val="0"/>
          <w:szCs w:val="21"/>
          <w:highlight w:val="none"/>
        </w:rPr>
        <w:t>分，其他投标人的价格得分统一按照下列公式计算：</w:t>
      </w:r>
    </w:p>
    <w:p w14:paraId="465B23A4">
      <w:pPr>
        <w:autoSpaceDN w:val="0"/>
        <w:adjustRightInd w:val="0"/>
        <w:snapToGrid w:val="0"/>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w:t>
      </w:r>
      <w:r>
        <w:rPr>
          <w:rFonts w:hint="eastAsia" w:ascii="宋体" w:hAnsi="宋体" w:eastAsia="宋体" w:cs="宋体"/>
          <w:color w:val="auto"/>
          <w:kern w:val="0"/>
          <w:szCs w:val="21"/>
          <w:highlight w:val="none"/>
          <w:lang w:val="en-US" w:eastAsia="zh-CN"/>
        </w:rPr>
        <w:t>系数</w:t>
      </w:r>
      <w:r>
        <w:rPr>
          <w:rFonts w:hint="eastAsia" w:ascii="宋体" w:hAnsi="宋体" w:eastAsia="宋体" w:cs="宋体"/>
          <w:color w:val="auto"/>
          <w:kern w:val="0"/>
          <w:szCs w:val="21"/>
          <w:highlight w:val="none"/>
        </w:rPr>
        <w:t>／投标</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折扣系数</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30</w:t>
      </w:r>
    </w:p>
    <w:p w14:paraId="0C12D11F">
      <w:pPr>
        <w:autoSpaceDN w:val="0"/>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497262FB">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107D49D5">
      <w:pPr>
        <w:spacing w:line="360" w:lineRule="auto"/>
        <w:ind w:firstLine="420" w:firstLineChars="200"/>
        <w:rPr>
          <w:rFonts w:ascii="宋体" w:hAnsi="宋体" w:eastAsia="宋体" w:cs="宋体"/>
          <w:color w:val="auto"/>
          <w:kern w:val="0"/>
          <w:szCs w:val="28"/>
          <w:highlight w:val="none"/>
          <w:lang w:val="zh-CN"/>
        </w:rPr>
      </w:pPr>
      <w:bookmarkStart w:id="965" w:name="_Toc31624_WPSOffice_Level2"/>
      <w:r>
        <w:rPr>
          <w:rFonts w:hint="eastAsia" w:ascii="宋体" w:hAnsi="宋体" w:eastAsia="宋体" w:cs="宋体"/>
          <w:color w:val="auto"/>
          <w:kern w:val="0"/>
          <w:szCs w:val="28"/>
          <w:highlight w:val="none"/>
          <w:lang w:val="zh-CN"/>
        </w:rPr>
        <w:t>评标总得分=F1＋F2＋……+Fn</w:t>
      </w:r>
      <w:bookmarkEnd w:id="965"/>
    </w:p>
    <w:p w14:paraId="578E409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bookmarkStart w:id="966" w:name="_Toc13236_WPSOffice_Level2"/>
      <w:r>
        <w:rPr>
          <w:rFonts w:hint="eastAsia" w:ascii="宋体" w:hAnsi="宋体" w:eastAsia="宋体" w:cs="宋体"/>
          <w:color w:val="auto"/>
          <w:kern w:val="0"/>
          <w:szCs w:val="21"/>
          <w:highlight w:val="none"/>
        </w:rPr>
        <w:t>F1、F2、……Fn分别为各项评分因素的得分</w:t>
      </w:r>
      <w:bookmarkEnd w:id="966"/>
      <w:r>
        <w:rPr>
          <w:rFonts w:hint="eastAsia" w:ascii="宋体" w:hAnsi="宋体" w:eastAsia="宋体" w:cs="宋体"/>
          <w:color w:val="auto"/>
          <w:kern w:val="0"/>
          <w:szCs w:val="21"/>
          <w:highlight w:val="none"/>
        </w:rPr>
        <w:t>。</w:t>
      </w:r>
    </w:p>
    <w:p w14:paraId="5F2C1308">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5E38A6D3">
      <w:pPr>
        <w:autoSpaceDE w:val="0"/>
        <w:autoSpaceDN w:val="0"/>
        <w:adjustRightInd w:val="0"/>
        <w:spacing w:line="360" w:lineRule="auto"/>
        <w:jc w:val="center"/>
        <w:rPr>
          <w:rFonts w:ascii="宋体" w:hAnsi="宋体" w:eastAsia="宋体" w:cs="宋体"/>
          <w:b/>
          <w:bCs/>
          <w:color w:val="auto"/>
          <w:sz w:val="28"/>
          <w:szCs w:val="28"/>
          <w:highlight w:val="none"/>
        </w:rPr>
      </w:pPr>
      <w:bookmarkStart w:id="967" w:name="_Toc518_WPSOffice_Level1"/>
      <w:r>
        <w:rPr>
          <w:rFonts w:hint="eastAsia" w:ascii="宋体" w:hAnsi="宋体" w:eastAsia="宋体" w:cs="宋体"/>
          <w:b/>
          <w:bCs/>
          <w:color w:val="auto"/>
          <w:sz w:val="28"/>
          <w:szCs w:val="28"/>
          <w:highlight w:val="none"/>
          <w:lang w:val="zh-CN"/>
        </w:rPr>
        <w:t>五、推荐中标人</w:t>
      </w:r>
      <w:bookmarkEnd w:id="967"/>
    </w:p>
    <w:p w14:paraId="24E312A0">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40539533">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FD5F2AA">
      <w:pPr>
        <w:widowControl/>
        <w:spacing w:line="360" w:lineRule="auto"/>
        <w:jc w:val="left"/>
        <w:rPr>
          <w:rFonts w:ascii="宋体" w:hAnsi="宋体" w:eastAsia="宋体" w:cs="宋体"/>
          <w:color w:val="auto"/>
          <w:kern w:val="0"/>
          <w:szCs w:val="21"/>
          <w:highlight w:val="none"/>
        </w:rPr>
      </w:pPr>
    </w:p>
    <w:p w14:paraId="4ECA527C">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968" w:name="_Toc22724_WPSOffice_Level1"/>
      <w:r>
        <w:rPr>
          <w:rFonts w:hint="eastAsia" w:ascii="宋体" w:hAnsi="宋体" w:eastAsia="宋体" w:cs="宋体"/>
          <w:b/>
          <w:bCs/>
          <w:color w:val="auto"/>
          <w:sz w:val="28"/>
          <w:szCs w:val="28"/>
          <w:highlight w:val="none"/>
          <w:lang w:val="zh-CN"/>
        </w:rPr>
        <w:t>六、编写评标报告</w:t>
      </w:r>
      <w:bookmarkEnd w:id="968"/>
    </w:p>
    <w:p w14:paraId="10F0CD70">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3AEEC20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7E01BC1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BF28F5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52B7C8E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2226225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5A545F23">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485EA8F4">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3F937E2C">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969" w:name="_Toc23773_WPSOffice_Level1"/>
      <w:r>
        <w:rPr>
          <w:rFonts w:hint="eastAsia" w:ascii="宋体" w:hAnsi="宋体" w:eastAsia="宋体" w:cs="宋体"/>
          <w:b/>
          <w:bCs/>
          <w:color w:val="auto"/>
          <w:sz w:val="28"/>
          <w:szCs w:val="28"/>
          <w:highlight w:val="none"/>
          <w:lang w:val="zh-CN"/>
        </w:rPr>
        <w:t>七、注意事项</w:t>
      </w:r>
      <w:bookmarkEnd w:id="969"/>
    </w:p>
    <w:p w14:paraId="2016EB25">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56131AC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EE8424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774AA25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517A993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D3121A7">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935"/>
      <w:bookmarkEnd w:id="947"/>
      <w:bookmarkEnd w:id="948"/>
      <w:bookmarkEnd w:id="949"/>
    </w:p>
    <w:p w14:paraId="4B992649">
      <w:pPr>
        <w:rPr>
          <w:rFonts w:hint="default"/>
          <w:color w:val="auto"/>
          <w:highlight w:val="none"/>
          <w:lang w:val="en-US" w:eastAsia="zh-CN"/>
        </w:rPr>
      </w:pPr>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853BA">
    <w:pPr>
      <w:widowControl w:val="0"/>
      <w:autoSpaceDE w:val="0"/>
      <w:autoSpaceDN w:val="0"/>
      <w:adjustRightInd w:val="0"/>
      <w:snapToGrid w:val="0"/>
      <w:jc w:val="left"/>
      <w:rPr>
        <w:rFonts w:ascii="宋体" w:hAnsi="等线" w:eastAsia="宋体" w:cs="Times New Roman"/>
        <w:kern w:val="2"/>
        <w:sz w:val="18"/>
        <w:szCs w:val="18"/>
        <w:lang w:val="en-US" w:eastAsia="zh-CN" w:bidi="ar-SA"/>
      </w:rPr>
    </w:pPr>
    <w:r>
      <w:rPr>
        <w:rFonts w:ascii="宋体" w:hAnsi="等线" w:eastAsia="宋体" w:cs="Times New Roman"/>
        <w:kern w:val="2"/>
        <w:sz w:val="1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2CD32E">
                          <w:pPr>
                            <w:widowControl w:val="0"/>
                            <w:autoSpaceDE w:val="0"/>
                            <w:autoSpaceDN w:val="0"/>
                            <w:adjustRightInd w:val="0"/>
                            <w:snapToGrid w:val="0"/>
                            <w:jc w:val="left"/>
                            <w:rPr>
                              <w:rFonts w:ascii="宋体" w:hAnsi="等线" w:eastAsia="宋体" w:cs="Times New Roman"/>
                              <w:kern w:val="2"/>
                              <w:sz w:val="18"/>
                              <w:szCs w:val="18"/>
                              <w:lang w:val="en-US" w:eastAsia="zh-CN" w:bidi="ar-SA"/>
                            </w:rPr>
                          </w:pPr>
                          <w:r>
                            <w:rPr>
                              <w:rFonts w:ascii="宋体" w:hAnsi="等线" w:eastAsia="宋体" w:cs="Times New Roman"/>
                              <w:kern w:val="2"/>
                              <w:sz w:val="18"/>
                              <w:szCs w:val="18"/>
                              <w:lang w:val="en-US" w:eastAsia="zh-CN" w:bidi="ar-SA"/>
                            </w:rPr>
                            <w:t xml:space="preserve">第 </w:t>
                          </w:r>
                          <w:r>
                            <w:rPr>
                              <w:rFonts w:ascii="宋体" w:hAnsi="等线" w:eastAsia="宋体" w:cs="Times New Roman"/>
                              <w:kern w:val="2"/>
                              <w:sz w:val="18"/>
                              <w:szCs w:val="18"/>
                              <w:lang w:val="en-US" w:eastAsia="zh-CN" w:bidi="ar-SA"/>
                            </w:rPr>
                            <w:fldChar w:fldCharType="begin"/>
                          </w:r>
                          <w:r>
                            <w:rPr>
                              <w:rFonts w:ascii="宋体" w:hAnsi="等线" w:eastAsia="宋体" w:cs="Times New Roman"/>
                              <w:kern w:val="2"/>
                              <w:sz w:val="18"/>
                              <w:szCs w:val="18"/>
                              <w:lang w:val="en-US" w:eastAsia="zh-CN" w:bidi="ar-SA"/>
                            </w:rPr>
                            <w:instrText xml:space="preserve"> PAGE  \* MERGEFORMAT </w:instrText>
                          </w:r>
                          <w:r>
                            <w:rPr>
                              <w:rFonts w:ascii="宋体" w:hAnsi="等线" w:eastAsia="宋体" w:cs="Times New Roman"/>
                              <w:kern w:val="2"/>
                              <w:sz w:val="18"/>
                              <w:szCs w:val="18"/>
                              <w:lang w:val="en-US" w:eastAsia="zh-CN" w:bidi="ar-SA"/>
                            </w:rPr>
                            <w:fldChar w:fldCharType="separate"/>
                          </w:r>
                          <w:r>
                            <w:rPr>
                              <w:rFonts w:ascii="宋体" w:hAnsi="等线" w:eastAsia="宋体" w:cs="Times New Roman"/>
                              <w:kern w:val="2"/>
                              <w:sz w:val="18"/>
                              <w:szCs w:val="18"/>
                              <w:lang w:val="en-US" w:eastAsia="zh-CN" w:bidi="ar-SA"/>
                            </w:rPr>
                            <w:t>2</w:t>
                          </w:r>
                          <w:r>
                            <w:rPr>
                              <w:rFonts w:ascii="宋体" w:hAnsi="等线" w:eastAsia="宋体" w:cs="Times New Roman"/>
                              <w:kern w:val="2"/>
                              <w:sz w:val="18"/>
                              <w:szCs w:val="18"/>
                              <w:lang w:val="en-US" w:eastAsia="zh-CN" w:bidi="ar-SA"/>
                            </w:rPr>
                            <w:fldChar w:fldCharType="end"/>
                          </w:r>
                          <w:r>
                            <w:rPr>
                              <w:rFonts w:ascii="宋体" w:hAnsi="等线" w:eastAsia="宋体" w:cs="Times New Roman"/>
                              <w:kern w:val="2"/>
                              <w:sz w:val="18"/>
                              <w:szCs w:val="18"/>
                              <w:lang w:val="en-US" w:eastAsia="zh-CN" w:bidi="ar-SA"/>
                            </w:rPr>
                            <w:t xml:space="preserve"> 页 共 </w:t>
                          </w:r>
                          <w:r>
                            <w:rPr>
                              <w:rFonts w:ascii="宋体" w:hAnsi="等线" w:eastAsia="宋体" w:cs="Times New Roman"/>
                              <w:kern w:val="2"/>
                              <w:sz w:val="18"/>
                              <w:szCs w:val="18"/>
                              <w:lang w:val="en-US" w:eastAsia="zh-CN" w:bidi="ar-SA"/>
                            </w:rPr>
                            <w:fldChar w:fldCharType="begin"/>
                          </w:r>
                          <w:r>
                            <w:rPr>
                              <w:rFonts w:ascii="宋体" w:hAnsi="等线" w:eastAsia="宋体" w:cs="Times New Roman"/>
                              <w:kern w:val="2"/>
                              <w:sz w:val="18"/>
                              <w:szCs w:val="18"/>
                              <w:lang w:val="en-US" w:eastAsia="zh-CN" w:bidi="ar-SA"/>
                            </w:rPr>
                            <w:instrText xml:space="preserve"> NUMPAGES  \* MERGEFORMAT </w:instrText>
                          </w:r>
                          <w:r>
                            <w:rPr>
                              <w:rFonts w:ascii="宋体" w:hAnsi="等线" w:eastAsia="宋体" w:cs="Times New Roman"/>
                              <w:kern w:val="2"/>
                              <w:sz w:val="18"/>
                              <w:szCs w:val="18"/>
                              <w:lang w:val="en-US" w:eastAsia="zh-CN" w:bidi="ar-SA"/>
                            </w:rPr>
                            <w:fldChar w:fldCharType="separate"/>
                          </w:r>
                          <w:r>
                            <w:rPr>
                              <w:rFonts w:ascii="宋体" w:hAnsi="等线" w:eastAsia="宋体" w:cs="Times New Roman"/>
                              <w:kern w:val="2"/>
                              <w:sz w:val="18"/>
                              <w:szCs w:val="18"/>
                              <w:lang w:val="en-US" w:eastAsia="zh-CN" w:bidi="ar-SA"/>
                            </w:rPr>
                            <w:t>146</w:t>
                          </w:r>
                          <w:r>
                            <w:rPr>
                              <w:rFonts w:ascii="宋体" w:hAnsi="等线" w:eastAsia="宋体" w:cs="Times New Roman"/>
                              <w:kern w:val="2"/>
                              <w:sz w:val="18"/>
                              <w:szCs w:val="18"/>
                              <w:lang w:val="en-US" w:eastAsia="zh-CN" w:bidi="ar-SA"/>
                            </w:rPr>
                            <w:fldChar w:fldCharType="end"/>
                          </w:r>
                          <w:r>
                            <w:rPr>
                              <w:rFonts w:ascii="宋体" w:hAnsi="等线" w:eastAsia="宋体" w:cs="Times New Roman"/>
                              <w:kern w:val="2"/>
                              <w:sz w:val="18"/>
                              <w:szCs w:val="18"/>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62CD32E">
                    <w:pPr>
                      <w:widowControl w:val="0"/>
                      <w:autoSpaceDE w:val="0"/>
                      <w:autoSpaceDN w:val="0"/>
                      <w:adjustRightInd w:val="0"/>
                      <w:snapToGrid w:val="0"/>
                      <w:jc w:val="left"/>
                      <w:rPr>
                        <w:rFonts w:ascii="宋体" w:hAnsi="等线" w:eastAsia="宋体" w:cs="Times New Roman"/>
                        <w:kern w:val="2"/>
                        <w:sz w:val="18"/>
                        <w:szCs w:val="18"/>
                        <w:lang w:val="en-US" w:eastAsia="zh-CN" w:bidi="ar-SA"/>
                      </w:rPr>
                    </w:pPr>
                    <w:r>
                      <w:rPr>
                        <w:rFonts w:ascii="宋体" w:hAnsi="等线" w:eastAsia="宋体" w:cs="Times New Roman"/>
                        <w:kern w:val="2"/>
                        <w:sz w:val="18"/>
                        <w:szCs w:val="18"/>
                        <w:lang w:val="en-US" w:eastAsia="zh-CN" w:bidi="ar-SA"/>
                      </w:rPr>
                      <w:t xml:space="preserve">第 </w:t>
                    </w:r>
                    <w:r>
                      <w:rPr>
                        <w:rFonts w:ascii="宋体" w:hAnsi="等线" w:eastAsia="宋体" w:cs="Times New Roman"/>
                        <w:kern w:val="2"/>
                        <w:sz w:val="18"/>
                        <w:szCs w:val="18"/>
                        <w:lang w:val="en-US" w:eastAsia="zh-CN" w:bidi="ar-SA"/>
                      </w:rPr>
                      <w:fldChar w:fldCharType="begin"/>
                    </w:r>
                    <w:r>
                      <w:rPr>
                        <w:rFonts w:ascii="宋体" w:hAnsi="等线" w:eastAsia="宋体" w:cs="Times New Roman"/>
                        <w:kern w:val="2"/>
                        <w:sz w:val="18"/>
                        <w:szCs w:val="18"/>
                        <w:lang w:val="en-US" w:eastAsia="zh-CN" w:bidi="ar-SA"/>
                      </w:rPr>
                      <w:instrText xml:space="preserve"> PAGE  \* MERGEFORMAT </w:instrText>
                    </w:r>
                    <w:r>
                      <w:rPr>
                        <w:rFonts w:ascii="宋体" w:hAnsi="等线" w:eastAsia="宋体" w:cs="Times New Roman"/>
                        <w:kern w:val="2"/>
                        <w:sz w:val="18"/>
                        <w:szCs w:val="18"/>
                        <w:lang w:val="en-US" w:eastAsia="zh-CN" w:bidi="ar-SA"/>
                      </w:rPr>
                      <w:fldChar w:fldCharType="separate"/>
                    </w:r>
                    <w:r>
                      <w:rPr>
                        <w:rFonts w:ascii="宋体" w:hAnsi="等线" w:eastAsia="宋体" w:cs="Times New Roman"/>
                        <w:kern w:val="2"/>
                        <w:sz w:val="18"/>
                        <w:szCs w:val="18"/>
                        <w:lang w:val="en-US" w:eastAsia="zh-CN" w:bidi="ar-SA"/>
                      </w:rPr>
                      <w:t>2</w:t>
                    </w:r>
                    <w:r>
                      <w:rPr>
                        <w:rFonts w:ascii="宋体" w:hAnsi="等线" w:eastAsia="宋体" w:cs="Times New Roman"/>
                        <w:kern w:val="2"/>
                        <w:sz w:val="18"/>
                        <w:szCs w:val="18"/>
                        <w:lang w:val="en-US" w:eastAsia="zh-CN" w:bidi="ar-SA"/>
                      </w:rPr>
                      <w:fldChar w:fldCharType="end"/>
                    </w:r>
                    <w:r>
                      <w:rPr>
                        <w:rFonts w:ascii="宋体" w:hAnsi="等线" w:eastAsia="宋体" w:cs="Times New Roman"/>
                        <w:kern w:val="2"/>
                        <w:sz w:val="18"/>
                        <w:szCs w:val="18"/>
                        <w:lang w:val="en-US" w:eastAsia="zh-CN" w:bidi="ar-SA"/>
                      </w:rPr>
                      <w:t xml:space="preserve"> 页 共 </w:t>
                    </w:r>
                    <w:r>
                      <w:rPr>
                        <w:rFonts w:ascii="宋体" w:hAnsi="等线" w:eastAsia="宋体" w:cs="Times New Roman"/>
                        <w:kern w:val="2"/>
                        <w:sz w:val="18"/>
                        <w:szCs w:val="18"/>
                        <w:lang w:val="en-US" w:eastAsia="zh-CN" w:bidi="ar-SA"/>
                      </w:rPr>
                      <w:fldChar w:fldCharType="begin"/>
                    </w:r>
                    <w:r>
                      <w:rPr>
                        <w:rFonts w:ascii="宋体" w:hAnsi="等线" w:eastAsia="宋体" w:cs="Times New Roman"/>
                        <w:kern w:val="2"/>
                        <w:sz w:val="18"/>
                        <w:szCs w:val="18"/>
                        <w:lang w:val="en-US" w:eastAsia="zh-CN" w:bidi="ar-SA"/>
                      </w:rPr>
                      <w:instrText xml:space="preserve"> NUMPAGES  \* MERGEFORMAT </w:instrText>
                    </w:r>
                    <w:r>
                      <w:rPr>
                        <w:rFonts w:ascii="宋体" w:hAnsi="等线" w:eastAsia="宋体" w:cs="Times New Roman"/>
                        <w:kern w:val="2"/>
                        <w:sz w:val="18"/>
                        <w:szCs w:val="18"/>
                        <w:lang w:val="en-US" w:eastAsia="zh-CN" w:bidi="ar-SA"/>
                      </w:rPr>
                      <w:fldChar w:fldCharType="separate"/>
                    </w:r>
                    <w:r>
                      <w:rPr>
                        <w:rFonts w:ascii="宋体" w:hAnsi="等线" w:eastAsia="宋体" w:cs="Times New Roman"/>
                        <w:kern w:val="2"/>
                        <w:sz w:val="18"/>
                        <w:szCs w:val="18"/>
                        <w:lang w:val="en-US" w:eastAsia="zh-CN" w:bidi="ar-SA"/>
                      </w:rPr>
                      <w:t>146</w:t>
                    </w:r>
                    <w:r>
                      <w:rPr>
                        <w:rFonts w:ascii="宋体" w:hAnsi="等线" w:eastAsia="宋体" w:cs="Times New Roman"/>
                        <w:kern w:val="2"/>
                        <w:sz w:val="18"/>
                        <w:szCs w:val="18"/>
                        <w:lang w:val="en-US" w:eastAsia="zh-CN" w:bidi="ar-SA"/>
                      </w:rPr>
                      <w:fldChar w:fldCharType="end"/>
                    </w:r>
                    <w:r>
                      <w:rPr>
                        <w:rFonts w:ascii="宋体" w:hAnsi="等线" w:eastAsia="宋体" w:cs="Times New Roman"/>
                        <w:kern w:val="2"/>
                        <w:sz w:val="18"/>
                        <w:szCs w:val="18"/>
                        <w:lang w:val="en-US" w:eastAsia="zh-CN" w:bidi="ar-S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91925">
    <w:pPr>
      <w:pStyle w:val="2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264FC">
                          <w:pPr>
                            <w:pStyle w:val="29"/>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94264FC">
                    <w:pPr>
                      <w:pStyle w:val="29"/>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9767F">
    <w:pPr>
      <w:pStyle w:val="2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71F09">
                          <w:pPr>
                            <w:pStyle w:val="29"/>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3971F09">
                    <w:pPr>
                      <w:pStyle w:val="29"/>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C2FB1">
    <w:pPr>
      <w:pStyle w:val="2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AB559">
                          <w:pPr>
                            <w:pStyle w:val="29"/>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19AB559">
                    <w:pPr>
                      <w:pStyle w:val="29"/>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F0B0C">
    <w:pPr>
      <w:pStyle w:val="2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B6EC3">
                          <w:pPr>
                            <w:pStyle w:val="29"/>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DFB6EC3">
                    <w:pPr>
                      <w:pStyle w:val="29"/>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6163">
    <w:pPr>
      <w:pStyle w:val="2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74C27">
                          <w:pPr>
                            <w:pStyle w:val="29"/>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DC74C27">
                    <w:pPr>
                      <w:pStyle w:val="29"/>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p w14:paraId="167B0F53">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99B71">
    <w:pPr>
      <w:pStyle w:val="29"/>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DC5EB">
                          <w:pPr>
                            <w:pStyle w:val="29"/>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F0DC5EB">
                    <w:pPr>
                      <w:pStyle w:val="29"/>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0ED85"/>
    <w:multiLevelType w:val="singleLevel"/>
    <w:tmpl w:val="CF60ED85"/>
    <w:lvl w:ilvl="0" w:tentative="0">
      <w:start w:val="3"/>
      <w:numFmt w:val="chineseCounting"/>
      <w:suff w:val="nothing"/>
      <w:lvlText w:val="%1、"/>
      <w:lvlJc w:val="left"/>
      <w:rPr>
        <w:rFonts w:hint="eastAsia"/>
      </w:rPr>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1F7F887"/>
    <w:multiLevelType w:val="singleLevel"/>
    <w:tmpl w:val="41F7F887"/>
    <w:lvl w:ilvl="0" w:tentative="0">
      <w:start w:val="1"/>
      <w:numFmt w:val="decimal"/>
      <w:suff w:val="nothing"/>
      <w:lvlText w:val="（%1）"/>
      <w:lvlJc w:val="left"/>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CED06A2"/>
    <w:multiLevelType w:val="singleLevel"/>
    <w:tmpl w:val="4CED06A2"/>
    <w:lvl w:ilvl="0" w:tentative="0">
      <w:start w:val="7"/>
      <w:numFmt w:val="chineseCounting"/>
      <w:suff w:val="nothing"/>
      <w:lvlText w:val="%1、"/>
      <w:lvlJc w:val="left"/>
      <w:rPr>
        <w:rFonts w:hint="eastAsia"/>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Y2M4ZmY4ZWVhMGQ1NGE2ZDFlYmVmN2YxOGYyMzI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E661C"/>
    <w:rsid w:val="000F0A84"/>
    <w:rsid w:val="000F3174"/>
    <w:rsid w:val="001059DC"/>
    <w:rsid w:val="0010738F"/>
    <w:rsid w:val="0011440A"/>
    <w:rsid w:val="00114519"/>
    <w:rsid w:val="001233ED"/>
    <w:rsid w:val="00127946"/>
    <w:rsid w:val="00131E91"/>
    <w:rsid w:val="00133A48"/>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3F39"/>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45773"/>
    <w:rsid w:val="004551D1"/>
    <w:rsid w:val="0045753C"/>
    <w:rsid w:val="004577C3"/>
    <w:rsid w:val="0046038A"/>
    <w:rsid w:val="00460F3E"/>
    <w:rsid w:val="00464570"/>
    <w:rsid w:val="004761B2"/>
    <w:rsid w:val="00481AFA"/>
    <w:rsid w:val="0049337D"/>
    <w:rsid w:val="004B093D"/>
    <w:rsid w:val="004B14B8"/>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948CE"/>
    <w:rsid w:val="00695AA7"/>
    <w:rsid w:val="006A29A5"/>
    <w:rsid w:val="006A2BD9"/>
    <w:rsid w:val="006A3C57"/>
    <w:rsid w:val="006A4F83"/>
    <w:rsid w:val="006A5072"/>
    <w:rsid w:val="006B5151"/>
    <w:rsid w:val="006C2D84"/>
    <w:rsid w:val="006C2F7D"/>
    <w:rsid w:val="006C3580"/>
    <w:rsid w:val="006C3F4D"/>
    <w:rsid w:val="006C6349"/>
    <w:rsid w:val="006D479F"/>
    <w:rsid w:val="006E2E51"/>
    <w:rsid w:val="006F4BBB"/>
    <w:rsid w:val="006F6DB2"/>
    <w:rsid w:val="00704B3A"/>
    <w:rsid w:val="00710CF8"/>
    <w:rsid w:val="00711E08"/>
    <w:rsid w:val="007138FD"/>
    <w:rsid w:val="00716BB1"/>
    <w:rsid w:val="007172FD"/>
    <w:rsid w:val="007200C8"/>
    <w:rsid w:val="007215F6"/>
    <w:rsid w:val="00721BAA"/>
    <w:rsid w:val="00737401"/>
    <w:rsid w:val="00745968"/>
    <w:rsid w:val="00747A3E"/>
    <w:rsid w:val="007730C9"/>
    <w:rsid w:val="00775150"/>
    <w:rsid w:val="00776B48"/>
    <w:rsid w:val="0078099D"/>
    <w:rsid w:val="00787DE8"/>
    <w:rsid w:val="007942D8"/>
    <w:rsid w:val="00794983"/>
    <w:rsid w:val="00796ED7"/>
    <w:rsid w:val="007A7740"/>
    <w:rsid w:val="007B00BF"/>
    <w:rsid w:val="007B4F1D"/>
    <w:rsid w:val="007C002A"/>
    <w:rsid w:val="007C024B"/>
    <w:rsid w:val="007C4664"/>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1DAB"/>
    <w:rsid w:val="008659E9"/>
    <w:rsid w:val="00867FFD"/>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0F88"/>
    <w:rsid w:val="009077A0"/>
    <w:rsid w:val="009113DE"/>
    <w:rsid w:val="00913121"/>
    <w:rsid w:val="009171D5"/>
    <w:rsid w:val="00917709"/>
    <w:rsid w:val="00917C84"/>
    <w:rsid w:val="009220F2"/>
    <w:rsid w:val="009227C1"/>
    <w:rsid w:val="00923EDB"/>
    <w:rsid w:val="00925D9A"/>
    <w:rsid w:val="00926978"/>
    <w:rsid w:val="00932BD9"/>
    <w:rsid w:val="00943742"/>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2C49"/>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4332"/>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1991"/>
    <w:rsid w:val="00C22FAE"/>
    <w:rsid w:val="00C24C44"/>
    <w:rsid w:val="00C26B0C"/>
    <w:rsid w:val="00C30F18"/>
    <w:rsid w:val="00C331D1"/>
    <w:rsid w:val="00C35958"/>
    <w:rsid w:val="00C372A8"/>
    <w:rsid w:val="00C375FF"/>
    <w:rsid w:val="00C40848"/>
    <w:rsid w:val="00C50E47"/>
    <w:rsid w:val="00C562AA"/>
    <w:rsid w:val="00C574F4"/>
    <w:rsid w:val="00C60F6C"/>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5838"/>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B7E60"/>
    <w:rsid w:val="00EC134E"/>
    <w:rsid w:val="00ED0445"/>
    <w:rsid w:val="00ED3BD8"/>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31B9"/>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4D28C9"/>
    <w:rsid w:val="015059EE"/>
    <w:rsid w:val="01655E65"/>
    <w:rsid w:val="01710365"/>
    <w:rsid w:val="01970CE9"/>
    <w:rsid w:val="01BB3CD7"/>
    <w:rsid w:val="01BD616A"/>
    <w:rsid w:val="01CF4C80"/>
    <w:rsid w:val="01D63A04"/>
    <w:rsid w:val="02157D9A"/>
    <w:rsid w:val="023C5A89"/>
    <w:rsid w:val="02511F45"/>
    <w:rsid w:val="025A34EF"/>
    <w:rsid w:val="02D20623"/>
    <w:rsid w:val="02D34569"/>
    <w:rsid w:val="02D432A2"/>
    <w:rsid w:val="02F079B0"/>
    <w:rsid w:val="02F343D6"/>
    <w:rsid w:val="03211F11"/>
    <w:rsid w:val="0334789D"/>
    <w:rsid w:val="03525F75"/>
    <w:rsid w:val="035622D5"/>
    <w:rsid w:val="0383270D"/>
    <w:rsid w:val="03AF22EC"/>
    <w:rsid w:val="03B50F2A"/>
    <w:rsid w:val="03E0798B"/>
    <w:rsid w:val="03EA2651"/>
    <w:rsid w:val="03EC461B"/>
    <w:rsid w:val="03F82FC0"/>
    <w:rsid w:val="040354C1"/>
    <w:rsid w:val="04274CAC"/>
    <w:rsid w:val="04364BB6"/>
    <w:rsid w:val="0442248D"/>
    <w:rsid w:val="04554F55"/>
    <w:rsid w:val="0455554A"/>
    <w:rsid w:val="047F0912"/>
    <w:rsid w:val="04D055E9"/>
    <w:rsid w:val="050D762A"/>
    <w:rsid w:val="05282AA4"/>
    <w:rsid w:val="0553097A"/>
    <w:rsid w:val="056079B5"/>
    <w:rsid w:val="058F7720"/>
    <w:rsid w:val="0592587A"/>
    <w:rsid w:val="06314567"/>
    <w:rsid w:val="065055F6"/>
    <w:rsid w:val="065344DE"/>
    <w:rsid w:val="06A75D00"/>
    <w:rsid w:val="06AE2959"/>
    <w:rsid w:val="06B94F59"/>
    <w:rsid w:val="06C84BF1"/>
    <w:rsid w:val="06D05CDA"/>
    <w:rsid w:val="06E710CA"/>
    <w:rsid w:val="06F72D7A"/>
    <w:rsid w:val="070D455F"/>
    <w:rsid w:val="071426B7"/>
    <w:rsid w:val="071C5217"/>
    <w:rsid w:val="071D4ED9"/>
    <w:rsid w:val="072A0DCF"/>
    <w:rsid w:val="07462FD2"/>
    <w:rsid w:val="076B6E92"/>
    <w:rsid w:val="07902E43"/>
    <w:rsid w:val="07921036"/>
    <w:rsid w:val="07E37E3E"/>
    <w:rsid w:val="07F92E63"/>
    <w:rsid w:val="0835533D"/>
    <w:rsid w:val="08607386"/>
    <w:rsid w:val="08797942"/>
    <w:rsid w:val="087D1CE6"/>
    <w:rsid w:val="08915791"/>
    <w:rsid w:val="08AB7738"/>
    <w:rsid w:val="08AF05F8"/>
    <w:rsid w:val="08CE2541"/>
    <w:rsid w:val="08D5070E"/>
    <w:rsid w:val="08ED6E6B"/>
    <w:rsid w:val="08F33D56"/>
    <w:rsid w:val="09403496"/>
    <w:rsid w:val="0946657C"/>
    <w:rsid w:val="09664528"/>
    <w:rsid w:val="0A097F22"/>
    <w:rsid w:val="0A0D0E47"/>
    <w:rsid w:val="0A0D22B5"/>
    <w:rsid w:val="0A171A87"/>
    <w:rsid w:val="0A171CC6"/>
    <w:rsid w:val="0A1D552E"/>
    <w:rsid w:val="0A442EC0"/>
    <w:rsid w:val="0A51342A"/>
    <w:rsid w:val="0A8B68D1"/>
    <w:rsid w:val="0A9652E1"/>
    <w:rsid w:val="0AB21F41"/>
    <w:rsid w:val="0AB37C41"/>
    <w:rsid w:val="0ABA0FCF"/>
    <w:rsid w:val="0AE51E53"/>
    <w:rsid w:val="0AF049F1"/>
    <w:rsid w:val="0AF54A38"/>
    <w:rsid w:val="0B2E08F8"/>
    <w:rsid w:val="0B3C2236"/>
    <w:rsid w:val="0B6E3B68"/>
    <w:rsid w:val="0BD54A82"/>
    <w:rsid w:val="0BD93E0F"/>
    <w:rsid w:val="0BD95485"/>
    <w:rsid w:val="0BF978D5"/>
    <w:rsid w:val="0C3952B8"/>
    <w:rsid w:val="0C3F46FB"/>
    <w:rsid w:val="0C7B29E0"/>
    <w:rsid w:val="0CCC4FEA"/>
    <w:rsid w:val="0CEA0AED"/>
    <w:rsid w:val="0D3606B5"/>
    <w:rsid w:val="0DAF0B93"/>
    <w:rsid w:val="0DB4420C"/>
    <w:rsid w:val="0DCB6F7B"/>
    <w:rsid w:val="0DE60C74"/>
    <w:rsid w:val="0DF748F5"/>
    <w:rsid w:val="0E0173C4"/>
    <w:rsid w:val="0E19425F"/>
    <w:rsid w:val="0E370447"/>
    <w:rsid w:val="0E3C7F4D"/>
    <w:rsid w:val="0E6408AC"/>
    <w:rsid w:val="0E774FF5"/>
    <w:rsid w:val="0EF645A0"/>
    <w:rsid w:val="0F037F40"/>
    <w:rsid w:val="0F241091"/>
    <w:rsid w:val="0F2561EC"/>
    <w:rsid w:val="0F256C33"/>
    <w:rsid w:val="0F370844"/>
    <w:rsid w:val="0F482829"/>
    <w:rsid w:val="0F697A75"/>
    <w:rsid w:val="0F9230D3"/>
    <w:rsid w:val="0FE06513"/>
    <w:rsid w:val="0FE102BB"/>
    <w:rsid w:val="0FF4166E"/>
    <w:rsid w:val="100F50BE"/>
    <w:rsid w:val="10230FB4"/>
    <w:rsid w:val="1038336E"/>
    <w:rsid w:val="104F3F68"/>
    <w:rsid w:val="108C58F8"/>
    <w:rsid w:val="10B72B6A"/>
    <w:rsid w:val="10BC03C7"/>
    <w:rsid w:val="11094EF4"/>
    <w:rsid w:val="1115531E"/>
    <w:rsid w:val="112C42A9"/>
    <w:rsid w:val="11366ED6"/>
    <w:rsid w:val="11764E4D"/>
    <w:rsid w:val="11851182"/>
    <w:rsid w:val="1192379E"/>
    <w:rsid w:val="11CF7AC1"/>
    <w:rsid w:val="11F81CDD"/>
    <w:rsid w:val="1208099D"/>
    <w:rsid w:val="123B0020"/>
    <w:rsid w:val="12B46E52"/>
    <w:rsid w:val="12C22B33"/>
    <w:rsid w:val="12DD1CFF"/>
    <w:rsid w:val="12E32EDE"/>
    <w:rsid w:val="130F4A87"/>
    <w:rsid w:val="13223BB5"/>
    <w:rsid w:val="13F85AEA"/>
    <w:rsid w:val="141259D8"/>
    <w:rsid w:val="141C0B09"/>
    <w:rsid w:val="14237C67"/>
    <w:rsid w:val="142C6000"/>
    <w:rsid w:val="14361A0C"/>
    <w:rsid w:val="143C0BC9"/>
    <w:rsid w:val="14526852"/>
    <w:rsid w:val="14583A0A"/>
    <w:rsid w:val="147C72F5"/>
    <w:rsid w:val="14CA7FFF"/>
    <w:rsid w:val="14E10CD3"/>
    <w:rsid w:val="150F3DBE"/>
    <w:rsid w:val="153732D2"/>
    <w:rsid w:val="154107F7"/>
    <w:rsid w:val="155142DE"/>
    <w:rsid w:val="156B79B3"/>
    <w:rsid w:val="15747FCD"/>
    <w:rsid w:val="15820CF9"/>
    <w:rsid w:val="158A77F0"/>
    <w:rsid w:val="15A13C38"/>
    <w:rsid w:val="15E12BB1"/>
    <w:rsid w:val="16047038"/>
    <w:rsid w:val="161E3E86"/>
    <w:rsid w:val="16225C7A"/>
    <w:rsid w:val="162E65C0"/>
    <w:rsid w:val="163D1C9C"/>
    <w:rsid w:val="16527416"/>
    <w:rsid w:val="167B58B2"/>
    <w:rsid w:val="168A3C51"/>
    <w:rsid w:val="16A9787F"/>
    <w:rsid w:val="16B60189"/>
    <w:rsid w:val="16BF171B"/>
    <w:rsid w:val="16C115CB"/>
    <w:rsid w:val="16CF5E02"/>
    <w:rsid w:val="16DC622B"/>
    <w:rsid w:val="16E6367E"/>
    <w:rsid w:val="16F92E7F"/>
    <w:rsid w:val="1706559C"/>
    <w:rsid w:val="170B2BB3"/>
    <w:rsid w:val="171A2056"/>
    <w:rsid w:val="174D4F79"/>
    <w:rsid w:val="174E374F"/>
    <w:rsid w:val="175956CC"/>
    <w:rsid w:val="176C0D57"/>
    <w:rsid w:val="177E4989"/>
    <w:rsid w:val="17887D5F"/>
    <w:rsid w:val="17A54DB5"/>
    <w:rsid w:val="17A60180"/>
    <w:rsid w:val="17A821AF"/>
    <w:rsid w:val="17E01765"/>
    <w:rsid w:val="182745FA"/>
    <w:rsid w:val="182E4DAB"/>
    <w:rsid w:val="18376899"/>
    <w:rsid w:val="18450EF1"/>
    <w:rsid w:val="18606EA6"/>
    <w:rsid w:val="18A474FD"/>
    <w:rsid w:val="18AA7CC9"/>
    <w:rsid w:val="19FD04BD"/>
    <w:rsid w:val="1A010EDF"/>
    <w:rsid w:val="1A6913D5"/>
    <w:rsid w:val="1A6920CA"/>
    <w:rsid w:val="1A7D4EFE"/>
    <w:rsid w:val="1A8E1B30"/>
    <w:rsid w:val="1AB07CF9"/>
    <w:rsid w:val="1AD559B1"/>
    <w:rsid w:val="1ADD7A62"/>
    <w:rsid w:val="1AE34571"/>
    <w:rsid w:val="1B0940FF"/>
    <w:rsid w:val="1B667448"/>
    <w:rsid w:val="1B6805D3"/>
    <w:rsid w:val="1BB84D32"/>
    <w:rsid w:val="1BEE10DD"/>
    <w:rsid w:val="1BF105C9"/>
    <w:rsid w:val="1C2756DA"/>
    <w:rsid w:val="1C3B7A96"/>
    <w:rsid w:val="1C7A0F4E"/>
    <w:rsid w:val="1C7C1ACE"/>
    <w:rsid w:val="1CA05B4B"/>
    <w:rsid w:val="1CBA2D9A"/>
    <w:rsid w:val="1CE011DA"/>
    <w:rsid w:val="1CED5B5F"/>
    <w:rsid w:val="1CF814E3"/>
    <w:rsid w:val="1D16347D"/>
    <w:rsid w:val="1D4A4B12"/>
    <w:rsid w:val="1D594678"/>
    <w:rsid w:val="1D735846"/>
    <w:rsid w:val="1D990F18"/>
    <w:rsid w:val="1DB62E2E"/>
    <w:rsid w:val="1DBA2C3C"/>
    <w:rsid w:val="1E3B4C5D"/>
    <w:rsid w:val="1E753AFD"/>
    <w:rsid w:val="1E892D3B"/>
    <w:rsid w:val="1E967206"/>
    <w:rsid w:val="1EAA4A5F"/>
    <w:rsid w:val="1EBD1595"/>
    <w:rsid w:val="1F282554"/>
    <w:rsid w:val="1F5A46D7"/>
    <w:rsid w:val="1F5C3FAB"/>
    <w:rsid w:val="1F6F0182"/>
    <w:rsid w:val="1F6F787D"/>
    <w:rsid w:val="1FA30D6D"/>
    <w:rsid w:val="1FEA5A5B"/>
    <w:rsid w:val="20141E2D"/>
    <w:rsid w:val="2035390D"/>
    <w:rsid w:val="20574252"/>
    <w:rsid w:val="207A1985"/>
    <w:rsid w:val="20880DD0"/>
    <w:rsid w:val="20B75F78"/>
    <w:rsid w:val="20D64231"/>
    <w:rsid w:val="2125070E"/>
    <w:rsid w:val="2164183D"/>
    <w:rsid w:val="21771C10"/>
    <w:rsid w:val="21810AF0"/>
    <w:rsid w:val="21FA7AAB"/>
    <w:rsid w:val="22055633"/>
    <w:rsid w:val="22252D7A"/>
    <w:rsid w:val="222907BE"/>
    <w:rsid w:val="223E0DB0"/>
    <w:rsid w:val="22602008"/>
    <w:rsid w:val="227036B8"/>
    <w:rsid w:val="229B303C"/>
    <w:rsid w:val="22A85012"/>
    <w:rsid w:val="22AD273C"/>
    <w:rsid w:val="22C62CF4"/>
    <w:rsid w:val="22EF315D"/>
    <w:rsid w:val="22FA4207"/>
    <w:rsid w:val="23A06120"/>
    <w:rsid w:val="23AC3ABD"/>
    <w:rsid w:val="23D1648D"/>
    <w:rsid w:val="242B2EF0"/>
    <w:rsid w:val="24575689"/>
    <w:rsid w:val="246B437F"/>
    <w:rsid w:val="24A379D0"/>
    <w:rsid w:val="25070D37"/>
    <w:rsid w:val="250A3135"/>
    <w:rsid w:val="250A44A9"/>
    <w:rsid w:val="25127EC9"/>
    <w:rsid w:val="2513196D"/>
    <w:rsid w:val="2580651A"/>
    <w:rsid w:val="25873916"/>
    <w:rsid w:val="25941224"/>
    <w:rsid w:val="259F24AF"/>
    <w:rsid w:val="25AC7E93"/>
    <w:rsid w:val="25BF34E6"/>
    <w:rsid w:val="25C43228"/>
    <w:rsid w:val="25CC50FC"/>
    <w:rsid w:val="25E13C00"/>
    <w:rsid w:val="25FA2770"/>
    <w:rsid w:val="265577FD"/>
    <w:rsid w:val="2668592C"/>
    <w:rsid w:val="268564DD"/>
    <w:rsid w:val="27271343"/>
    <w:rsid w:val="278034D5"/>
    <w:rsid w:val="27916659"/>
    <w:rsid w:val="279B6B49"/>
    <w:rsid w:val="27B02F57"/>
    <w:rsid w:val="27D5603A"/>
    <w:rsid w:val="27DF5779"/>
    <w:rsid w:val="27E1545A"/>
    <w:rsid w:val="28093668"/>
    <w:rsid w:val="28273C9B"/>
    <w:rsid w:val="283A7CD8"/>
    <w:rsid w:val="284A2EB1"/>
    <w:rsid w:val="284B0D66"/>
    <w:rsid w:val="28616AD6"/>
    <w:rsid w:val="286D408E"/>
    <w:rsid w:val="286E02B3"/>
    <w:rsid w:val="28700291"/>
    <w:rsid w:val="28814A83"/>
    <w:rsid w:val="288F719F"/>
    <w:rsid w:val="289018A6"/>
    <w:rsid w:val="28944201"/>
    <w:rsid w:val="28AC24C6"/>
    <w:rsid w:val="28C11323"/>
    <w:rsid w:val="28CD7B64"/>
    <w:rsid w:val="28DA73F5"/>
    <w:rsid w:val="28DE0127"/>
    <w:rsid w:val="2940493E"/>
    <w:rsid w:val="295B5F6E"/>
    <w:rsid w:val="297B3849"/>
    <w:rsid w:val="298001BF"/>
    <w:rsid w:val="29AE6B2F"/>
    <w:rsid w:val="29E92677"/>
    <w:rsid w:val="29FF65A7"/>
    <w:rsid w:val="2A35784B"/>
    <w:rsid w:val="2A4276AF"/>
    <w:rsid w:val="2A570191"/>
    <w:rsid w:val="2A947DE8"/>
    <w:rsid w:val="2A9E4307"/>
    <w:rsid w:val="2ACF41CB"/>
    <w:rsid w:val="2AD359D3"/>
    <w:rsid w:val="2AEA2DB3"/>
    <w:rsid w:val="2B163BA8"/>
    <w:rsid w:val="2B1A574F"/>
    <w:rsid w:val="2B4F0E68"/>
    <w:rsid w:val="2B5E4C51"/>
    <w:rsid w:val="2BBD2276"/>
    <w:rsid w:val="2BC90C1A"/>
    <w:rsid w:val="2BD155F1"/>
    <w:rsid w:val="2BFE33E2"/>
    <w:rsid w:val="2BFF6902"/>
    <w:rsid w:val="2C4955AF"/>
    <w:rsid w:val="2C892158"/>
    <w:rsid w:val="2C8E3C12"/>
    <w:rsid w:val="2CB35427"/>
    <w:rsid w:val="2CB73169"/>
    <w:rsid w:val="2CFC2BFE"/>
    <w:rsid w:val="2D4F50B7"/>
    <w:rsid w:val="2D89631C"/>
    <w:rsid w:val="2DDB1DA3"/>
    <w:rsid w:val="2DF46565"/>
    <w:rsid w:val="2E2F6C9B"/>
    <w:rsid w:val="2E3F0B10"/>
    <w:rsid w:val="2E497DF1"/>
    <w:rsid w:val="2E601118"/>
    <w:rsid w:val="2E6A4501"/>
    <w:rsid w:val="2E6E5AA9"/>
    <w:rsid w:val="2EBD59CF"/>
    <w:rsid w:val="2ED7364E"/>
    <w:rsid w:val="2EDA3B8E"/>
    <w:rsid w:val="2EDD445A"/>
    <w:rsid w:val="2F071B18"/>
    <w:rsid w:val="2F253528"/>
    <w:rsid w:val="2F5A49A3"/>
    <w:rsid w:val="2F646705"/>
    <w:rsid w:val="2FBB4D1E"/>
    <w:rsid w:val="2FF41FDE"/>
    <w:rsid w:val="30006BD5"/>
    <w:rsid w:val="301164E2"/>
    <w:rsid w:val="30300457"/>
    <w:rsid w:val="304578D5"/>
    <w:rsid w:val="305807BF"/>
    <w:rsid w:val="307F7AFA"/>
    <w:rsid w:val="308C66BA"/>
    <w:rsid w:val="309415AE"/>
    <w:rsid w:val="30AB47A7"/>
    <w:rsid w:val="30DB5272"/>
    <w:rsid w:val="30DC319E"/>
    <w:rsid w:val="30ED4FC8"/>
    <w:rsid w:val="30F009F7"/>
    <w:rsid w:val="30FB5744"/>
    <w:rsid w:val="30FD40AA"/>
    <w:rsid w:val="31267AAE"/>
    <w:rsid w:val="31444881"/>
    <w:rsid w:val="314D028A"/>
    <w:rsid w:val="31E676C8"/>
    <w:rsid w:val="3202189B"/>
    <w:rsid w:val="320329AC"/>
    <w:rsid w:val="320A66A5"/>
    <w:rsid w:val="320F4EAD"/>
    <w:rsid w:val="322F554F"/>
    <w:rsid w:val="327F07E8"/>
    <w:rsid w:val="32935ADE"/>
    <w:rsid w:val="32A93BC9"/>
    <w:rsid w:val="32CE2FBA"/>
    <w:rsid w:val="334C1F0A"/>
    <w:rsid w:val="33B915C6"/>
    <w:rsid w:val="34086433"/>
    <w:rsid w:val="34237336"/>
    <w:rsid w:val="34266DEB"/>
    <w:rsid w:val="343A2AB0"/>
    <w:rsid w:val="344B7676"/>
    <w:rsid w:val="3457463D"/>
    <w:rsid w:val="34A46A8E"/>
    <w:rsid w:val="34AC627E"/>
    <w:rsid w:val="34DE113B"/>
    <w:rsid w:val="34E95E89"/>
    <w:rsid w:val="34F12F90"/>
    <w:rsid w:val="351E001C"/>
    <w:rsid w:val="352805DA"/>
    <w:rsid w:val="353158A8"/>
    <w:rsid w:val="35492F45"/>
    <w:rsid w:val="355530AA"/>
    <w:rsid w:val="355D42FC"/>
    <w:rsid w:val="355E7835"/>
    <w:rsid w:val="3566572C"/>
    <w:rsid w:val="35E87898"/>
    <w:rsid w:val="360016DD"/>
    <w:rsid w:val="361000EE"/>
    <w:rsid w:val="3623361D"/>
    <w:rsid w:val="364631D7"/>
    <w:rsid w:val="36517105"/>
    <w:rsid w:val="365B1601"/>
    <w:rsid w:val="36890EF7"/>
    <w:rsid w:val="368928C2"/>
    <w:rsid w:val="36C86BF9"/>
    <w:rsid w:val="36DB257F"/>
    <w:rsid w:val="36E0506A"/>
    <w:rsid w:val="36FA3F13"/>
    <w:rsid w:val="36FB1EA4"/>
    <w:rsid w:val="37032422"/>
    <w:rsid w:val="37272C99"/>
    <w:rsid w:val="373D070E"/>
    <w:rsid w:val="374D1701"/>
    <w:rsid w:val="37850378"/>
    <w:rsid w:val="37BC2112"/>
    <w:rsid w:val="37D51F88"/>
    <w:rsid w:val="38065969"/>
    <w:rsid w:val="380E11B5"/>
    <w:rsid w:val="38155678"/>
    <w:rsid w:val="38224438"/>
    <w:rsid w:val="385578DD"/>
    <w:rsid w:val="389E4A58"/>
    <w:rsid w:val="38BD5663"/>
    <w:rsid w:val="38CA6DC7"/>
    <w:rsid w:val="38E76B84"/>
    <w:rsid w:val="38F00B77"/>
    <w:rsid w:val="38FA3918"/>
    <w:rsid w:val="3914549F"/>
    <w:rsid w:val="39A34800"/>
    <w:rsid w:val="39B57C6A"/>
    <w:rsid w:val="39D013C6"/>
    <w:rsid w:val="39DF350D"/>
    <w:rsid w:val="3A00614F"/>
    <w:rsid w:val="3A025137"/>
    <w:rsid w:val="3A0D3672"/>
    <w:rsid w:val="3A1B46F9"/>
    <w:rsid w:val="3A304DCE"/>
    <w:rsid w:val="3A3C6A5B"/>
    <w:rsid w:val="3A726921"/>
    <w:rsid w:val="3A940645"/>
    <w:rsid w:val="3AA34D2C"/>
    <w:rsid w:val="3AA77E3B"/>
    <w:rsid w:val="3AC86541"/>
    <w:rsid w:val="3AD153B9"/>
    <w:rsid w:val="3AD969A0"/>
    <w:rsid w:val="3AF92B9E"/>
    <w:rsid w:val="3B0C28D2"/>
    <w:rsid w:val="3B1B48C3"/>
    <w:rsid w:val="3B1F29B6"/>
    <w:rsid w:val="3B443718"/>
    <w:rsid w:val="3B516536"/>
    <w:rsid w:val="3BA71F2B"/>
    <w:rsid w:val="3BD258C9"/>
    <w:rsid w:val="3BF839C6"/>
    <w:rsid w:val="3C633344"/>
    <w:rsid w:val="3C8A7F52"/>
    <w:rsid w:val="3C950D47"/>
    <w:rsid w:val="3C9F7047"/>
    <w:rsid w:val="3D060D95"/>
    <w:rsid w:val="3D246484"/>
    <w:rsid w:val="3D604F23"/>
    <w:rsid w:val="3D7B3D3F"/>
    <w:rsid w:val="3D7D3613"/>
    <w:rsid w:val="3D803103"/>
    <w:rsid w:val="3DBA6D6D"/>
    <w:rsid w:val="3E232FC0"/>
    <w:rsid w:val="3E375EB7"/>
    <w:rsid w:val="3E8A3B75"/>
    <w:rsid w:val="3E93424A"/>
    <w:rsid w:val="3E9B4320"/>
    <w:rsid w:val="3EBA2645"/>
    <w:rsid w:val="3EBC016B"/>
    <w:rsid w:val="3EC6723B"/>
    <w:rsid w:val="3EF83BC6"/>
    <w:rsid w:val="3F33629E"/>
    <w:rsid w:val="3F5262EB"/>
    <w:rsid w:val="3F5B255F"/>
    <w:rsid w:val="3F6F1E30"/>
    <w:rsid w:val="3F8213B4"/>
    <w:rsid w:val="3FB72902"/>
    <w:rsid w:val="3FCB1F18"/>
    <w:rsid w:val="408822B5"/>
    <w:rsid w:val="40DC5A18"/>
    <w:rsid w:val="40FB54EF"/>
    <w:rsid w:val="41410D52"/>
    <w:rsid w:val="41502960"/>
    <w:rsid w:val="415305A0"/>
    <w:rsid w:val="4183060E"/>
    <w:rsid w:val="418C573D"/>
    <w:rsid w:val="41CA0DF1"/>
    <w:rsid w:val="41D46F19"/>
    <w:rsid w:val="41F4275B"/>
    <w:rsid w:val="42083B1B"/>
    <w:rsid w:val="421F2EEA"/>
    <w:rsid w:val="424F13FD"/>
    <w:rsid w:val="425B5621"/>
    <w:rsid w:val="42BC0B52"/>
    <w:rsid w:val="42CE4911"/>
    <w:rsid w:val="42DA7F11"/>
    <w:rsid w:val="42E6560B"/>
    <w:rsid w:val="42F00D2B"/>
    <w:rsid w:val="43346353"/>
    <w:rsid w:val="43401F9C"/>
    <w:rsid w:val="439E42E3"/>
    <w:rsid w:val="43B50E83"/>
    <w:rsid w:val="43E57F01"/>
    <w:rsid w:val="4464546A"/>
    <w:rsid w:val="446472DA"/>
    <w:rsid w:val="4482063F"/>
    <w:rsid w:val="4485439F"/>
    <w:rsid w:val="44A27BED"/>
    <w:rsid w:val="44B37668"/>
    <w:rsid w:val="44C77AAC"/>
    <w:rsid w:val="456C22D6"/>
    <w:rsid w:val="45790387"/>
    <w:rsid w:val="458A0FC3"/>
    <w:rsid w:val="45943BEF"/>
    <w:rsid w:val="459D251C"/>
    <w:rsid w:val="45EC0586"/>
    <w:rsid w:val="460320FD"/>
    <w:rsid w:val="462B18D7"/>
    <w:rsid w:val="4687710A"/>
    <w:rsid w:val="468E6891"/>
    <w:rsid w:val="46E22723"/>
    <w:rsid w:val="472E597E"/>
    <w:rsid w:val="47394A4E"/>
    <w:rsid w:val="474E3196"/>
    <w:rsid w:val="475573AE"/>
    <w:rsid w:val="476F0470"/>
    <w:rsid w:val="478101A3"/>
    <w:rsid w:val="47B656EC"/>
    <w:rsid w:val="47D13163"/>
    <w:rsid w:val="47E95008"/>
    <w:rsid w:val="48BB76E5"/>
    <w:rsid w:val="48EC035B"/>
    <w:rsid w:val="490715C7"/>
    <w:rsid w:val="49172B6D"/>
    <w:rsid w:val="492E0DFE"/>
    <w:rsid w:val="4931445C"/>
    <w:rsid w:val="49514A8C"/>
    <w:rsid w:val="49900B72"/>
    <w:rsid w:val="49A11F60"/>
    <w:rsid w:val="49AF724A"/>
    <w:rsid w:val="49C82B23"/>
    <w:rsid w:val="49E92558"/>
    <w:rsid w:val="4A010F2E"/>
    <w:rsid w:val="4A1A5044"/>
    <w:rsid w:val="4A224AAB"/>
    <w:rsid w:val="4A3E05CE"/>
    <w:rsid w:val="4A5A045E"/>
    <w:rsid w:val="4A9401EE"/>
    <w:rsid w:val="4A977611"/>
    <w:rsid w:val="4AA93C99"/>
    <w:rsid w:val="4AC578F8"/>
    <w:rsid w:val="4ACF1226"/>
    <w:rsid w:val="4B574B09"/>
    <w:rsid w:val="4B5D4EE5"/>
    <w:rsid w:val="4B641F01"/>
    <w:rsid w:val="4B9304A5"/>
    <w:rsid w:val="4BB01057"/>
    <w:rsid w:val="4BBB3648"/>
    <w:rsid w:val="4BC8467F"/>
    <w:rsid w:val="4C0D2006"/>
    <w:rsid w:val="4C940979"/>
    <w:rsid w:val="4CCE2A6C"/>
    <w:rsid w:val="4CCF375F"/>
    <w:rsid w:val="4CD945DE"/>
    <w:rsid w:val="4CE52F83"/>
    <w:rsid w:val="4CFB049C"/>
    <w:rsid w:val="4CFE53E3"/>
    <w:rsid w:val="4D023BDA"/>
    <w:rsid w:val="4D06388C"/>
    <w:rsid w:val="4D267823"/>
    <w:rsid w:val="4D7B6BE9"/>
    <w:rsid w:val="4D9D6E87"/>
    <w:rsid w:val="4DB265CD"/>
    <w:rsid w:val="4DF0398D"/>
    <w:rsid w:val="4DFD4457"/>
    <w:rsid w:val="4E125654"/>
    <w:rsid w:val="4E233D62"/>
    <w:rsid w:val="4E3E0B9C"/>
    <w:rsid w:val="4E6B5986"/>
    <w:rsid w:val="4E8924B7"/>
    <w:rsid w:val="4ED82D9F"/>
    <w:rsid w:val="4ED92673"/>
    <w:rsid w:val="4F0A4599"/>
    <w:rsid w:val="4F177B13"/>
    <w:rsid w:val="4F1B4F8F"/>
    <w:rsid w:val="4F581B68"/>
    <w:rsid w:val="4F5D32A4"/>
    <w:rsid w:val="4F7B1E3E"/>
    <w:rsid w:val="4F87699C"/>
    <w:rsid w:val="4F9662AF"/>
    <w:rsid w:val="4FE17411"/>
    <w:rsid w:val="4FE63648"/>
    <w:rsid w:val="4FF954B0"/>
    <w:rsid w:val="501036E9"/>
    <w:rsid w:val="50235A38"/>
    <w:rsid w:val="503B1D58"/>
    <w:rsid w:val="506B19F1"/>
    <w:rsid w:val="50EF6964"/>
    <w:rsid w:val="5105515C"/>
    <w:rsid w:val="512A47D7"/>
    <w:rsid w:val="514C7451"/>
    <w:rsid w:val="515D7E0E"/>
    <w:rsid w:val="51850890"/>
    <w:rsid w:val="51DD7ACF"/>
    <w:rsid w:val="51FC2152"/>
    <w:rsid w:val="5213407A"/>
    <w:rsid w:val="528B5F99"/>
    <w:rsid w:val="529C0587"/>
    <w:rsid w:val="52A511EA"/>
    <w:rsid w:val="52F368EA"/>
    <w:rsid w:val="5314221C"/>
    <w:rsid w:val="532F2D81"/>
    <w:rsid w:val="53624CAE"/>
    <w:rsid w:val="53C51418"/>
    <w:rsid w:val="53CE7CE3"/>
    <w:rsid w:val="53E27730"/>
    <w:rsid w:val="54196C13"/>
    <w:rsid w:val="54615848"/>
    <w:rsid w:val="546926EB"/>
    <w:rsid w:val="548B08B3"/>
    <w:rsid w:val="54C55B73"/>
    <w:rsid w:val="54F06565"/>
    <w:rsid w:val="55461CD0"/>
    <w:rsid w:val="554C3D45"/>
    <w:rsid w:val="55562C6F"/>
    <w:rsid w:val="559A0800"/>
    <w:rsid w:val="55BD2CEE"/>
    <w:rsid w:val="55CB64E5"/>
    <w:rsid w:val="562C4293"/>
    <w:rsid w:val="56497832"/>
    <w:rsid w:val="567012E7"/>
    <w:rsid w:val="56876E58"/>
    <w:rsid w:val="568D0277"/>
    <w:rsid w:val="56B37004"/>
    <w:rsid w:val="57392849"/>
    <w:rsid w:val="57493600"/>
    <w:rsid w:val="576A47B0"/>
    <w:rsid w:val="578E3178"/>
    <w:rsid w:val="57C739B1"/>
    <w:rsid w:val="57D91936"/>
    <w:rsid w:val="57DD4F82"/>
    <w:rsid w:val="580659AE"/>
    <w:rsid w:val="589477E8"/>
    <w:rsid w:val="589C308F"/>
    <w:rsid w:val="58AA73E6"/>
    <w:rsid w:val="59367EC7"/>
    <w:rsid w:val="59590F80"/>
    <w:rsid w:val="595A2602"/>
    <w:rsid w:val="59633BAD"/>
    <w:rsid w:val="599B6EA3"/>
    <w:rsid w:val="59A3044D"/>
    <w:rsid w:val="59E96214"/>
    <w:rsid w:val="59FB128F"/>
    <w:rsid w:val="5A0B7CD0"/>
    <w:rsid w:val="5A33357F"/>
    <w:rsid w:val="5A4C2893"/>
    <w:rsid w:val="5A8E6A07"/>
    <w:rsid w:val="5A92249C"/>
    <w:rsid w:val="5AA72721"/>
    <w:rsid w:val="5AE60011"/>
    <w:rsid w:val="5B157129"/>
    <w:rsid w:val="5B1909C7"/>
    <w:rsid w:val="5B272254"/>
    <w:rsid w:val="5B37709F"/>
    <w:rsid w:val="5B861C11"/>
    <w:rsid w:val="5BB0235D"/>
    <w:rsid w:val="5BBD45C1"/>
    <w:rsid w:val="5BE12FA3"/>
    <w:rsid w:val="5BE37C7D"/>
    <w:rsid w:val="5C1D5966"/>
    <w:rsid w:val="5C4D6613"/>
    <w:rsid w:val="5C917C8F"/>
    <w:rsid w:val="5C936557"/>
    <w:rsid w:val="5CAA564F"/>
    <w:rsid w:val="5CD74A08"/>
    <w:rsid w:val="5CE90D0B"/>
    <w:rsid w:val="5CEB0141"/>
    <w:rsid w:val="5CED3EB9"/>
    <w:rsid w:val="5D255365"/>
    <w:rsid w:val="5D355860"/>
    <w:rsid w:val="5D52369F"/>
    <w:rsid w:val="5D8866EC"/>
    <w:rsid w:val="5D967CCA"/>
    <w:rsid w:val="5D99373A"/>
    <w:rsid w:val="5D9B2DBB"/>
    <w:rsid w:val="5DAA13C6"/>
    <w:rsid w:val="5DAB37DD"/>
    <w:rsid w:val="5DAE1741"/>
    <w:rsid w:val="5DC32E6C"/>
    <w:rsid w:val="5E245C0B"/>
    <w:rsid w:val="5E3E0B9A"/>
    <w:rsid w:val="5E6A3568"/>
    <w:rsid w:val="5EBF421E"/>
    <w:rsid w:val="5F1F40D2"/>
    <w:rsid w:val="5F555D46"/>
    <w:rsid w:val="5F9745B0"/>
    <w:rsid w:val="5FBD4249"/>
    <w:rsid w:val="5FE73417"/>
    <w:rsid w:val="60011A2A"/>
    <w:rsid w:val="600E5712"/>
    <w:rsid w:val="6053375C"/>
    <w:rsid w:val="605B6755"/>
    <w:rsid w:val="607C7302"/>
    <w:rsid w:val="608F64D8"/>
    <w:rsid w:val="60974DF7"/>
    <w:rsid w:val="60F8107F"/>
    <w:rsid w:val="61377DF9"/>
    <w:rsid w:val="61436338"/>
    <w:rsid w:val="61D47238"/>
    <w:rsid w:val="62152CE1"/>
    <w:rsid w:val="62297FF7"/>
    <w:rsid w:val="62575399"/>
    <w:rsid w:val="62606EDB"/>
    <w:rsid w:val="62716746"/>
    <w:rsid w:val="62911344"/>
    <w:rsid w:val="62B13874"/>
    <w:rsid w:val="62C57A58"/>
    <w:rsid w:val="62D00E29"/>
    <w:rsid w:val="62E01E19"/>
    <w:rsid w:val="62E418BB"/>
    <w:rsid w:val="62F647CF"/>
    <w:rsid w:val="633A196A"/>
    <w:rsid w:val="635A1B7D"/>
    <w:rsid w:val="63672753"/>
    <w:rsid w:val="6372336A"/>
    <w:rsid w:val="638E0D2F"/>
    <w:rsid w:val="63984453"/>
    <w:rsid w:val="63A578CC"/>
    <w:rsid w:val="63A664C8"/>
    <w:rsid w:val="63AD0583"/>
    <w:rsid w:val="64041AE8"/>
    <w:rsid w:val="64632CB3"/>
    <w:rsid w:val="64786EB7"/>
    <w:rsid w:val="64975011"/>
    <w:rsid w:val="64A010A4"/>
    <w:rsid w:val="64D651F4"/>
    <w:rsid w:val="64E25599"/>
    <w:rsid w:val="64E71F99"/>
    <w:rsid w:val="651313E3"/>
    <w:rsid w:val="6531690D"/>
    <w:rsid w:val="653B5B23"/>
    <w:rsid w:val="657607C4"/>
    <w:rsid w:val="65876E75"/>
    <w:rsid w:val="65C5353E"/>
    <w:rsid w:val="65E62E7A"/>
    <w:rsid w:val="6651045E"/>
    <w:rsid w:val="66E71979"/>
    <w:rsid w:val="66EC7F6C"/>
    <w:rsid w:val="66F2338B"/>
    <w:rsid w:val="670F11C9"/>
    <w:rsid w:val="67402739"/>
    <w:rsid w:val="67BB5990"/>
    <w:rsid w:val="67C63C85"/>
    <w:rsid w:val="681A3036"/>
    <w:rsid w:val="68DB72BC"/>
    <w:rsid w:val="68DD3D60"/>
    <w:rsid w:val="68F13272"/>
    <w:rsid w:val="690A5DF3"/>
    <w:rsid w:val="691E27F7"/>
    <w:rsid w:val="69270753"/>
    <w:rsid w:val="693D3743"/>
    <w:rsid w:val="69586B5E"/>
    <w:rsid w:val="69683870"/>
    <w:rsid w:val="69910C09"/>
    <w:rsid w:val="699110D7"/>
    <w:rsid w:val="69D361E5"/>
    <w:rsid w:val="69E00902"/>
    <w:rsid w:val="69EC5DE8"/>
    <w:rsid w:val="69F452BC"/>
    <w:rsid w:val="69F74334"/>
    <w:rsid w:val="69F85BB3"/>
    <w:rsid w:val="6A0960AB"/>
    <w:rsid w:val="6A210462"/>
    <w:rsid w:val="6A241D9D"/>
    <w:rsid w:val="6A386990"/>
    <w:rsid w:val="6AAD178D"/>
    <w:rsid w:val="6AB46016"/>
    <w:rsid w:val="6AB73874"/>
    <w:rsid w:val="6B234F4A"/>
    <w:rsid w:val="6B6047D5"/>
    <w:rsid w:val="6B863082"/>
    <w:rsid w:val="6BA14108"/>
    <w:rsid w:val="6BEC0D1C"/>
    <w:rsid w:val="6BF40694"/>
    <w:rsid w:val="6C12075B"/>
    <w:rsid w:val="6C1C650A"/>
    <w:rsid w:val="6C33653A"/>
    <w:rsid w:val="6C567ACE"/>
    <w:rsid w:val="6C5D1BA3"/>
    <w:rsid w:val="6C695339"/>
    <w:rsid w:val="6C762F3B"/>
    <w:rsid w:val="6CAD0F6F"/>
    <w:rsid w:val="6CC649E7"/>
    <w:rsid w:val="6CD7423E"/>
    <w:rsid w:val="6CEB7CE9"/>
    <w:rsid w:val="6D27431E"/>
    <w:rsid w:val="6D4A2C62"/>
    <w:rsid w:val="6D593B65"/>
    <w:rsid w:val="6DBF518B"/>
    <w:rsid w:val="6DC2298A"/>
    <w:rsid w:val="6DDA5CDD"/>
    <w:rsid w:val="6E1B2220"/>
    <w:rsid w:val="6E296D1B"/>
    <w:rsid w:val="6E4E6203"/>
    <w:rsid w:val="6E4E6782"/>
    <w:rsid w:val="6E661C4B"/>
    <w:rsid w:val="6E737F96"/>
    <w:rsid w:val="6EB570F1"/>
    <w:rsid w:val="6EEF2659"/>
    <w:rsid w:val="6F174DC6"/>
    <w:rsid w:val="6F4B2CC1"/>
    <w:rsid w:val="6F5F71DE"/>
    <w:rsid w:val="6F77163A"/>
    <w:rsid w:val="6FC4095F"/>
    <w:rsid w:val="6FE03C04"/>
    <w:rsid w:val="6FFD4727"/>
    <w:rsid w:val="70025A76"/>
    <w:rsid w:val="70441BEA"/>
    <w:rsid w:val="70553DF8"/>
    <w:rsid w:val="70773BBF"/>
    <w:rsid w:val="70C943AC"/>
    <w:rsid w:val="70D70CB1"/>
    <w:rsid w:val="70F45895"/>
    <w:rsid w:val="711D41EA"/>
    <w:rsid w:val="712B2DAA"/>
    <w:rsid w:val="713741DD"/>
    <w:rsid w:val="713B2DF3"/>
    <w:rsid w:val="717958C4"/>
    <w:rsid w:val="71A8531C"/>
    <w:rsid w:val="71EF23D9"/>
    <w:rsid w:val="721C0983"/>
    <w:rsid w:val="72481096"/>
    <w:rsid w:val="724A45D8"/>
    <w:rsid w:val="72603664"/>
    <w:rsid w:val="728313C6"/>
    <w:rsid w:val="728F7281"/>
    <w:rsid w:val="72E840DB"/>
    <w:rsid w:val="73597B32"/>
    <w:rsid w:val="7362231C"/>
    <w:rsid w:val="7390793D"/>
    <w:rsid w:val="73A409FB"/>
    <w:rsid w:val="73A66718"/>
    <w:rsid w:val="73B60478"/>
    <w:rsid w:val="74177616"/>
    <w:rsid w:val="74222384"/>
    <w:rsid w:val="742F670E"/>
    <w:rsid w:val="74424693"/>
    <w:rsid w:val="745028BB"/>
    <w:rsid w:val="746334D8"/>
    <w:rsid w:val="74825555"/>
    <w:rsid w:val="74BB41D3"/>
    <w:rsid w:val="750648B2"/>
    <w:rsid w:val="751D3132"/>
    <w:rsid w:val="754E376C"/>
    <w:rsid w:val="75693463"/>
    <w:rsid w:val="75695C4F"/>
    <w:rsid w:val="75A629FF"/>
    <w:rsid w:val="75A90742"/>
    <w:rsid w:val="75B01AD0"/>
    <w:rsid w:val="75C8506C"/>
    <w:rsid w:val="75CB51FE"/>
    <w:rsid w:val="75CF1E94"/>
    <w:rsid w:val="764C5C54"/>
    <w:rsid w:val="764E578E"/>
    <w:rsid w:val="76B146A9"/>
    <w:rsid w:val="76B37127"/>
    <w:rsid w:val="76B949B4"/>
    <w:rsid w:val="76BE02EA"/>
    <w:rsid w:val="76D14890"/>
    <w:rsid w:val="76D50D6E"/>
    <w:rsid w:val="771F0CBB"/>
    <w:rsid w:val="77281627"/>
    <w:rsid w:val="776C645E"/>
    <w:rsid w:val="777C610E"/>
    <w:rsid w:val="77A2369A"/>
    <w:rsid w:val="77A318EC"/>
    <w:rsid w:val="77E617D9"/>
    <w:rsid w:val="77E90D1D"/>
    <w:rsid w:val="78106856"/>
    <w:rsid w:val="781446B6"/>
    <w:rsid w:val="782D565A"/>
    <w:rsid w:val="783B7DD5"/>
    <w:rsid w:val="788B412F"/>
    <w:rsid w:val="78930E2C"/>
    <w:rsid w:val="78A60180"/>
    <w:rsid w:val="78B94D42"/>
    <w:rsid w:val="78C22246"/>
    <w:rsid w:val="78E53565"/>
    <w:rsid w:val="78E902A2"/>
    <w:rsid w:val="78FD1E3E"/>
    <w:rsid w:val="79007D17"/>
    <w:rsid w:val="79060E41"/>
    <w:rsid w:val="790D22C6"/>
    <w:rsid w:val="796C6890"/>
    <w:rsid w:val="797D43BF"/>
    <w:rsid w:val="797E3990"/>
    <w:rsid w:val="798E2128"/>
    <w:rsid w:val="79BA3154"/>
    <w:rsid w:val="79C478F8"/>
    <w:rsid w:val="79F44E2E"/>
    <w:rsid w:val="79FE1940"/>
    <w:rsid w:val="7A087E4F"/>
    <w:rsid w:val="7A0B19CB"/>
    <w:rsid w:val="7A287E87"/>
    <w:rsid w:val="7A2F68BA"/>
    <w:rsid w:val="7A4831E2"/>
    <w:rsid w:val="7A583B2A"/>
    <w:rsid w:val="7A5E1AFB"/>
    <w:rsid w:val="7A6D4434"/>
    <w:rsid w:val="7A6D7F90"/>
    <w:rsid w:val="7A9E1A5F"/>
    <w:rsid w:val="7AC1208A"/>
    <w:rsid w:val="7AD41DBD"/>
    <w:rsid w:val="7ADD216B"/>
    <w:rsid w:val="7AE40AEA"/>
    <w:rsid w:val="7AEC35AA"/>
    <w:rsid w:val="7B705F89"/>
    <w:rsid w:val="7B8F3F36"/>
    <w:rsid w:val="7BD008BB"/>
    <w:rsid w:val="7BD06A28"/>
    <w:rsid w:val="7BD83B2F"/>
    <w:rsid w:val="7C093CE8"/>
    <w:rsid w:val="7C2E19A1"/>
    <w:rsid w:val="7C5807CC"/>
    <w:rsid w:val="7C6668FD"/>
    <w:rsid w:val="7C69271F"/>
    <w:rsid w:val="7C765821"/>
    <w:rsid w:val="7C7F6AF7"/>
    <w:rsid w:val="7C9931A2"/>
    <w:rsid w:val="7C9932BE"/>
    <w:rsid w:val="7CA825BD"/>
    <w:rsid w:val="7CB231C4"/>
    <w:rsid w:val="7CC04CEF"/>
    <w:rsid w:val="7CE35C60"/>
    <w:rsid w:val="7CE7709B"/>
    <w:rsid w:val="7D052D9F"/>
    <w:rsid w:val="7D630A43"/>
    <w:rsid w:val="7D6457E7"/>
    <w:rsid w:val="7D6733BC"/>
    <w:rsid w:val="7D990506"/>
    <w:rsid w:val="7DDF73F6"/>
    <w:rsid w:val="7E3736CB"/>
    <w:rsid w:val="7E5E5106"/>
    <w:rsid w:val="7EB75C7D"/>
    <w:rsid w:val="7EDA019C"/>
    <w:rsid w:val="7EF36664"/>
    <w:rsid w:val="7EFB200E"/>
    <w:rsid w:val="7F8861CA"/>
    <w:rsid w:val="7F985AAF"/>
    <w:rsid w:val="7FBC1037"/>
    <w:rsid w:val="7FC23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6"/>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4"/>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50"/>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6"/>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8"/>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8"/>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9"/>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60"/>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1"/>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模板正文"/>
    <w:basedOn w:val="1"/>
    <w:link w:val="100"/>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unhideWhenUsed/>
    <w:qFormat/>
    <w:uiPriority w:val="39"/>
    <w:pPr>
      <w:ind w:left="2520" w:leftChars="1200"/>
    </w:p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9"/>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22"/>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9"/>
    <w:unhideWhenUsed/>
    <w:qFormat/>
    <w:uiPriority w:val="99"/>
    <w:pPr>
      <w:jc w:val="left"/>
    </w:pPr>
    <w:rPr>
      <w:rFonts w:hint="eastAsia" w:ascii="等线" w:hAnsi="等线" w:eastAsia="等线" w:cs="Times New Roman"/>
    </w:rPr>
  </w:style>
  <w:style w:type="paragraph" w:styleId="18">
    <w:name w:val="Body Text 3"/>
    <w:basedOn w:val="1"/>
    <w:link w:val="162"/>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20"/>
    <w:link w:val="124"/>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2"/>
    <w:basedOn w:val="1"/>
    <w:link w:val="149"/>
    <w:qFormat/>
    <w:uiPriority w:val="0"/>
    <w:pPr>
      <w:tabs>
        <w:tab w:val="left" w:pos="0"/>
      </w:tabs>
      <w:spacing w:line="400" w:lineRule="atLeast"/>
    </w:pPr>
    <w:rPr>
      <w:rFonts w:ascii="Arial" w:hAnsi="Arial" w:eastAsia="宋体" w:cs="Times New Roman"/>
      <w:color w:val="000000"/>
      <w:szCs w:val="24"/>
    </w:rPr>
  </w:style>
  <w:style w:type="paragraph" w:styleId="21">
    <w:name w:val="Body Text Indent"/>
    <w:basedOn w:val="1"/>
    <w:link w:val="98"/>
    <w:qFormat/>
    <w:uiPriority w:val="0"/>
    <w:pPr>
      <w:ind w:left="567" w:leftChars="270"/>
    </w:pPr>
    <w:rPr>
      <w:rFonts w:ascii="Times New Roman" w:hAnsi="Times New Roman" w:eastAsia="宋体" w:cs="Times New Roman"/>
      <w:szCs w:val="20"/>
    </w:rPr>
  </w:style>
  <w:style w:type="paragraph" w:styleId="22">
    <w:name w:val="toc 5"/>
    <w:basedOn w:val="1"/>
    <w:next w:val="1"/>
    <w:unhideWhenUsed/>
    <w:qFormat/>
    <w:uiPriority w:val="39"/>
    <w:pPr>
      <w:ind w:left="1680" w:leftChars="800"/>
    </w:pPr>
  </w:style>
  <w:style w:type="paragraph" w:styleId="23">
    <w:name w:val="toc 3"/>
    <w:basedOn w:val="1"/>
    <w:next w:val="1"/>
    <w:unhideWhenUsed/>
    <w:qFormat/>
    <w:uiPriority w:val="39"/>
    <w:pPr>
      <w:tabs>
        <w:tab w:val="right" w:leader="dot" w:pos="10144"/>
      </w:tabs>
      <w:ind w:left="840" w:leftChars="400"/>
    </w:pPr>
  </w:style>
  <w:style w:type="paragraph" w:styleId="24">
    <w:name w:val="Plain Text"/>
    <w:basedOn w:val="1"/>
    <w:link w:val="106"/>
    <w:qFormat/>
    <w:uiPriority w:val="0"/>
    <w:rPr>
      <w:rFonts w:ascii="宋体" w:hAnsi="Courier New" w:eastAsia="宋体"/>
    </w:rPr>
  </w:style>
  <w:style w:type="paragraph" w:styleId="25">
    <w:name w:val="toc 8"/>
    <w:basedOn w:val="1"/>
    <w:next w:val="1"/>
    <w:unhideWhenUsed/>
    <w:qFormat/>
    <w:uiPriority w:val="39"/>
    <w:pPr>
      <w:ind w:left="2940" w:leftChars="1400"/>
    </w:pPr>
  </w:style>
  <w:style w:type="paragraph" w:styleId="26">
    <w:name w:val="Date"/>
    <w:basedOn w:val="1"/>
    <w:next w:val="1"/>
    <w:link w:val="114"/>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7">
    <w:name w:val="Body Text Indent 2"/>
    <w:basedOn w:val="1"/>
    <w:link w:val="107"/>
    <w:qFormat/>
    <w:uiPriority w:val="0"/>
    <w:pPr>
      <w:tabs>
        <w:tab w:val="left" w:pos="8640"/>
      </w:tabs>
      <w:ind w:left="1260"/>
    </w:pPr>
    <w:rPr>
      <w:rFonts w:ascii="宋体" w:hAnsi="Times New Roman" w:eastAsia="宋体" w:cs="Times New Roman"/>
      <w:szCs w:val="20"/>
    </w:rPr>
  </w:style>
  <w:style w:type="paragraph" w:styleId="28">
    <w:name w:val="Balloon Text"/>
    <w:basedOn w:val="1"/>
    <w:link w:val="80"/>
    <w:qFormat/>
    <w:uiPriority w:val="0"/>
    <w:rPr>
      <w:rFonts w:ascii="Times New Roman" w:hAnsi="Times New Roman" w:eastAsia="宋体" w:cs="Times New Roman"/>
      <w:sz w:val="18"/>
      <w:szCs w:val="18"/>
    </w:rPr>
  </w:style>
  <w:style w:type="paragraph" w:styleId="29">
    <w:name w:val="footer"/>
    <w:basedOn w:val="1"/>
    <w:link w:val="20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0">
    <w:name w:val="header"/>
    <w:basedOn w:val="1"/>
    <w:link w:val="126"/>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style>
  <w:style w:type="paragraph" w:styleId="33">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4">
    <w:name w:val="toc 6"/>
    <w:basedOn w:val="1"/>
    <w:next w:val="1"/>
    <w:unhideWhenUsed/>
    <w:qFormat/>
    <w:uiPriority w:val="39"/>
    <w:pPr>
      <w:ind w:left="2100" w:leftChars="1000"/>
    </w:pPr>
  </w:style>
  <w:style w:type="paragraph" w:styleId="35">
    <w:name w:val="Body Text Indent 3"/>
    <w:basedOn w:val="1"/>
    <w:link w:val="160"/>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6">
    <w:name w:val="toc 2"/>
    <w:basedOn w:val="1"/>
    <w:next w:val="1"/>
    <w:unhideWhenUsed/>
    <w:qFormat/>
    <w:uiPriority w:val="39"/>
    <w:pPr>
      <w:ind w:left="420" w:leftChars="200"/>
    </w:pPr>
  </w:style>
  <w:style w:type="paragraph" w:styleId="37">
    <w:name w:val="toc 9"/>
    <w:basedOn w:val="1"/>
    <w:next w:val="1"/>
    <w:unhideWhenUsed/>
    <w:qFormat/>
    <w:uiPriority w:val="39"/>
    <w:pPr>
      <w:ind w:left="3360" w:leftChars="1600"/>
    </w:pPr>
  </w:style>
  <w:style w:type="paragraph" w:styleId="38">
    <w:name w:val="HTML Preformatted"/>
    <w:basedOn w:val="1"/>
    <w:link w:val="9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9">
    <w:name w:val="Normal (Web)"/>
    <w:basedOn w:val="1"/>
    <w:link w:val="99"/>
    <w:qFormat/>
    <w:uiPriority w:val="0"/>
    <w:pPr>
      <w:widowControl/>
      <w:spacing w:before="100" w:beforeAutospacing="1" w:after="100" w:afterAutospacing="1"/>
      <w:jc w:val="left"/>
    </w:pPr>
    <w:rPr>
      <w:rFonts w:ascii="宋体" w:hAnsi="宋体"/>
      <w:sz w:val="15"/>
      <w:szCs w:val="15"/>
    </w:rPr>
  </w:style>
  <w:style w:type="paragraph" w:styleId="40">
    <w:name w:val="Title"/>
    <w:basedOn w:val="1"/>
    <w:next w:val="1"/>
    <w:link w:val="64"/>
    <w:qFormat/>
    <w:uiPriority w:val="10"/>
    <w:pPr>
      <w:spacing w:before="120" w:after="60" w:line="300" w:lineRule="auto"/>
      <w:jc w:val="left"/>
      <w:outlineLvl w:val="0"/>
    </w:pPr>
    <w:rPr>
      <w:rFonts w:ascii="等线 Light" w:hAnsi="等线 Light" w:eastAsia="仿宋"/>
      <w:b/>
      <w:bCs/>
      <w:sz w:val="28"/>
      <w:szCs w:val="32"/>
    </w:rPr>
  </w:style>
  <w:style w:type="paragraph" w:styleId="41">
    <w:name w:val="annotation subject"/>
    <w:basedOn w:val="17"/>
    <w:next w:val="17"/>
    <w:link w:val="116"/>
    <w:qFormat/>
    <w:uiPriority w:val="99"/>
    <w:pPr>
      <w:autoSpaceDE w:val="0"/>
      <w:autoSpaceDN w:val="0"/>
      <w:adjustRightInd w:val="0"/>
    </w:pPr>
    <w:rPr>
      <w:rFonts w:ascii="宋体" w:hAnsi="Times New Roman" w:eastAsia="宋体"/>
      <w:b/>
      <w:bCs/>
      <w:kern w:val="0"/>
      <w:sz w:val="24"/>
      <w:szCs w:val="24"/>
    </w:rPr>
  </w:style>
  <w:style w:type="paragraph" w:styleId="42">
    <w:name w:val="Body Text First Indent"/>
    <w:basedOn w:val="19"/>
    <w:link w:val="207"/>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43">
    <w:name w:val="Body Text First Indent 2"/>
    <w:basedOn w:val="21"/>
    <w:qFormat/>
    <w:uiPriority w:val="0"/>
    <w:pPr>
      <w:widowControl w:val="0"/>
      <w:tabs>
        <w:tab w:val="left" w:pos="1218"/>
        <w:tab w:val="left" w:pos="3544"/>
      </w:tabs>
      <w:adjustRightInd w:val="0"/>
      <w:snapToGrid w:val="0"/>
      <w:spacing w:line="300" w:lineRule="auto"/>
      <w:ind w:left="567" w:leftChars="270" w:firstLine="420"/>
      <w:jc w:val="both"/>
    </w:pPr>
    <w:rPr>
      <w:rFonts w:ascii="Times New Roman" w:hAnsi="Times New Roman" w:eastAsia="宋体" w:cs="Times New Roman"/>
      <w:kern w:val="2"/>
      <w:sz w:val="21"/>
      <w:szCs w:val="28"/>
      <w:lang w:val="en-US" w:eastAsia="zh-CN" w:bidi="ar-SA"/>
    </w:rPr>
  </w:style>
  <w:style w:type="table" w:styleId="45">
    <w:name w:val="Table Grid"/>
    <w:basedOn w:val="4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FollowedHyperlink"/>
    <w:unhideWhenUsed/>
    <w:qFormat/>
    <w:uiPriority w:val="99"/>
    <w:rPr>
      <w:color w:val="954F72"/>
      <w:u w:val="single"/>
    </w:rPr>
  </w:style>
  <w:style w:type="character" w:styleId="49">
    <w:name w:val="Emphasis"/>
    <w:qFormat/>
    <w:uiPriority w:val="0"/>
    <w:rPr>
      <w:i/>
      <w:iCs/>
    </w:rPr>
  </w:style>
  <w:style w:type="character" w:styleId="50">
    <w:name w:val="Hyperlink"/>
    <w:qFormat/>
    <w:uiPriority w:val="99"/>
    <w:rPr>
      <w:rFonts w:hint="default" w:ascii="Arial" w:hAnsi="Arial" w:cs="Arial"/>
      <w:color w:val="000000"/>
      <w:sz w:val="20"/>
      <w:szCs w:val="20"/>
      <w:u w:val="none"/>
    </w:rPr>
  </w:style>
  <w:style w:type="character" w:styleId="51">
    <w:name w:val="annotation reference"/>
    <w:basedOn w:val="46"/>
    <w:qFormat/>
    <w:uiPriority w:val="99"/>
    <w:rPr>
      <w:sz w:val="21"/>
      <w:szCs w:val="21"/>
    </w:rPr>
  </w:style>
  <w:style w:type="paragraph" w:customStyle="1" w:styleId="52">
    <w:name w:val="首行缩进"/>
    <w:basedOn w:val="1"/>
    <w:qFormat/>
    <w:uiPriority w:val="0"/>
    <w:pPr>
      <w:ind w:firstLine="480" w:firstLineChars="200"/>
    </w:pPr>
    <w:rPr>
      <w:lang w:val="zh-CN"/>
    </w:rPr>
  </w:style>
  <w:style w:type="character" w:customStyle="1" w:styleId="53">
    <w:name w:val="标题 1 字符"/>
    <w:basedOn w:val="46"/>
    <w:qFormat/>
    <w:uiPriority w:val="0"/>
    <w:rPr>
      <w:b/>
      <w:bCs/>
      <w:kern w:val="44"/>
      <w:sz w:val="44"/>
      <w:szCs w:val="44"/>
    </w:rPr>
  </w:style>
  <w:style w:type="character" w:customStyle="1" w:styleId="54">
    <w:name w:val="标题 2 字符"/>
    <w:basedOn w:val="46"/>
    <w:link w:val="3"/>
    <w:qFormat/>
    <w:uiPriority w:val="0"/>
    <w:rPr>
      <w:rFonts w:ascii="宋体" w:hAnsi="Calibri" w:eastAsia="宋体" w:cs="Times New Roman"/>
      <w:kern w:val="0"/>
      <w:sz w:val="24"/>
      <w:szCs w:val="24"/>
    </w:rPr>
  </w:style>
  <w:style w:type="character" w:customStyle="1" w:styleId="55">
    <w:name w:val="标题 3 字符"/>
    <w:basedOn w:val="46"/>
    <w:qFormat/>
    <w:uiPriority w:val="0"/>
    <w:rPr>
      <w:b/>
      <w:bCs/>
      <w:sz w:val="32"/>
      <w:szCs w:val="32"/>
    </w:rPr>
  </w:style>
  <w:style w:type="character" w:customStyle="1" w:styleId="56">
    <w:name w:val="标题 4 字符"/>
    <w:basedOn w:val="46"/>
    <w:link w:val="5"/>
    <w:qFormat/>
    <w:uiPriority w:val="9"/>
    <w:rPr>
      <w:rFonts w:ascii="Arial" w:hAnsi="Arial" w:eastAsia="黑体" w:cs="Times New Roman"/>
      <w:b/>
      <w:bCs/>
      <w:kern w:val="0"/>
      <w:sz w:val="28"/>
      <w:szCs w:val="28"/>
    </w:rPr>
  </w:style>
  <w:style w:type="character" w:customStyle="1" w:styleId="57">
    <w:name w:val="标题 5 字符"/>
    <w:basedOn w:val="46"/>
    <w:qFormat/>
    <w:uiPriority w:val="9"/>
    <w:rPr>
      <w:b/>
      <w:bCs/>
      <w:sz w:val="28"/>
      <w:szCs w:val="28"/>
    </w:rPr>
  </w:style>
  <w:style w:type="character" w:customStyle="1" w:styleId="58">
    <w:name w:val="标题 6 字符"/>
    <w:basedOn w:val="46"/>
    <w:qFormat/>
    <w:uiPriority w:val="0"/>
    <w:rPr>
      <w:rFonts w:asciiTheme="majorHAnsi" w:hAnsiTheme="majorHAnsi" w:eastAsiaTheme="majorEastAsia" w:cstheme="majorBidi"/>
      <w:b/>
      <w:bCs/>
      <w:sz w:val="24"/>
      <w:szCs w:val="24"/>
    </w:rPr>
  </w:style>
  <w:style w:type="character" w:customStyle="1" w:styleId="59">
    <w:name w:val="标题 7 字符"/>
    <w:basedOn w:val="46"/>
    <w:link w:val="9"/>
    <w:qFormat/>
    <w:uiPriority w:val="9"/>
    <w:rPr>
      <w:rFonts w:ascii="Times New Roman" w:hAnsi="Calibri" w:eastAsia="黑体" w:cs="Times New Roman"/>
      <w:b/>
      <w:bCs/>
      <w:kern w:val="0"/>
      <w:sz w:val="28"/>
      <w:szCs w:val="24"/>
    </w:rPr>
  </w:style>
  <w:style w:type="character" w:customStyle="1" w:styleId="60">
    <w:name w:val="标题 8 字符"/>
    <w:basedOn w:val="46"/>
    <w:link w:val="10"/>
    <w:qFormat/>
    <w:uiPriority w:val="9"/>
    <w:rPr>
      <w:rFonts w:ascii="Times New Roman" w:hAnsi="Calibri" w:eastAsia="黑体" w:cs="Times New Roman"/>
      <w:b/>
      <w:kern w:val="0"/>
      <w:sz w:val="28"/>
      <w:szCs w:val="24"/>
    </w:rPr>
  </w:style>
  <w:style w:type="character" w:customStyle="1" w:styleId="61">
    <w:name w:val="标题 9 字符"/>
    <w:basedOn w:val="46"/>
    <w:link w:val="11"/>
    <w:qFormat/>
    <w:uiPriority w:val="9"/>
    <w:rPr>
      <w:rFonts w:ascii="Times New Roman" w:hAnsi="Calibri" w:eastAsia="黑体" w:cs="Times New Roman"/>
      <w:b/>
      <w:kern w:val="0"/>
      <w:sz w:val="28"/>
      <w:szCs w:val="24"/>
    </w:rPr>
  </w:style>
  <w:style w:type="character" w:customStyle="1" w:styleId="62">
    <w:name w:val="正文文本缩进 字符"/>
    <w:qFormat/>
    <w:uiPriority w:val="0"/>
    <w:rPr>
      <w:rFonts w:ascii="Times New Roman" w:hAnsi="Times New Roman" w:eastAsia="宋体" w:cs="Times New Roman"/>
      <w:szCs w:val="20"/>
    </w:rPr>
  </w:style>
  <w:style w:type="character" w:customStyle="1" w:styleId="63">
    <w:name w:val="普通(网站) Char"/>
    <w:qFormat/>
    <w:locked/>
    <w:uiPriority w:val="0"/>
    <w:rPr>
      <w:rFonts w:ascii="宋体" w:hAnsi="宋体"/>
      <w:sz w:val="15"/>
      <w:szCs w:val="15"/>
    </w:rPr>
  </w:style>
  <w:style w:type="character" w:customStyle="1" w:styleId="64">
    <w:name w:val="标题 字符1"/>
    <w:link w:val="40"/>
    <w:qFormat/>
    <w:uiPriority w:val="10"/>
    <w:rPr>
      <w:rFonts w:ascii="等线 Light" w:hAnsi="等线 Light" w:eastAsia="仿宋"/>
      <w:b/>
      <w:bCs/>
      <w:sz w:val="28"/>
      <w:szCs w:val="32"/>
    </w:rPr>
  </w:style>
  <w:style w:type="character" w:customStyle="1" w:styleId="65">
    <w:name w:val="日期 Char"/>
    <w:semiHidden/>
    <w:qFormat/>
    <w:uiPriority w:val="99"/>
    <w:rPr>
      <w:kern w:val="2"/>
      <w:sz w:val="21"/>
    </w:rPr>
  </w:style>
  <w:style w:type="character" w:customStyle="1" w:styleId="66">
    <w:name w:val="文档结构图 字符1"/>
    <w:semiHidden/>
    <w:qFormat/>
    <w:uiPriority w:val="99"/>
    <w:rPr>
      <w:rFonts w:ascii="Microsoft YaHei UI" w:hAnsi="Calibri" w:eastAsia="Microsoft YaHei UI" w:cs="Times New Roman"/>
      <w:kern w:val="0"/>
      <w:sz w:val="18"/>
      <w:szCs w:val="18"/>
    </w:rPr>
  </w:style>
  <w:style w:type="character" w:customStyle="1" w:styleId="67">
    <w:name w:val="批注文字 Char"/>
    <w:semiHidden/>
    <w:qFormat/>
    <w:uiPriority w:val="99"/>
    <w:rPr>
      <w:kern w:val="2"/>
      <w:sz w:val="21"/>
    </w:rPr>
  </w:style>
  <w:style w:type="character" w:customStyle="1" w:styleId="68">
    <w:name w:val="正文缩进2格 Char"/>
    <w:link w:val="69"/>
    <w:qFormat/>
    <w:uiPriority w:val="0"/>
    <w:rPr>
      <w:rFonts w:ascii="仿宋_GB2312" w:hAnsi="宋体" w:eastAsia="仿宋_GB2312"/>
      <w:sz w:val="31"/>
      <w:szCs w:val="28"/>
    </w:rPr>
  </w:style>
  <w:style w:type="paragraph" w:customStyle="1" w:styleId="69">
    <w:name w:val="正文缩进2格"/>
    <w:basedOn w:val="1"/>
    <w:link w:val="68"/>
    <w:qFormat/>
    <w:uiPriority w:val="0"/>
    <w:pPr>
      <w:spacing w:line="600" w:lineRule="exact"/>
      <w:ind w:firstLine="639" w:firstLineChars="206"/>
    </w:pPr>
    <w:rPr>
      <w:rFonts w:ascii="仿宋_GB2312" w:hAnsi="宋体" w:eastAsia="仿宋_GB2312"/>
      <w:sz w:val="31"/>
      <w:szCs w:val="28"/>
    </w:rPr>
  </w:style>
  <w:style w:type="character" w:customStyle="1" w:styleId="70">
    <w:name w:val="批注文字 字符"/>
    <w:semiHidden/>
    <w:qFormat/>
    <w:uiPriority w:val="99"/>
    <w:rPr>
      <w:rFonts w:ascii="Times New Roman" w:hAnsi="Times New Roman"/>
      <w:kern w:val="2"/>
      <w:sz w:val="24"/>
      <w:szCs w:val="24"/>
    </w:rPr>
  </w:style>
  <w:style w:type="character" w:customStyle="1" w:styleId="71">
    <w:name w:val="正文文本缩进 Char"/>
    <w:qFormat/>
    <w:uiPriority w:val="0"/>
    <w:rPr>
      <w:rFonts w:ascii="Times New Roman" w:hAnsi="Times New Roman" w:eastAsia="宋体" w:cs="Times New Roman"/>
      <w:szCs w:val="20"/>
      <w:lang w:val="en-US" w:eastAsia="zh-CN"/>
    </w:rPr>
  </w:style>
  <w:style w:type="character" w:customStyle="1" w:styleId="72">
    <w:name w:val="批注框文本 字符1"/>
    <w:semiHidden/>
    <w:qFormat/>
    <w:uiPriority w:val="99"/>
    <w:rPr>
      <w:rFonts w:ascii="宋体" w:hAnsi="Calibri" w:eastAsia="宋体" w:cs="Times New Roman"/>
      <w:kern w:val="0"/>
      <w:sz w:val="18"/>
      <w:szCs w:val="18"/>
    </w:rPr>
  </w:style>
  <w:style w:type="character" w:customStyle="1" w:styleId="73">
    <w:name w:val="List Paragraph Char"/>
    <w:link w:val="74"/>
    <w:qFormat/>
    <w:uiPriority w:val="34"/>
    <w:rPr>
      <w:rFonts w:ascii="Calibri" w:hAnsi="Calibri"/>
    </w:rPr>
  </w:style>
  <w:style w:type="paragraph" w:customStyle="1" w:styleId="74">
    <w:name w:val="列出段落1"/>
    <w:basedOn w:val="1"/>
    <w:link w:val="73"/>
    <w:qFormat/>
    <w:uiPriority w:val="34"/>
    <w:pPr>
      <w:ind w:firstLine="420" w:firstLineChars="200"/>
    </w:pPr>
    <w:rPr>
      <w:rFonts w:ascii="Calibri" w:hAnsi="Calibri"/>
    </w:rPr>
  </w:style>
  <w:style w:type="character" w:customStyle="1" w:styleId="75">
    <w:name w:val="标书正文 字符"/>
    <w:link w:val="76"/>
    <w:qFormat/>
    <w:uiPriority w:val="0"/>
    <w:rPr>
      <w:rFonts w:ascii="Calibri" w:hAnsi="Calibri" w:eastAsia="仿宋"/>
      <w:sz w:val="24"/>
      <w:szCs w:val="21"/>
    </w:rPr>
  </w:style>
  <w:style w:type="paragraph" w:customStyle="1" w:styleId="76">
    <w:name w:val="标书正文"/>
    <w:basedOn w:val="1"/>
    <w:link w:val="75"/>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7">
    <w:name w:val="正文文本 字符"/>
    <w:semiHidden/>
    <w:qFormat/>
    <w:uiPriority w:val="99"/>
    <w:rPr>
      <w:rFonts w:ascii="Times New Roman" w:hAnsi="Times New Roman"/>
      <w:kern w:val="2"/>
      <w:sz w:val="24"/>
      <w:szCs w:val="24"/>
    </w:rPr>
  </w:style>
  <w:style w:type="character" w:customStyle="1" w:styleId="78">
    <w:name w:val="页脚 Char"/>
    <w:qFormat/>
    <w:uiPriority w:val="0"/>
    <w:rPr>
      <w:kern w:val="2"/>
      <w:sz w:val="18"/>
      <w:szCs w:val="18"/>
    </w:rPr>
  </w:style>
  <w:style w:type="character" w:customStyle="1" w:styleId="79">
    <w:name w:val="neir1"/>
    <w:qFormat/>
    <w:uiPriority w:val="0"/>
    <w:rPr>
      <w:rFonts w:hint="default" w:ascii="ˎ̥" w:hAnsi="ˎ̥"/>
      <w:color w:val="333333"/>
      <w:sz w:val="21"/>
      <w:szCs w:val="21"/>
      <w:u w:val="none"/>
    </w:rPr>
  </w:style>
  <w:style w:type="character" w:customStyle="1" w:styleId="80">
    <w:name w:val="批注框文本 字符"/>
    <w:link w:val="28"/>
    <w:qFormat/>
    <w:uiPriority w:val="0"/>
    <w:rPr>
      <w:rFonts w:ascii="Times New Roman" w:hAnsi="Times New Roman" w:eastAsia="宋体" w:cs="Times New Roman"/>
      <w:sz w:val="18"/>
      <w:szCs w:val="18"/>
    </w:rPr>
  </w:style>
  <w:style w:type="character" w:customStyle="1" w:styleId="81">
    <w:name w:val="正文文本 3 字符1"/>
    <w:semiHidden/>
    <w:qFormat/>
    <w:uiPriority w:val="99"/>
    <w:rPr>
      <w:rFonts w:ascii="宋体" w:hAnsi="Calibri" w:eastAsia="宋体" w:cs="Times New Roman"/>
      <w:kern w:val="0"/>
      <w:sz w:val="16"/>
      <w:szCs w:val="16"/>
    </w:rPr>
  </w:style>
  <w:style w:type="character" w:customStyle="1" w:styleId="82">
    <w:name w:val="正文文本 字符3"/>
    <w:semiHidden/>
    <w:qFormat/>
    <w:uiPriority w:val="99"/>
    <w:rPr>
      <w:rFonts w:ascii="宋体" w:hAnsi="Calibri" w:eastAsia="宋体" w:cs="Times New Roman"/>
      <w:kern w:val="0"/>
      <w:sz w:val="24"/>
      <w:szCs w:val="24"/>
    </w:rPr>
  </w:style>
  <w:style w:type="character" w:customStyle="1" w:styleId="83">
    <w:name w:val="日期 字符1"/>
    <w:semiHidden/>
    <w:qFormat/>
    <w:uiPriority w:val="99"/>
    <w:rPr>
      <w:rFonts w:ascii="宋体" w:hAnsi="Calibri" w:eastAsia="宋体" w:cs="Times New Roman"/>
      <w:kern w:val="0"/>
      <w:sz w:val="24"/>
      <w:szCs w:val="24"/>
    </w:rPr>
  </w:style>
  <w:style w:type="character" w:customStyle="1" w:styleId="84">
    <w:name w:val="页脚 Char2"/>
    <w:qFormat/>
    <w:uiPriority w:val="99"/>
    <w:rPr>
      <w:rFonts w:ascii="宋体" w:eastAsia="宋体"/>
      <w:sz w:val="18"/>
      <w:szCs w:val="18"/>
    </w:rPr>
  </w:style>
  <w:style w:type="character" w:customStyle="1" w:styleId="85">
    <w:name w:val="吉奥正文 Char"/>
    <w:link w:val="86"/>
    <w:qFormat/>
    <w:locked/>
    <w:uiPriority w:val="0"/>
    <w:rPr>
      <w:rFonts w:eastAsia="仿宋_GB2312"/>
      <w:sz w:val="28"/>
    </w:rPr>
  </w:style>
  <w:style w:type="paragraph" w:customStyle="1" w:styleId="86">
    <w:name w:val="吉奥正文"/>
    <w:basedOn w:val="1"/>
    <w:link w:val="85"/>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7">
    <w:name w:val="页脚 Char1"/>
    <w:qFormat/>
    <w:uiPriority w:val="99"/>
    <w:rPr>
      <w:rFonts w:ascii="宋体" w:hAnsi="Times New Roman" w:eastAsia="宋体" w:cs="Times New Roman"/>
      <w:kern w:val="0"/>
      <w:sz w:val="18"/>
      <w:szCs w:val="18"/>
    </w:rPr>
  </w:style>
  <w:style w:type="character" w:customStyle="1" w:styleId="88">
    <w:name w:val="标题 字符"/>
    <w:qFormat/>
    <w:uiPriority w:val="10"/>
    <w:rPr>
      <w:rFonts w:ascii="Cambria" w:hAnsi="Cambria" w:eastAsia="宋体" w:cs="Times New Roman"/>
      <w:b/>
      <w:bCs/>
      <w:kern w:val="0"/>
      <w:sz w:val="32"/>
      <w:szCs w:val="32"/>
      <w:lang w:val="en-US" w:eastAsia="zh-CN"/>
    </w:rPr>
  </w:style>
  <w:style w:type="character" w:customStyle="1" w:styleId="89">
    <w:name w:val="题注 字符1"/>
    <w:link w:val="14"/>
    <w:qFormat/>
    <w:uiPriority w:val="0"/>
    <w:rPr>
      <w:rFonts w:ascii="Arial" w:hAnsi="Arial" w:eastAsia="黑体" w:cs="Arial"/>
    </w:rPr>
  </w:style>
  <w:style w:type="character" w:customStyle="1" w:styleId="90">
    <w:name w:val="批注文字 字符2"/>
    <w:qFormat/>
    <w:uiPriority w:val="99"/>
    <w:rPr>
      <w:rFonts w:ascii="宋体" w:hAnsi="Times New Roman" w:eastAsia="宋体" w:cs="Times New Roman"/>
      <w:kern w:val="0"/>
      <w:sz w:val="24"/>
      <w:szCs w:val="24"/>
    </w:rPr>
  </w:style>
  <w:style w:type="character" w:customStyle="1" w:styleId="91">
    <w:name w:val="批注主题 字符1"/>
    <w:semiHidden/>
    <w:qFormat/>
    <w:uiPriority w:val="99"/>
    <w:rPr>
      <w:rFonts w:ascii="宋体" w:hAnsi="Calibri" w:eastAsia="宋体" w:cs="Times New Roman"/>
      <w:b/>
      <w:bCs/>
      <w:kern w:val="0"/>
      <w:sz w:val="24"/>
      <w:szCs w:val="24"/>
    </w:rPr>
  </w:style>
  <w:style w:type="character" w:customStyle="1" w:styleId="92">
    <w:name w:val="HTML 预设格式 字符"/>
    <w:link w:val="38"/>
    <w:qFormat/>
    <w:uiPriority w:val="99"/>
    <w:rPr>
      <w:rFonts w:ascii="Arial" w:hAnsi="Arial" w:eastAsia="宋体" w:cs="Arial"/>
      <w:szCs w:val="21"/>
    </w:rPr>
  </w:style>
  <w:style w:type="character" w:customStyle="1" w:styleId="93">
    <w:name w:val="标题 3.1 Char"/>
    <w:link w:val="94"/>
    <w:qFormat/>
    <w:uiPriority w:val="0"/>
    <w:rPr>
      <w:rFonts w:ascii="宋体" w:hAnsi="宋体"/>
      <w:b/>
      <w:bCs/>
      <w:sz w:val="32"/>
      <w:szCs w:val="32"/>
    </w:rPr>
  </w:style>
  <w:style w:type="paragraph" w:customStyle="1" w:styleId="94">
    <w:name w:val="标题 3.1"/>
    <w:basedOn w:val="4"/>
    <w:link w:val="93"/>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5">
    <w:name w:val="HTML 预设格式 Char1"/>
    <w:semiHidden/>
    <w:qFormat/>
    <w:uiPriority w:val="99"/>
    <w:rPr>
      <w:rFonts w:ascii="Courier New" w:hAnsi="Courier New" w:eastAsia="宋体" w:cs="Courier New"/>
      <w:kern w:val="0"/>
      <w:sz w:val="20"/>
      <w:szCs w:val="20"/>
    </w:rPr>
  </w:style>
  <w:style w:type="character" w:customStyle="1" w:styleId="96">
    <w:name w:val="批注文字 字符1"/>
    <w:qFormat/>
    <w:uiPriority w:val="0"/>
    <w:rPr>
      <w:rFonts w:eastAsia="宋体"/>
      <w:kern w:val="2"/>
      <w:sz w:val="24"/>
      <w:szCs w:val="24"/>
      <w:lang w:val="en-US" w:eastAsia="zh-CN" w:bidi="ar-SA"/>
    </w:rPr>
  </w:style>
  <w:style w:type="character" w:customStyle="1" w:styleId="97">
    <w:name w:val="正文文本缩进 字符2"/>
    <w:semiHidden/>
    <w:qFormat/>
    <w:uiPriority w:val="99"/>
    <w:rPr>
      <w:rFonts w:ascii="宋体" w:hAnsi="Calibri" w:eastAsia="宋体" w:cs="Times New Roman"/>
      <w:kern w:val="0"/>
      <w:sz w:val="24"/>
      <w:szCs w:val="24"/>
    </w:rPr>
  </w:style>
  <w:style w:type="character" w:customStyle="1" w:styleId="98">
    <w:name w:val="正文文本缩进 字符1"/>
    <w:link w:val="21"/>
    <w:qFormat/>
    <w:uiPriority w:val="0"/>
    <w:rPr>
      <w:rFonts w:ascii="Times New Roman" w:hAnsi="Times New Roman" w:eastAsia="宋体" w:cs="Times New Roman"/>
      <w:szCs w:val="20"/>
    </w:rPr>
  </w:style>
  <w:style w:type="character" w:customStyle="1" w:styleId="99">
    <w:name w:val="普通(网站) 字符2"/>
    <w:link w:val="39"/>
    <w:qFormat/>
    <w:locked/>
    <w:uiPriority w:val="0"/>
    <w:rPr>
      <w:rFonts w:ascii="宋体" w:hAnsi="宋体"/>
      <w:sz w:val="15"/>
      <w:szCs w:val="15"/>
    </w:rPr>
  </w:style>
  <w:style w:type="character" w:customStyle="1" w:styleId="100">
    <w:name w:val="模板正文 Char"/>
    <w:link w:val="8"/>
    <w:qFormat/>
    <w:uiPriority w:val="0"/>
    <w:rPr>
      <w:rFonts w:ascii="宋体" w:eastAsia="仿宋"/>
      <w:sz w:val="24"/>
      <w:szCs w:val="21"/>
    </w:rPr>
  </w:style>
  <w:style w:type="character" w:customStyle="1" w:styleId="101">
    <w:name w:val="批注主题 Char"/>
    <w:semiHidden/>
    <w:qFormat/>
    <w:uiPriority w:val="99"/>
    <w:rPr>
      <w:b/>
      <w:bCs/>
      <w:kern w:val="2"/>
      <w:sz w:val="21"/>
    </w:rPr>
  </w:style>
  <w:style w:type="character" w:customStyle="1" w:styleId="102">
    <w:name w:val="正文文本 Char1"/>
    <w:qFormat/>
    <w:uiPriority w:val="0"/>
    <w:rPr>
      <w:rFonts w:ascii="宋体" w:hAnsi="Times New Roman" w:eastAsia="宋体" w:cs="Times New Roman"/>
      <w:kern w:val="0"/>
      <w:sz w:val="24"/>
      <w:szCs w:val="24"/>
    </w:rPr>
  </w:style>
  <w:style w:type="character" w:customStyle="1" w:styleId="103">
    <w:name w:val="正文文本 字符1"/>
    <w:qFormat/>
    <w:uiPriority w:val="99"/>
    <w:rPr>
      <w:rFonts w:ascii="宋体" w:eastAsia="宋体"/>
      <w:b/>
      <w:bCs/>
      <w:sz w:val="84"/>
      <w:szCs w:val="84"/>
      <w:lang w:val="zh-CN"/>
    </w:rPr>
  </w:style>
  <w:style w:type="character" w:customStyle="1" w:styleId="104">
    <w:name w:val="标题 1 Char"/>
    <w:qFormat/>
    <w:uiPriority w:val="9"/>
    <w:rPr>
      <w:rFonts w:ascii="宋体" w:hAnsi="Times New Roman" w:eastAsia="宋体" w:cs="Times New Roman"/>
      <w:kern w:val="0"/>
      <w:sz w:val="24"/>
      <w:szCs w:val="24"/>
    </w:rPr>
  </w:style>
  <w:style w:type="character" w:customStyle="1" w:styleId="105">
    <w:name w:val="正文文本 Char2"/>
    <w:qFormat/>
    <w:uiPriority w:val="99"/>
    <w:rPr>
      <w:rFonts w:ascii="宋体" w:eastAsia="宋体"/>
      <w:b/>
      <w:bCs/>
      <w:sz w:val="84"/>
      <w:szCs w:val="84"/>
      <w:lang w:val="zh-CN"/>
    </w:rPr>
  </w:style>
  <w:style w:type="character" w:customStyle="1" w:styleId="106">
    <w:name w:val="纯文本 字符2"/>
    <w:link w:val="24"/>
    <w:qFormat/>
    <w:uiPriority w:val="0"/>
    <w:rPr>
      <w:rFonts w:ascii="宋体" w:hAnsi="Courier New" w:eastAsia="宋体"/>
    </w:rPr>
  </w:style>
  <w:style w:type="character" w:customStyle="1" w:styleId="107">
    <w:name w:val="正文文本缩进 2 字符"/>
    <w:link w:val="27"/>
    <w:qFormat/>
    <w:uiPriority w:val="0"/>
    <w:rPr>
      <w:rFonts w:ascii="宋体" w:hAnsi="Times New Roman" w:eastAsia="宋体" w:cs="Times New Roman"/>
      <w:szCs w:val="20"/>
    </w:rPr>
  </w:style>
  <w:style w:type="character" w:customStyle="1" w:styleId="108">
    <w:name w:val="HTML Markup"/>
    <w:qFormat/>
    <w:uiPriority w:val="0"/>
    <w:rPr>
      <w:vanish/>
      <w:color w:val="FF0000"/>
    </w:rPr>
  </w:style>
  <w:style w:type="character" w:customStyle="1" w:styleId="109">
    <w:name w:val="页眉 Char1"/>
    <w:qFormat/>
    <w:uiPriority w:val="0"/>
    <w:rPr>
      <w:rFonts w:ascii="宋体" w:hAnsi="Times New Roman" w:eastAsia="宋体" w:cs="Times New Roman"/>
      <w:kern w:val="0"/>
      <w:sz w:val="18"/>
      <w:szCs w:val="18"/>
    </w:rPr>
  </w:style>
  <w:style w:type="character" w:customStyle="1" w:styleId="110">
    <w:name w:val="font11"/>
    <w:basedOn w:val="46"/>
    <w:qFormat/>
    <w:uiPriority w:val="0"/>
    <w:rPr>
      <w:rFonts w:hint="eastAsia" w:ascii="宋体" w:hAnsi="宋体" w:eastAsia="宋体" w:cs="宋体"/>
      <w:color w:val="FF0000"/>
      <w:sz w:val="22"/>
      <w:szCs w:val="22"/>
      <w:u w:val="none"/>
    </w:rPr>
  </w:style>
  <w:style w:type="character" w:customStyle="1" w:styleId="111">
    <w:name w:val="style61"/>
    <w:qFormat/>
    <w:uiPriority w:val="0"/>
    <w:rPr>
      <w:b/>
      <w:bCs/>
    </w:rPr>
  </w:style>
  <w:style w:type="character" w:customStyle="1" w:styleId="112">
    <w:name w:val="表头文字 Char"/>
    <w:link w:val="113"/>
    <w:qFormat/>
    <w:uiPriority w:val="0"/>
    <w:rPr>
      <w:rFonts w:eastAsia="仿宋_GB2312"/>
      <w:b/>
      <w:sz w:val="28"/>
      <w:szCs w:val="21"/>
    </w:rPr>
  </w:style>
  <w:style w:type="paragraph" w:customStyle="1" w:styleId="113">
    <w:name w:val="表头文字"/>
    <w:basedOn w:val="1"/>
    <w:link w:val="112"/>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4">
    <w:name w:val="日期 字符"/>
    <w:link w:val="26"/>
    <w:qFormat/>
    <w:uiPriority w:val="99"/>
    <w:rPr>
      <w:rFonts w:ascii="宋体" w:hAnsi="Times New Roman" w:eastAsia="宋体" w:cs="Times New Roman"/>
      <w:b/>
      <w:bCs/>
      <w:szCs w:val="21"/>
      <w:lang w:val="zh-CN"/>
    </w:rPr>
  </w:style>
  <w:style w:type="character" w:customStyle="1" w:styleId="115">
    <w:name w:val="纯文本 Char1"/>
    <w:qFormat/>
    <w:uiPriority w:val="0"/>
    <w:rPr>
      <w:rFonts w:ascii="宋体" w:hAnsi="Courier New" w:eastAsia="宋体" w:cs="Courier New"/>
      <w:kern w:val="0"/>
      <w:szCs w:val="21"/>
    </w:rPr>
  </w:style>
  <w:style w:type="character" w:customStyle="1" w:styleId="116">
    <w:name w:val="批注主题 字符"/>
    <w:link w:val="41"/>
    <w:qFormat/>
    <w:uiPriority w:val="99"/>
    <w:rPr>
      <w:rFonts w:ascii="宋体" w:hAnsi="Times New Roman" w:eastAsia="宋体" w:cs="Times New Roman"/>
      <w:b/>
      <w:bCs/>
      <w:kern w:val="0"/>
      <w:sz w:val="24"/>
      <w:szCs w:val="24"/>
    </w:rPr>
  </w:style>
  <w:style w:type="character" w:customStyle="1" w:styleId="117">
    <w:name w:val="纯文本 字符"/>
    <w:qFormat/>
    <w:uiPriority w:val="99"/>
    <w:rPr>
      <w:rFonts w:ascii="宋体" w:hAnsi="Courier New" w:eastAsia="宋体" w:cs="Times New Roman"/>
      <w:szCs w:val="20"/>
      <w:lang w:val="en-US" w:eastAsia="zh-CN"/>
    </w:rPr>
  </w:style>
  <w:style w:type="character" w:customStyle="1" w:styleId="118">
    <w:name w:val="font71"/>
    <w:qFormat/>
    <w:uiPriority w:val="0"/>
    <w:rPr>
      <w:rFonts w:hint="eastAsia" w:ascii="宋体" w:hAnsi="宋体" w:eastAsia="宋体" w:cs="宋体"/>
      <w:color w:val="FF0000"/>
      <w:sz w:val="18"/>
      <w:szCs w:val="18"/>
      <w:u w:val="none"/>
    </w:rPr>
  </w:style>
  <w:style w:type="character" w:customStyle="1" w:styleId="119">
    <w:name w:val="font21"/>
    <w:qFormat/>
    <w:uiPriority w:val="0"/>
    <w:rPr>
      <w:rFonts w:hint="eastAsia" w:ascii="宋体" w:hAnsi="宋体" w:eastAsia="宋体" w:cs="宋体"/>
      <w:b/>
      <w:color w:val="000000"/>
      <w:sz w:val="21"/>
      <w:szCs w:val="21"/>
      <w:u w:val="none"/>
    </w:rPr>
  </w:style>
  <w:style w:type="character" w:customStyle="1" w:styleId="120">
    <w:name w:val="纯文本 字符3"/>
    <w:semiHidden/>
    <w:qFormat/>
    <w:uiPriority w:val="99"/>
    <w:rPr>
      <w:rFonts w:ascii="等线" w:hAnsi="Courier New" w:cs="Courier New"/>
      <w:kern w:val="0"/>
      <w:sz w:val="24"/>
      <w:szCs w:val="24"/>
    </w:rPr>
  </w:style>
  <w:style w:type="character" w:customStyle="1" w:styleId="121">
    <w:name w:val="font31"/>
    <w:basedOn w:val="46"/>
    <w:qFormat/>
    <w:uiPriority w:val="0"/>
    <w:rPr>
      <w:rFonts w:hint="eastAsia" w:ascii="宋体" w:hAnsi="宋体" w:eastAsia="宋体" w:cs="宋体"/>
      <w:color w:val="000000"/>
      <w:sz w:val="18"/>
      <w:szCs w:val="18"/>
      <w:u w:val="none"/>
    </w:rPr>
  </w:style>
  <w:style w:type="character" w:customStyle="1" w:styleId="122">
    <w:name w:val="文档结构图 字符"/>
    <w:link w:val="15"/>
    <w:semiHidden/>
    <w:qFormat/>
    <w:uiPriority w:val="99"/>
    <w:rPr>
      <w:rFonts w:ascii="宋体" w:hAnsi="Times New Roman" w:eastAsia="宋体" w:cs="Times New Roman"/>
      <w:kern w:val="0"/>
      <w:sz w:val="24"/>
      <w:szCs w:val="24"/>
      <w:shd w:val="clear" w:color="auto" w:fill="000080"/>
    </w:rPr>
  </w:style>
  <w:style w:type="character" w:customStyle="1" w:styleId="123">
    <w:name w:val="普通(网站) 字符1"/>
    <w:qFormat/>
    <w:locked/>
    <w:uiPriority w:val="0"/>
    <w:rPr>
      <w:rFonts w:ascii="宋体" w:hAnsi="宋体"/>
      <w:sz w:val="15"/>
      <w:szCs w:val="15"/>
    </w:rPr>
  </w:style>
  <w:style w:type="character" w:customStyle="1" w:styleId="124">
    <w:name w:val="正文文本 字符2"/>
    <w:link w:val="19"/>
    <w:qFormat/>
    <w:uiPriority w:val="99"/>
    <w:rPr>
      <w:rFonts w:ascii="宋体" w:eastAsia="宋体"/>
      <w:b/>
      <w:bCs/>
      <w:sz w:val="84"/>
      <w:szCs w:val="84"/>
      <w:lang w:val="zh-CN"/>
    </w:rPr>
  </w:style>
  <w:style w:type="character" w:customStyle="1" w:styleId="125">
    <w:name w:val="标题 5 Char"/>
    <w:semiHidden/>
    <w:qFormat/>
    <w:uiPriority w:val="9"/>
    <w:rPr>
      <w:b/>
      <w:bCs/>
      <w:kern w:val="2"/>
      <w:sz w:val="28"/>
      <w:szCs w:val="28"/>
    </w:rPr>
  </w:style>
  <w:style w:type="character" w:customStyle="1" w:styleId="126">
    <w:name w:val="页眉 字符"/>
    <w:link w:val="30"/>
    <w:qFormat/>
    <w:uiPriority w:val="99"/>
    <w:rPr>
      <w:rFonts w:ascii="宋体" w:eastAsia="宋体"/>
      <w:sz w:val="18"/>
      <w:szCs w:val="18"/>
    </w:rPr>
  </w:style>
  <w:style w:type="character" w:customStyle="1" w:styleId="127">
    <w:name w:val="表格文字 Char"/>
    <w:link w:val="128"/>
    <w:qFormat/>
    <w:uiPriority w:val="0"/>
    <w:rPr>
      <w:rFonts w:eastAsia="仿宋_GB2312"/>
      <w:sz w:val="28"/>
      <w:szCs w:val="24"/>
    </w:rPr>
  </w:style>
  <w:style w:type="paragraph" w:customStyle="1" w:styleId="128">
    <w:name w:val="表格文字"/>
    <w:basedOn w:val="1"/>
    <w:link w:val="127"/>
    <w:qFormat/>
    <w:uiPriority w:val="0"/>
    <w:rPr>
      <w:rFonts w:eastAsia="仿宋_GB2312"/>
      <w:sz w:val="28"/>
      <w:szCs w:val="24"/>
    </w:rPr>
  </w:style>
  <w:style w:type="character" w:customStyle="1" w:styleId="129">
    <w:name w:val="标题 字符2"/>
    <w:qFormat/>
    <w:uiPriority w:val="10"/>
    <w:rPr>
      <w:rFonts w:ascii="等线 Light" w:hAnsi="等线 Light" w:eastAsia="等线 Light" w:cs="Times New Roman"/>
      <w:b/>
      <w:bCs/>
      <w:kern w:val="0"/>
      <w:sz w:val="32"/>
      <w:szCs w:val="32"/>
    </w:rPr>
  </w:style>
  <w:style w:type="character" w:customStyle="1" w:styleId="130">
    <w:name w:val="正文缩进2格 Char Char"/>
    <w:qFormat/>
    <w:uiPriority w:val="0"/>
    <w:rPr>
      <w:rFonts w:ascii="仿宋_GB2312" w:hAnsi="宋体" w:eastAsia="仿宋_GB2312"/>
      <w:kern w:val="2"/>
      <w:sz w:val="31"/>
      <w:szCs w:val="28"/>
      <w:lang w:val="en-US" w:eastAsia="zh-CN" w:bidi="ar-SA"/>
    </w:rPr>
  </w:style>
  <w:style w:type="character" w:customStyle="1" w:styleId="131">
    <w:name w:val="小 Char"/>
    <w:qFormat/>
    <w:uiPriority w:val="0"/>
    <w:rPr>
      <w:rFonts w:ascii="宋体" w:hAnsi="Courier New" w:eastAsia="宋体"/>
      <w:kern w:val="2"/>
      <w:sz w:val="21"/>
      <w:lang w:val="en-US" w:eastAsia="zh-CN" w:bidi="ar-SA"/>
    </w:rPr>
  </w:style>
  <w:style w:type="character" w:customStyle="1" w:styleId="132">
    <w:name w:val="themebody1"/>
    <w:qFormat/>
    <w:uiPriority w:val="0"/>
    <w:rPr>
      <w:color w:val="FFFFFF"/>
    </w:rPr>
  </w:style>
  <w:style w:type="character" w:customStyle="1" w:styleId="133">
    <w:name w:val="页脚 字符1"/>
    <w:semiHidden/>
    <w:qFormat/>
    <w:uiPriority w:val="99"/>
    <w:rPr>
      <w:rFonts w:ascii="宋体" w:hAnsi="Calibri" w:eastAsia="宋体" w:cs="Times New Roman"/>
      <w:kern w:val="0"/>
      <w:sz w:val="18"/>
      <w:szCs w:val="18"/>
    </w:rPr>
  </w:style>
  <w:style w:type="character" w:customStyle="1" w:styleId="134">
    <w:name w:val="列出段落 字符"/>
    <w:link w:val="135"/>
    <w:qFormat/>
    <w:uiPriority w:val="34"/>
    <w:rPr>
      <w:kern w:val="2"/>
      <w:sz w:val="21"/>
      <w:szCs w:val="22"/>
    </w:rPr>
  </w:style>
  <w:style w:type="paragraph" w:styleId="135">
    <w:name w:val="List Paragraph"/>
    <w:basedOn w:val="1"/>
    <w:link w:val="134"/>
    <w:qFormat/>
    <w:uiPriority w:val="34"/>
    <w:pPr>
      <w:ind w:firstLine="420" w:firstLineChars="200"/>
    </w:pPr>
  </w:style>
  <w:style w:type="character" w:customStyle="1" w:styleId="136">
    <w:name w:val="正文文本 Char"/>
    <w:qFormat/>
    <w:uiPriority w:val="99"/>
    <w:rPr>
      <w:rFonts w:ascii="宋体" w:eastAsia="宋体"/>
      <w:b/>
      <w:bCs/>
      <w:sz w:val="84"/>
      <w:szCs w:val="84"/>
      <w:lang w:val="zh-CN"/>
    </w:rPr>
  </w:style>
  <w:style w:type="character" w:customStyle="1" w:styleId="137">
    <w:name w:val="页眉 字符1"/>
    <w:semiHidden/>
    <w:qFormat/>
    <w:uiPriority w:val="99"/>
    <w:rPr>
      <w:rFonts w:ascii="宋体" w:hAnsi="Calibri" w:eastAsia="宋体" w:cs="Times New Roman"/>
      <w:kern w:val="0"/>
      <w:sz w:val="18"/>
      <w:szCs w:val="18"/>
    </w:rPr>
  </w:style>
  <w:style w:type="character" w:customStyle="1" w:styleId="138">
    <w:name w:val="标题 5 字符1"/>
    <w:link w:val="6"/>
    <w:qFormat/>
    <w:uiPriority w:val="9"/>
    <w:rPr>
      <w:rFonts w:ascii="宋体" w:hAnsi="Calibri" w:eastAsia="宋体" w:cs="Times New Roman"/>
      <w:b/>
      <w:bCs/>
      <w:kern w:val="0"/>
      <w:sz w:val="28"/>
      <w:szCs w:val="28"/>
    </w:rPr>
  </w:style>
  <w:style w:type="character" w:customStyle="1" w:styleId="139">
    <w:name w:val="keyfeatures1"/>
    <w:qFormat/>
    <w:uiPriority w:val="0"/>
    <w:rPr>
      <w:rFonts w:hint="default" w:ascii="Arial" w:hAnsi="Arial" w:cs="Arial"/>
      <w:color w:val="003366"/>
      <w:sz w:val="17"/>
      <w:szCs w:val="17"/>
      <w:u w:val="none"/>
    </w:rPr>
  </w:style>
  <w:style w:type="character" w:customStyle="1" w:styleId="140">
    <w:name w:val="题注 字符"/>
    <w:qFormat/>
    <w:uiPriority w:val="0"/>
    <w:rPr>
      <w:rFonts w:ascii="宋体" w:hAnsi="宋体" w:eastAsia="黑体" w:cs="Times New Roman"/>
      <w:b/>
      <w:szCs w:val="21"/>
    </w:rPr>
  </w:style>
  <w:style w:type="character" w:customStyle="1" w:styleId="141">
    <w:name w:val="标题 4 Char"/>
    <w:qFormat/>
    <w:uiPriority w:val="0"/>
    <w:rPr>
      <w:rFonts w:ascii="宋体" w:hAnsi="宋体" w:eastAsia="宋体"/>
      <w:b/>
      <w:kern w:val="2"/>
      <w:sz w:val="21"/>
      <w:szCs w:val="24"/>
      <w:lang w:val="en-US" w:eastAsia="zh-CN" w:bidi="ar-SA"/>
    </w:rPr>
  </w:style>
  <w:style w:type="character" w:customStyle="1" w:styleId="142">
    <w:name w:val="批注文字 字符3"/>
    <w:semiHidden/>
    <w:qFormat/>
    <w:uiPriority w:val="99"/>
    <w:rPr>
      <w:rFonts w:ascii="宋体" w:hAnsi="Calibri" w:eastAsia="宋体" w:cs="Times New Roman"/>
      <w:kern w:val="0"/>
      <w:sz w:val="24"/>
      <w:szCs w:val="24"/>
    </w:rPr>
  </w:style>
  <w:style w:type="character" w:customStyle="1" w:styleId="143">
    <w:name w:val="纯文本 字符1"/>
    <w:qFormat/>
    <w:uiPriority w:val="0"/>
    <w:rPr>
      <w:rFonts w:ascii="宋体" w:hAnsi="Courier New" w:eastAsia="宋体"/>
      <w:kern w:val="2"/>
      <w:sz w:val="21"/>
      <w:szCs w:val="24"/>
      <w:lang w:val="en-US" w:eastAsia="zh-CN" w:bidi="ar-SA"/>
    </w:rPr>
  </w:style>
  <w:style w:type="character" w:customStyle="1" w:styleId="144">
    <w:name w:val="列出段落 Char1"/>
    <w:qFormat/>
    <w:uiPriority w:val="34"/>
    <w:rPr>
      <w:rFonts w:ascii="宋体"/>
      <w:sz w:val="24"/>
      <w:szCs w:val="24"/>
    </w:rPr>
  </w:style>
  <w:style w:type="character" w:customStyle="1" w:styleId="145">
    <w:name w:val="彩色列表 - 着色 1 字符"/>
    <w:link w:val="146"/>
    <w:qFormat/>
    <w:uiPriority w:val="0"/>
    <w:rPr>
      <w:rFonts w:ascii="Calibri" w:hAnsi="Calibri"/>
    </w:rPr>
  </w:style>
  <w:style w:type="paragraph" w:customStyle="1" w:styleId="146">
    <w:name w:val="彩色列表 - 着色 11"/>
    <w:basedOn w:val="1"/>
    <w:link w:val="145"/>
    <w:qFormat/>
    <w:uiPriority w:val="0"/>
    <w:pPr>
      <w:ind w:firstLine="420" w:firstLineChars="200"/>
    </w:pPr>
    <w:rPr>
      <w:rFonts w:ascii="Calibri" w:hAnsi="Calibri"/>
    </w:rPr>
  </w:style>
  <w:style w:type="character" w:customStyle="1" w:styleId="147">
    <w:name w:val="纯文本 Char"/>
    <w:qFormat/>
    <w:uiPriority w:val="0"/>
    <w:rPr>
      <w:rFonts w:ascii="宋体" w:hAnsi="Courier New" w:eastAsia="宋体" w:cs="Times New Roman"/>
      <w:szCs w:val="20"/>
    </w:rPr>
  </w:style>
  <w:style w:type="character" w:customStyle="1" w:styleId="148">
    <w:name w:val="标题 6 字符1"/>
    <w:link w:val="7"/>
    <w:qFormat/>
    <w:uiPriority w:val="9"/>
    <w:rPr>
      <w:rFonts w:ascii="Times New Roman" w:hAnsi="Calibri" w:eastAsia="黑体" w:cs="Times New Roman"/>
      <w:b/>
      <w:bCs/>
      <w:kern w:val="0"/>
      <w:sz w:val="28"/>
      <w:szCs w:val="24"/>
    </w:rPr>
  </w:style>
  <w:style w:type="character" w:customStyle="1" w:styleId="149">
    <w:name w:val="正文文本 2 字符"/>
    <w:link w:val="20"/>
    <w:qFormat/>
    <w:uiPriority w:val="0"/>
    <w:rPr>
      <w:rFonts w:ascii="Arial" w:hAnsi="Arial" w:eastAsia="宋体" w:cs="Times New Roman"/>
      <w:color w:val="000000"/>
      <w:szCs w:val="24"/>
    </w:rPr>
  </w:style>
  <w:style w:type="character" w:customStyle="1" w:styleId="150">
    <w:name w:val="标题 3 字符1"/>
    <w:link w:val="4"/>
    <w:qFormat/>
    <w:uiPriority w:val="0"/>
    <w:rPr>
      <w:rFonts w:ascii="宋体" w:hAnsi="Calibri" w:eastAsia="宋体" w:cs="Times New Roman"/>
      <w:kern w:val="0"/>
      <w:sz w:val="24"/>
      <w:szCs w:val="24"/>
    </w:rPr>
  </w:style>
  <w:style w:type="character" w:customStyle="1" w:styleId="151">
    <w:name w:val="正文文本缩进 2 字符1"/>
    <w:semiHidden/>
    <w:qFormat/>
    <w:uiPriority w:val="99"/>
    <w:rPr>
      <w:rFonts w:ascii="宋体" w:hAnsi="Calibri" w:eastAsia="宋体" w:cs="Times New Roman"/>
      <w:kern w:val="0"/>
      <w:sz w:val="24"/>
      <w:szCs w:val="24"/>
    </w:rPr>
  </w:style>
  <w:style w:type="character" w:customStyle="1" w:styleId="152">
    <w:name w:val="正文文本缩进 3 字符1"/>
    <w:semiHidden/>
    <w:qFormat/>
    <w:uiPriority w:val="99"/>
    <w:rPr>
      <w:rFonts w:ascii="宋体" w:hAnsi="Calibri" w:eastAsia="宋体" w:cs="Times New Roman"/>
      <w:kern w:val="0"/>
      <w:sz w:val="16"/>
      <w:szCs w:val="16"/>
    </w:rPr>
  </w:style>
  <w:style w:type="character" w:customStyle="1" w:styleId="153">
    <w:name w:val="正文文本 2 字符1"/>
    <w:semiHidden/>
    <w:qFormat/>
    <w:uiPriority w:val="99"/>
    <w:rPr>
      <w:rFonts w:ascii="宋体" w:hAnsi="Calibri" w:eastAsia="宋体" w:cs="Times New Roman"/>
      <w:kern w:val="0"/>
      <w:sz w:val="24"/>
      <w:szCs w:val="24"/>
    </w:rPr>
  </w:style>
  <w:style w:type="character" w:customStyle="1" w:styleId="154">
    <w:name w:val="eschoolnr"/>
    <w:qFormat/>
    <w:uiPriority w:val="0"/>
    <w:rPr>
      <w:sz w:val="23"/>
      <w:szCs w:val="23"/>
    </w:rPr>
  </w:style>
  <w:style w:type="character" w:customStyle="1" w:styleId="155">
    <w:name w:val="访问过的超链接1"/>
    <w:qFormat/>
    <w:uiPriority w:val="0"/>
    <w:rPr>
      <w:rFonts w:ascii="Arial" w:hAnsi="Arial" w:cs="Arial"/>
      <w:color w:val="000000"/>
      <w:sz w:val="20"/>
      <w:szCs w:val="20"/>
      <w:u w:val="none"/>
    </w:rPr>
  </w:style>
  <w:style w:type="character" w:customStyle="1" w:styleId="156">
    <w:name w:val="标题 1 字符1"/>
    <w:link w:val="2"/>
    <w:qFormat/>
    <w:uiPriority w:val="0"/>
    <w:rPr>
      <w:rFonts w:ascii="宋体" w:hAnsi="Calibri" w:eastAsia="宋体" w:cs="Times New Roman"/>
      <w:kern w:val="0"/>
      <w:sz w:val="24"/>
      <w:szCs w:val="24"/>
    </w:rPr>
  </w:style>
  <w:style w:type="character" w:customStyle="1" w:styleId="157">
    <w:name w:val="批注文字 Char1"/>
    <w:qFormat/>
    <w:uiPriority w:val="0"/>
    <w:rPr>
      <w:kern w:val="2"/>
      <w:sz w:val="21"/>
      <w:szCs w:val="24"/>
    </w:rPr>
  </w:style>
  <w:style w:type="character" w:customStyle="1" w:styleId="158">
    <w:name w:val="批注框文本 Char"/>
    <w:semiHidden/>
    <w:qFormat/>
    <w:uiPriority w:val="99"/>
    <w:rPr>
      <w:kern w:val="2"/>
      <w:sz w:val="18"/>
      <w:szCs w:val="18"/>
    </w:rPr>
  </w:style>
  <w:style w:type="character" w:customStyle="1" w:styleId="159">
    <w:name w:val="DAS正文 Char"/>
    <w:qFormat/>
    <w:uiPriority w:val="0"/>
    <w:rPr>
      <w:rFonts w:ascii="Verdana" w:hAnsi="Verdana" w:eastAsia="宋体"/>
      <w:kern w:val="2"/>
      <w:sz w:val="21"/>
      <w:szCs w:val="21"/>
      <w:lang w:val="en-US" w:eastAsia="zh-CN" w:bidi="ar-SA"/>
    </w:rPr>
  </w:style>
  <w:style w:type="character" w:customStyle="1" w:styleId="160">
    <w:name w:val="正文文本缩进 3 字符"/>
    <w:link w:val="35"/>
    <w:qFormat/>
    <w:uiPriority w:val="0"/>
    <w:rPr>
      <w:rFonts w:ascii="宋体" w:hAnsi="Times New Roman" w:eastAsia="宋体" w:cs="Times New Roman"/>
      <w:kern w:val="0"/>
      <w:sz w:val="24"/>
      <w:szCs w:val="24"/>
    </w:rPr>
  </w:style>
  <w:style w:type="character" w:customStyle="1" w:styleId="161">
    <w:name w:val="页眉 Char"/>
    <w:qFormat/>
    <w:uiPriority w:val="99"/>
    <w:rPr>
      <w:kern w:val="2"/>
      <w:sz w:val="18"/>
      <w:szCs w:val="18"/>
    </w:rPr>
  </w:style>
  <w:style w:type="character" w:customStyle="1" w:styleId="162">
    <w:name w:val="正文文本 3 字符"/>
    <w:link w:val="18"/>
    <w:qFormat/>
    <w:uiPriority w:val="0"/>
    <w:rPr>
      <w:rFonts w:ascii="宋体" w:hAnsi="Times New Roman" w:eastAsia="宋体" w:cs="Times New Roman"/>
      <w:b/>
      <w:bCs/>
      <w:color w:val="3366FF"/>
      <w:sz w:val="52"/>
      <w:szCs w:val="52"/>
      <w:lang w:val="zh-CN"/>
    </w:rPr>
  </w:style>
  <w:style w:type="character" w:customStyle="1" w:styleId="163">
    <w:name w:val="HTML 预设格式 字符1"/>
    <w:semiHidden/>
    <w:qFormat/>
    <w:uiPriority w:val="99"/>
    <w:rPr>
      <w:rFonts w:ascii="Courier New" w:hAnsi="Courier New" w:eastAsia="宋体" w:cs="Courier New"/>
      <w:kern w:val="0"/>
      <w:sz w:val="20"/>
      <w:szCs w:val="20"/>
    </w:rPr>
  </w:style>
  <w:style w:type="character" w:customStyle="1" w:styleId="164">
    <w:name w:val="彩色列表 - 强调文字颜色 1 Char"/>
    <w:link w:val="165"/>
    <w:qFormat/>
    <w:uiPriority w:val="0"/>
    <w:rPr>
      <w:rFonts w:ascii="宋体"/>
      <w:sz w:val="24"/>
      <w:szCs w:val="24"/>
    </w:rPr>
  </w:style>
  <w:style w:type="paragraph" w:customStyle="1" w:styleId="165">
    <w:name w:val="彩色列表 - 强调文字颜色 11"/>
    <w:basedOn w:val="1"/>
    <w:link w:val="164"/>
    <w:qFormat/>
    <w:uiPriority w:val="0"/>
    <w:pPr>
      <w:autoSpaceDE w:val="0"/>
      <w:autoSpaceDN w:val="0"/>
      <w:adjustRightInd w:val="0"/>
      <w:ind w:firstLine="420" w:firstLineChars="200"/>
      <w:jc w:val="left"/>
    </w:pPr>
    <w:rPr>
      <w:rFonts w:ascii="宋体"/>
      <w:sz w:val="24"/>
      <w:szCs w:val="24"/>
    </w:rPr>
  </w:style>
  <w:style w:type="character" w:customStyle="1" w:styleId="166">
    <w:name w:val="普通(网站) 字符"/>
    <w:qFormat/>
    <w:locked/>
    <w:uiPriority w:val="99"/>
    <w:rPr>
      <w:rFonts w:ascii="宋体" w:hAnsi="宋体" w:eastAsia="宋体" w:cs="Times New Roman"/>
      <w:kern w:val="0"/>
      <w:sz w:val="15"/>
      <w:szCs w:val="15"/>
      <w:lang w:val="en-US" w:eastAsia="zh-CN"/>
    </w:rPr>
  </w:style>
  <w:style w:type="paragraph" w:customStyle="1" w:styleId="167">
    <w:name w:val="_Style 123"/>
    <w:basedOn w:val="1"/>
    <w:next w:val="135"/>
    <w:qFormat/>
    <w:uiPriority w:val="34"/>
    <w:pPr>
      <w:spacing w:line="360" w:lineRule="auto"/>
      <w:ind w:firstLine="420" w:firstLineChars="200"/>
    </w:pPr>
    <w:rPr>
      <w:rFonts w:ascii="Calibri" w:hAnsi="Calibri" w:eastAsia="宋体" w:cs="Times New Roman"/>
    </w:rPr>
  </w:style>
  <w:style w:type="character" w:customStyle="1" w:styleId="168">
    <w:name w:val="纯文本 字符4"/>
    <w:basedOn w:val="46"/>
    <w:semiHidden/>
    <w:qFormat/>
    <w:uiPriority w:val="99"/>
    <w:rPr>
      <w:rFonts w:hAnsi="Courier New" w:cs="Courier New" w:asciiTheme="minorEastAsia"/>
    </w:rPr>
  </w:style>
  <w:style w:type="character" w:customStyle="1" w:styleId="169">
    <w:name w:val="批注文字 字符4"/>
    <w:basedOn w:val="46"/>
    <w:link w:val="17"/>
    <w:semiHidden/>
    <w:qFormat/>
    <w:uiPriority w:val="99"/>
  </w:style>
  <w:style w:type="character" w:customStyle="1" w:styleId="170">
    <w:name w:val="批注主题 字符2"/>
    <w:basedOn w:val="169"/>
    <w:semiHidden/>
    <w:qFormat/>
    <w:uiPriority w:val="99"/>
    <w:rPr>
      <w:b/>
      <w:bCs/>
    </w:rPr>
  </w:style>
  <w:style w:type="character" w:customStyle="1" w:styleId="171">
    <w:name w:val="标题 字符3"/>
    <w:basedOn w:val="46"/>
    <w:qFormat/>
    <w:uiPriority w:val="10"/>
    <w:rPr>
      <w:rFonts w:asciiTheme="majorHAnsi" w:hAnsiTheme="majorHAnsi" w:eastAsiaTheme="majorEastAsia" w:cstheme="majorBidi"/>
      <w:b/>
      <w:bCs/>
      <w:sz w:val="32"/>
      <w:szCs w:val="32"/>
    </w:rPr>
  </w:style>
  <w:style w:type="character" w:customStyle="1" w:styleId="172">
    <w:name w:val="正文文本缩进 字符3"/>
    <w:basedOn w:val="46"/>
    <w:semiHidden/>
    <w:qFormat/>
    <w:uiPriority w:val="99"/>
  </w:style>
  <w:style w:type="character" w:customStyle="1" w:styleId="173">
    <w:name w:val="正文文本 字符4"/>
    <w:basedOn w:val="46"/>
    <w:semiHidden/>
    <w:qFormat/>
    <w:uiPriority w:val="99"/>
  </w:style>
  <w:style w:type="character" w:customStyle="1" w:styleId="174">
    <w:name w:val="正文文本缩进 3 字符2"/>
    <w:basedOn w:val="46"/>
    <w:semiHidden/>
    <w:qFormat/>
    <w:uiPriority w:val="99"/>
    <w:rPr>
      <w:sz w:val="16"/>
      <w:szCs w:val="16"/>
    </w:rPr>
  </w:style>
  <w:style w:type="character" w:customStyle="1" w:styleId="175">
    <w:name w:val="页眉 字符2"/>
    <w:basedOn w:val="46"/>
    <w:semiHidden/>
    <w:qFormat/>
    <w:uiPriority w:val="99"/>
    <w:rPr>
      <w:sz w:val="18"/>
      <w:szCs w:val="18"/>
    </w:rPr>
  </w:style>
  <w:style w:type="character" w:customStyle="1" w:styleId="176">
    <w:name w:val="批注框文本 字符2"/>
    <w:basedOn w:val="46"/>
    <w:semiHidden/>
    <w:qFormat/>
    <w:uiPriority w:val="99"/>
    <w:rPr>
      <w:sz w:val="18"/>
      <w:szCs w:val="18"/>
    </w:rPr>
  </w:style>
  <w:style w:type="character" w:customStyle="1" w:styleId="177">
    <w:name w:val="HTML 预设格式 字符2"/>
    <w:basedOn w:val="46"/>
    <w:semiHidden/>
    <w:qFormat/>
    <w:uiPriority w:val="99"/>
    <w:rPr>
      <w:rFonts w:ascii="Courier New" w:hAnsi="Courier New" w:cs="Courier New"/>
      <w:sz w:val="20"/>
      <w:szCs w:val="20"/>
    </w:rPr>
  </w:style>
  <w:style w:type="character" w:customStyle="1" w:styleId="178">
    <w:name w:val="页脚 字符2"/>
    <w:basedOn w:val="46"/>
    <w:semiHidden/>
    <w:qFormat/>
    <w:uiPriority w:val="99"/>
    <w:rPr>
      <w:sz w:val="18"/>
      <w:szCs w:val="18"/>
    </w:rPr>
  </w:style>
  <w:style w:type="character" w:customStyle="1" w:styleId="179">
    <w:name w:val="正文文本缩进 2 字符2"/>
    <w:basedOn w:val="46"/>
    <w:semiHidden/>
    <w:qFormat/>
    <w:uiPriority w:val="99"/>
  </w:style>
  <w:style w:type="character" w:customStyle="1" w:styleId="180">
    <w:name w:val="正文文本 3 字符2"/>
    <w:basedOn w:val="46"/>
    <w:semiHidden/>
    <w:qFormat/>
    <w:uiPriority w:val="99"/>
    <w:rPr>
      <w:sz w:val="16"/>
      <w:szCs w:val="16"/>
    </w:rPr>
  </w:style>
  <w:style w:type="character" w:customStyle="1" w:styleId="181">
    <w:name w:val="正文文本 2 字符2"/>
    <w:basedOn w:val="46"/>
    <w:semiHidden/>
    <w:qFormat/>
    <w:uiPriority w:val="99"/>
  </w:style>
  <w:style w:type="paragraph" w:customStyle="1" w:styleId="182">
    <w:name w:val="WPSOffice手动目录 3"/>
    <w:qFormat/>
    <w:uiPriority w:val="0"/>
    <w:pPr>
      <w:ind w:left="400" w:leftChars="400"/>
    </w:pPr>
    <w:rPr>
      <w:rFonts w:ascii="Calibri" w:hAnsi="Calibri" w:eastAsia="宋体" w:cs="Times New Roman"/>
      <w:lang w:val="en-US" w:eastAsia="zh-CN" w:bidi="ar-SA"/>
    </w:rPr>
  </w:style>
  <w:style w:type="paragraph" w:customStyle="1" w:styleId="183">
    <w:name w:val="列表段落1"/>
    <w:basedOn w:val="1"/>
    <w:qFormat/>
    <w:uiPriority w:val="0"/>
    <w:pPr>
      <w:ind w:firstLine="420" w:firstLineChars="200"/>
    </w:pPr>
    <w:rPr>
      <w:rFonts w:ascii="Times New Roman" w:hAnsi="Times New Roman" w:eastAsia="宋体" w:cs="Times New Roman"/>
      <w:szCs w:val="20"/>
    </w:rPr>
  </w:style>
  <w:style w:type="character" w:customStyle="1" w:styleId="184">
    <w:name w:val="文档结构图 字符2"/>
    <w:basedOn w:val="46"/>
    <w:semiHidden/>
    <w:qFormat/>
    <w:uiPriority w:val="99"/>
    <w:rPr>
      <w:rFonts w:ascii="Microsoft YaHei UI" w:eastAsia="Microsoft YaHei UI"/>
      <w:sz w:val="18"/>
      <w:szCs w:val="18"/>
    </w:rPr>
  </w:style>
  <w:style w:type="character" w:customStyle="1" w:styleId="185">
    <w:name w:val="日期 字符2"/>
    <w:basedOn w:val="46"/>
    <w:semiHidden/>
    <w:qFormat/>
    <w:uiPriority w:val="99"/>
  </w:style>
  <w:style w:type="paragraph" w:customStyle="1" w:styleId="186">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7">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8">
    <w:name w:val="修订1"/>
    <w:semiHidden/>
    <w:qFormat/>
    <w:uiPriority w:val="99"/>
    <w:rPr>
      <w:rFonts w:ascii="宋体" w:hAnsi="Calibri" w:eastAsia="宋体" w:cs="Times New Roman"/>
      <w:sz w:val="24"/>
      <w:szCs w:val="24"/>
      <w:lang w:val="en-US" w:eastAsia="zh-CN" w:bidi="ar-SA"/>
    </w:rPr>
  </w:style>
  <w:style w:type="paragraph" w:customStyle="1" w:styleId="189">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1">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2">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3">
    <w:name w:val="p0"/>
    <w:basedOn w:val="1"/>
    <w:qFormat/>
    <w:uiPriority w:val="0"/>
    <w:pPr>
      <w:widowControl/>
    </w:pPr>
    <w:rPr>
      <w:rFonts w:ascii="Times New Roman" w:hAnsi="Calibri" w:eastAsia="宋体" w:cs="Times New Roman"/>
      <w:kern w:val="0"/>
      <w:szCs w:val="20"/>
    </w:rPr>
  </w:style>
  <w:style w:type="paragraph" w:customStyle="1" w:styleId="194">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6">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WPSOffice手动目录 1"/>
    <w:qFormat/>
    <w:uiPriority w:val="0"/>
    <w:rPr>
      <w:rFonts w:ascii="Calibri" w:hAnsi="Calibri" w:eastAsia="宋体" w:cs="Times New Roman"/>
      <w:lang w:val="en-US" w:eastAsia="zh-CN" w:bidi="ar-SA"/>
    </w:rPr>
  </w:style>
  <w:style w:type="paragraph" w:customStyle="1" w:styleId="198">
    <w:name w:val="_Style 69"/>
    <w:basedOn w:val="1"/>
    <w:next w:val="135"/>
    <w:qFormat/>
    <w:uiPriority w:val="34"/>
    <w:pPr>
      <w:spacing w:line="360" w:lineRule="auto"/>
      <w:ind w:firstLine="420" w:firstLineChars="200"/>
    </w:pPr>
    <w:rPr>
      <w:rFonts w:ascii="Calibri" w:hAnsi="Calibri" w:eastAsia="宋体" w:cs="Times New Roman"/>
    </w:rPr>
  </w:style>
  <w:style w:type="paragraph" w:customStyle="1" w:styleId="19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0">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1">
    <w:name w:val="彩色底纹 - 着色 11"/>
    <w:semiHidden/>
    <w:qFormat/>
    <w:uiPriority w:val="99"/>
    <w:rPr>
      <w:rFonts w:ascii="宋体" w:hAnsi="Calibri" w:eastAsia="宋体" w:cs="Times New Roman"/>
      <w:sz w:val="24"/>
      <w:szCs w:val="24"/>
      <w:lang w:val="en-US" w:eastAsia="zh-CN" w:bidi="ar-SA"/>
    </w:rPr>
  </w:style>
  <w:style w:type="paragraph" w:customStyle="1" w:styleId="202">
    <w:name w:val="WPSOffice手动目录 2"/>
    <w:qFormat/>
    <w:uiPriority w:val="0"/>
    <w:pPr>
      <w:ind w:left="200" w:leftChars="200"/>
    </w:pPr>
    <w:rPr>
      <w:rFonts w:ascii="Calibri" w:hAnsi="Calibri" w:eastAsia="宋体" w:cs="Times New Roman"/>
      <w:lang w:val="en-US" w:eastAsia="zh-CN" w:bidi="ar-SA"/>
    </w:rPr>
  </w:style>
  <w:style w:type="paragraph" w:customStyle="1" w:styleId="203">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4">
    <w:name w:val="表格文字居中"/>
    <w:basedOn w:val="128"/>
    <w:qFormat/>
    <w:uiPriority w:val="0"/>
    <w:pPr>
      <w:jc w:val="center"/>
    </w:pPr>
    <w:rPr>
      <w:rFonts w:cs="宋体"/>
      <w:szCs w:val="20"/>
    </w:rPr>
  </w:style>
  <w:style w:type="paragraph" w:customStyle="1" w:styleId="205">
    <w:name w:val="正文缩进4格"/>
    <w:basedOn w:val="69"/>
    <w:qFormat/>
    <w:uiPriority w:val="0"/>
    <w:pPr>
      <w:spacing w:line="360" w:lineRule="auto"/>
      <w:ind w:left="964" w:leftChars="314" w:hanging="210" w:hangingChars="100"/>
    </w:pPr>
    <w:rPr>
      <w:rFonts w:ascii="宋体" w:eastAsia="宋体"/>
      <w:sz w:val="21"/>
      <w:szCs w:val="21"/>
      <w:lang w:val="zh-CN"/>
    </w:rPr>
  </w:style>
  <w:style w:type="paragraph" w:customStyle="1" w:styleId="206">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7">
    <w:name w:val="正文首行缩进 字符"/>
    <w:basedOn w:val="124"/>
    <w:link w:val="42"/>
    <w:semiHidden/>
    <w:qFormat/>
    <w:uiPriority w:val="99"/>
    <w:rPr>
      <w:rFonts w:ascii="宋体" w:eastAsia="宋体"/>
      <w:b w:val="0"/>
      <w:bCs w:val="0"/>
      <w:sz w:val="84"/>
      <w:szCs w:val="84"/>
      <w:lang w:val="zh-CN"/>
    </w:rPr>
  </w:style>
  <w:style w:type="paragraph" w:customStyle="1" w:styleId="208">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9">
    <w:name w:val="页脚 字符"/>
    <w:basedOn w:val="46"/>
    <w:link w:val="29"/>
    <w:qFormat/>
    <w:uiPriority w:val="0"/>
    <w:rPr>
      <w:kern w:val="2"/>
      <w:sz w:val="18"/>
    </w:rPr>
  </w:style>
  <w:style w:type="paragraph" w:customStyle="1" w:styleId="210">
    <w:name w:val="Table Text"/>
    <w:basedOn w:val="1"/>
    <w:link w:val="211"/>
    <w:qFormat/>
    <w:uiPriority w:val="0"/>
    <w:pPr>
      <w:topLinePunct/>
      <w:adjustRightInd w:val="0"/>
      <w:snapToGrid w:val="0"/>
      <w:spacing w:before="80" w:after="80" w:line="240" w:lineRule="atLeast"/>
      <w:jc w:val="left"/>
    </w:pPr>
    <w:rPr>
      <w:rFonts w:ascii="Times New Roman" w:hAnsi="Times New Roman" w:eastAsia="宋体" w:cs="Times New Roman"/>
      <w:kern w:val="0"/>
      <w:szCs w:val="21"/>
    </w:rPr>
  </w:style>
  <w:style w:type="character" w:customStyle="1" w:styleId="211">
    <w:name w:val="Table Text Char1"/>
    <w:basedOn w:val="46"/>
    <w:link w:val="210"/>
    <w:qFormat/>
    <w:uiPriority w:val="0"/>
    <w:rPr>
      <w:rFonts w:hint="default" w:ascii="Arial" w:hAnsi="Arial" w:cs="Arial"/>
      <w:snapToGrid/>
      <w:sz w:val="21"/>
      <w:szCs w:val="21"/>
    </w:rPr>
  </w:style>
  <w:style w:type="table" w:customStyle="1" w:styleId="212">
    <w:name w:val="Table Normal"/>
    <w:basedOn w:val="44"/>
    <w:semiHidden/>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paragraph" w:customStyle="1" w:styleId="213">
    <w:name w:val="！正文"/>
    <w:basedOn w:val="1"/>
    <w:qFormat/>
    <w:uiPriority w:val="0"/>
    <w:pPr>
      <w:spacing w:line="360" w:lineRule="auto"/>
      <w:ind w:firstLine="624" w:firstLineChars="200"/>
    </w:pPr>
    <w:rPr>
      <w:rFonts w:ascii="Times New Roman" w:hAnsi="Times New Roman" w:eastAsia="仿宋_GB2312" w:cs="Times New Roman"/>
      <w:bCs/>
      <w:color w:val="000000"/>
      <w:sz w:val="28"/>
      <w:szCs w:val="28"/>
    </w:rPr>
  </w:style>
  <w:style w:type="paragraph" w:customStyle="1" w:styleId="214">
    <w:name w:val="列出段落2"/>
    <w:basedOn w:val="1"/>
    <w:qFormat/>
    <w:uiPriority w:val="99"/>
    <w:pPr>
      <w:ind w:firstLine="420" w:firstLineChars="200"/>
    </w:pPr>
  </w:style>
  <w:style w:type="character" w:customStyle="1" w:styleId="215">
    <w:name w:val="font51"/>
    <w:basedOn w:val="46"/>
    <w:qFormat/>
    <w:uiPriority w:val="0"/>
    <w:rPr>
      <w:rFonts w:hint="eastAsia" w:ascii="微软雅黑" w:hAnsi="微软雅黑" w:eastAsia="微软雅黑" w:cs="微软雅黑"/>
      <w:color w:val="000000"/>
      <w:sz w:val="20"/>
      <w:szCs w:val="20"/>
      <w:u w:val="none"/>
      <w:vertAlign w:val="superscript"/>
    </w:rPr>
  </w:style>
  <w:style w:type="paragraph" w:customStyle="1" w:styleId="216">
    <w:name w:val="_标准条文"/>
    <w:basedOn w:val="1"/>
    <w:qFormat/>
    <w:uiPriority w:val="0"/>
    <w:pPr>
      <w:overflowPunct w:val="0"/>
      <w:snapToGrid w:val="0"/>
      <w:spacing w:line="276" w:lineRule="auto"/>
      <w:ind w:firstLine="420" w:firstLineChars="200"/>
    </w:pPr>
    <w:rPr>
      <w:rFonts w:cs="宋体"/>
      <w:szCs w:val="20"/>
    </w:rPr>
  </w:style>
  <w:style w:type="paragraph" w:customStyle="1" w:styleId="217">
    <w:name w:val="_附录编号标题"/>
    <w:basedOn w:val="1"/>
    <w:next w:val="218"/>
    <w:qFormat/>
    <w:uiPriority w:val="0"/>
    <w:pPr>
      <w:snapToGrid w:val="0"/>
      <w:spacing w:before="567"/>
      <w:jc w:val="center"/>
    </w:pPr>
    <w:rPr>
      <w:rFonts w:eastAsia="黑体"/>
      <w:color w:val="000000"/>
    </w:rPr>
  </w:style>
  <w:style w:type="paragraph" w:customStyle="1" w:styleId="218">
    <w:name w:val="附录标题1"/>
    <w:basedOn w:val="2"/>
    <w:next w:val="219"/>
    <w:qFormat/>
    <w:uiPriority w:val="0"/>
    <w:pPr>
      <w:tabs>
        <w:tab w:val="left" w:pos="300"/>
        <w:tab w:val="left" w:pos="700"/>
      </w:tabs>
      <w:ind w:left="300" w:hanging="300"/>
    </w:pPr>
    <w:rPr>
      <w:color w:val="FFFFFF"/>
      <w:sz w:val="18"/>
    </w:rPr>
  </w:style>
  <w:style w:type="paragraph" w:customStyle="1" w:styleId="219">
    <w:name w:val="附录标题2"/>
    <w:basedOn w:val="3"/>
    <w:next w:val="42"/>
    <w:qFormat/>
    <w:uiPriority w:val="0"/>
    <w:pPr>
      <w:tabs>
        <w:tab w:val="left" w:pos="500"/>
      </w:tabs>
      <w:ind w:left="500" w:hanging="500"/>
    </w:pPr>
    <w:rPr>
      <w:rFonts w:eastAsia="黑体"/>
    </w:rPr>
  </w:style>
  <w:style w:type="paragraph" w:customStyle="1" w:styleId="220">
    <w:name w:val="样式 宋体 行距: 1.5 倍行距"/>
    <w:basedOn w:val="1"/>
    <w:qFormat/>
    <w:uiPriority w:val="0"/>
    <w:pPr>
      <w:jc w:val="center"/>
    </w:pPr>
    <w:rPr>
      <w:rFonts w:ascii="Times New Roman" w:hAnsi="Times New Roman"/>
      <w:b/>
    </w:rPr>
  </w:style>
  <w:style w:type="paragraph" w:customStyle="1" w:styleId="221">
    <w:name w:val="Body Text First Indent1"/>
    <w:qFormat/>
    <w:uiPriority w:val="0"/>
    <w:pPr>
      <w:widowControl w:val="0"/>
      <w:ind w:firstLine="420" w:firstLineChars="10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128</Pages>
  <Words>11008</Words>
  <Characters>11662</Characters>
  <Lines>1</Lines>
  <Paragraphs>1</Paragraphs>
  <TotalTime>9</TotalTime>
  <ScaleCrop>false</ScaleCrop>
  <LinksUpToDate>false</LinksUpToDate>
  <CharactersWithSpaces>12000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人间向日葵</cp:lastModifiedBy>
  <cp:lastPrinted>2024-03-20T06:13:00Z</cp:lastPrinted>
  <dcterms:modified xsi:type="dcterms:W3CDTF">2025-07-01T08:44:27Z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C0182166141B476CACE9343A568EA8A5_13</vt:lpwstr>
  </property>
  <property fmtid="{D5CDD505-2E9C-101B-9397-08002B2CF9AE}" pid="4" name="KSOTemplateDocerSaveRecord">
    <vt:lpwstr>eyJoZGlkIjoiZmQzZDczMGVhNDJiNjBlYjNkNjNkODM1NmVlMTUzMmMiLCJ1c2VySWQiOiIxMTczMzgzMzE3In0=</vt:lpwstr>
  </property>
</Properties>
</file>